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AFE8" w14:textId="77777777" w:rsidR="005F57F3" w:rsidRPr="006774D3" w:rsidRDefault="005F57F3" w:rsidP="00F77C66">
      <w:pPr>
        <w:pStyle w:val="Authors"/>
        <w:keepNext w:val="0"/>
        <w:spacing w:before="0"/>
        <w:rPr>
          <w:rFonts w:ascii="Times New Roman" w:hAnsi="Times New Roman"/>
          <w:color w:val="000000"/>
          <w:szCs w:val="22"/>
          <w:lang w:val="is-IS"/>
        </w:rPr>
      </w:pPr>
      <w:bookmarkStart w:id="0" w:name="_GoBack"/>
      <w:bookmarkEnd w:id="0"/>
    </w:p>
    <w:p w14:paraId="05B8AFE9" w14:textId="77777777" w:rsidR="005F57F3" w:rsidRPr="006774D3" w:rsidRDefault="005F57F3" w:rsidP="00F77C66">
      <w:pPr>
        <w:rPr>
          <w:color w:val="000000"/>
          <w:sz w:val="22"/>
          <w:szCs w:val="22"/>
        </w:rPr>
      </w:pPr>
    </w:p>
    <w:p w14:paraId="05B8AFEA" w14:textId="77777777" w:rsidR="005F57F3" w:rsidRPr="006774D3" w:rsidRDefault="005F57F3" w:rsidP="00F77C66">
      <w:pPr>
        <w:rPr>
          <w:color w:val="000000"/>
          <w:sz w:val="22"/>
          <w:szCs w:val="22"/>
        </w:rPr>
      </w:pPr>
    </w:p>
    <w:p w14:paraId="05B8AFEB" w14:textId="77777777" w:rsidR="005F57F3" w:rsidRPr="006774D3" w:rsidRDefault="005F57F3" w:rsidP="00F77C66">
      <w:pPr>
        <w:rPr>
          <w:color w:val="000000"/>
          <w:sz w:val="22"/>
          <w:szCs w:val="22"/>
        </w:rPr>
      </w:pPr>
    </w:p>
    <w:p w14:paraId="05B8AFEC" w14:textId="77777777" w:rsidR="005F57F3" w:rsidRPr="006774D3" w:rsidRDefault="005F57F3" w:rsidP="00F77C66">
      <w:pPr>
        <w:rPr>
          <w:color w:val="000000"/>
          <w:sz w:val="22"/>
          <w:szCs w:val="22"/>
        </w:rPr>
      </w:pPr>
    </w:p>
    <w:p w14:paraId="05B8AFED" w14:textId="77777777" w:rsidR="005F57F3" w:rsidRPr="006774D3" w:rsidRDefault="005F57F3" w:rsidP="00F77C66">
      <w:pPr>
        <w:pStyle w:val="Authors"/>
        <w:keepNext w:val="0"/>
        <w:spacing w:before="0"/>
        <w:rPr>
          <w:rFonts w:ascii="Times New Roman" w:hAnsi="Times New Roman"/>
          <w:color w:val="000000"/>
          <w:szCs w:val="22"/>
          <w:lang w:val="is-IS"/>
        </w:rPr>
      </w:pPr>
    </w:p>
    <w:p w14:paraId="05B8AFEE" w14:textId="77777777" w:rsidR="005F57F3" w:rsidRPr="006774D3" w:rsidRDefault="005F57F3" w:rsidP="00F77C66">
      <w:pPr>
        <w:rPr>
          <w:color w:val="000000"/>
          <w:sz w:val="22"/>
          <w:szCs w:val="22"/>
        </w:rPr>
      </w:pPr>
    </w:p>
    <w:p w14:paraId="05B8AFEF" w14:textId="77777777" w:rsidR="005F57F3" w:rsidRPr="006774D3" w:rsidRDefault="005F57F3" w:rsidP="00F77C66">
      <w:pPr>
        <w:rPr>
          <w:color w:val="000000"/>
          <w:sz w:val="22"/>
          <w:szCs w:val="22"/>
        </w:rPr>
      </w:pPr>
    </w:p>
    <w:p w14:paraId="05B8AFF0" w14:textId="77777777" w:rsidR="005F57F3" w:rsidRPr="006774D3" w:rsidRDefault="005F57F3" w:rsidP="00F77C66">
      <w:pPr>
        <w:rPr>
          <w:color w:val="000000"/>
          <w:sz w:val="22"/>
          <w:szCs w:val="22"/>
        </w:rPr>
      </w:pPr>
    </w:p>
    <w:p w14:paraId="05B8AFF1" w14:textId="77777777" w:rsidR="005F57F3" w:rsidRPr="006774D3" w:rsidRDefault="005F57F3" w:rsidP="00F77C66">
      <w:pPr>
        <w:rPr>
          <w:color w:val="000000"/>
          <w:sz w:val="22"/>
          <w:szCs w:val="22"/>
        </w:rPr>
      </w:pPr>
    </w:p>
    <w:p w14:paraId="05B8AFF2" w14:textId="77777777" w:rsidR="005F57F3" w:rsidRPr="006774D3" w:rsidRDefault="005F57F3" w:rsidP="00F77C66">
      <w:pPr>
        <w:rPr>
          <w:color w:val="000000"/>
          <w:sz w:val="22"/>
          <w:szCs w:val="22"/>
        </w:rPr>
      </w:pPr>
    </w:p>
    <w:p w14:paraId="05B8AFF3" w14:textId="77777777" w:rsidR="005F57F3" w:rsidRPr="006774D3" w:rsidRDefault="005F57F3" w:rsidP="00F77C66">
      <w:pPr>
        <w:rPr>
          <w:color w:val="000000"/>
          <w:sz w:val="22"/>
          <w:szCs w:val="22"/>
        </w:rPr>
      </w:pPr>
    </w:p>
    <w:p w14:paraId="05B8AFF4" w14:textId="77777777" w:rsidR="005F57F3" w:rsidRPr="006774D3" w:rsidRDefault="005F57F3" w:rsidP="00F77C66">
      <w:pPr>
        <w:pStyle w:val="EndnoteText"/>
        <w:spacing w:before="0" w:after="0"/>
        <w:ind w:left="0" w:firstLine="0"/>
        <w:rPr>
          <w:color w:val="000000"/>
          <w:sz w:val="22"/>
          <w:szCs w:val="22"/>
          <w:lang w:val="is-IS"/>
        </w:rPr>
      </w:pPr>
    </w:p>
    <w:p w14:paraId="05B8AFF5" w14:textId="77777777" w:rsidR="005F57F3" w:rsidRPr="006774D3" w:rsidRDefault="005F57F3" w:rsidP="00F77C66">
      <w:pPr>
        <w:rPr>
          <w:color w:val="000000"/>
          <w:sz w:val="22"/>
          <w:szCs w:val="22"/>
        </w:rPr>
      </w:pPr>
    </w:p>
    <w:p w14:paraId="05B8AFF6" w14:textId="77777777" w:rsidR="005F57F3" w:rsidRPr="006774D3" w:rsidRDefault="005F57F3" w:rsidP="00F77C66">
      <w:pPr>
        <w:rPr>
          <w:color w:val="000000"/>
          <w:sz w:val="22"/>
          <w:szCs w:val="22"/>
        </w:rPr>
      </w:pPr>
    </w:p>
    <w:p w14:paraId="05B8AFF7"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AFF8" w14:textId="77777777" w:rsidR="005F57F3" w:rsidRPr="006774D3" w:rsidRDefault="005F57F3" w:rsidP="00F77C66">
      <w:pPr>
        <w:rPr>
          <w:color w:val="000000"/>
          <w:sz w:val="22"/>
          <w:szCs w:val="22"/>
        </w:rPr>
      </w:pPr>
    </w:p>
    <w:p w14:paraId="05B8AFF9" w14:textId="77777777" w:rsidR="005F57F3" w:rsidRPr="006774D3" w:rsidRDefault="005F57F3" w:rsidP="00F77C66">
      <w:pPr>
        <w:rPr>
          <w:color w:val="000000"/>
          <w:sz w:val="22"/>
          <w:szCs w:val="22"/>
        </w:rPr>
      </w:pPr>
    </w:p>
    <w:p w14:paraId="05B8AFFA" w14:textId="77777777" w:rsidR="005F57F3" w:rsidRPr="006774D3" w:rsidRDefault="005F57F3" w:rsidP="00F77C66">
      <w:pPr>
        <w:pStyle w:val="EndnoteText"/>
        <w:spacing w:before="0" w:after="0"/>
        <w:ind w:left="0" w:firstLine="0"/>
        <w:rPr>
          <w:color w:val="000000"/>
          <w:sz w:val="22"/>
          <w:szCs w:val="22"/>
          <w:lang w:val="is-IS"/>
        </w:rPr>
      </w:pPr>
    </w:p>
    <w:p w14:paraId="05B8AFFB" w14:textId="77777777" w:rsidR="005F57F3" w:rsidRPr="006774D3" w:rsidRDefault="005F57F3" w:rsidP="00F77C66">
      <w:pPr>
        <w:pStyle w:val="EndnoteText"/>
        <w:spacing w:before="0" w:after="0"/>
        <w:ind w:left="0" w:firstLine="0"/>
        <w:rPr>
          <w:color w:val="000000"/>
          <w:sz w:val="22"/>
          <w:szCs w:val="22"/>
          <w:lang w:val="is-IS"/>
        </w:rPr>
      </w:pPr>
    </w:p>
    <w:p w14:paraId="05B8AFFC" w14:textId="77777777" w:rsidR="005F57F3" w:rsidRPr="006774D3" w:rsidRDefault="005F57F3" w:rsidP="00F77C66">
      <w:pPr>
        <w:pStyle w:val="EndnoteText"/>
        <w:spacing w:before="0" w:after="0"/>
        <w:ind w:left="0" w:firstLine="0"/>
        <w:rPr>
          <w:color w:val="000000"/>
          <w:sz w:val="22"/>
          <w:szCs w:val="22"/>
          <w:lang w:val="is-IS"/>
        </w:rPr>
      </w:pPr>
    </w:p>
    <w:p w14:paraId="05B8AFFD" w14:textId="77777777" w:rsidR="005F57F3" w:rsidRPr="006774D3" w:rsidRDefault="005F57F3" w:rsidP="00F77C66">
      <w:pPr>
        <w:rPr>
          <w:color w:val="000000"/>
          <w:sz w:val="22"/>
          <w:szCs w:val="22"/>
        </w:rPr>
      </w:pPr>
    </w:p>
    <w:p w14:paraId="05B8AFFE" w14:textId="77777777" w:rsidR="005F57F3" w:rsidRPr="006774D3" w:rsidRDefault="005F57F3" w:rsidP="00F77C66">
      <w:pPr>
        <w:rPr>
          <w:color w:val="000000"/>
          <w:sz w:val="22"/>
          <w:szCs w:val="22"/>
        </w:rPr>
      </w:pPr>
    </w:p>
    <w:p w14:paraId="05B8AFFF" w14:textId="77777777" w:rsidR="005F57F3" w:rsidRPr="006774D3" w:rsidRDefault="005F57F3" w:rsidP="00F77C66">
      <w:pPr>
        <w:jc w:val="center"/>
        <w:outlineLvl w:val="0"/>
        <w:rPr>
          <w:color w:val="000000"/>
          <w:sz w:val="22"/>
          <w:szCs w:val="22"/>
        </w:rPr>
      </w:pPr>
      <w:r w:rsidRPr="006774D3">
        <w:rPr>
          <w:b/>
          <w:color w:val="000000"/>
          <w:sz w:val="22"/>
          <w:szCs w:val="22"/>
        </w:rPr>
        <w:t>VIÐAUKI I</w:t>
      </w:r>
    </w:p>
    <w:p w14:paraId="05B8B000" w14:textId="77777777" w:rsidR="005F57F3" w:rsidRPr="006774D3" w:rsidRDefault="005F57F3" w:rsidP="00F77C66">
      <w:pPr>
        <w:jc w:val="center"/>
        <w:rPr>
          <w:color w:val="000000"/>
          <w:sz w:val="22"/>
          <w:szCs w:val="22"/>
        </w:rPr>
      </w:pPr>
    </w:p>
    <w:p w14:paraId="05B8B001" w14:textId="77777777" w:rsidR="005F57F3" w:rsidRPr="006774D3" w:rsidRDefault="005F57F3" w:rsidP="00F77C66">
      <w:pPr>
        <w:jc w:val="center"/>
        <w:outlineLvl w:val="0"/>
        <w:rPr>
          <w:b/>
          <w:color w:val="000000"/>
          <w:sz w:val="22"/>
          <w:szCs w:val="22"/>
        </w:rPr>
      </w:pPr>
      <w:r w:rsidRPr="006774D3">
        <w:rPr>
          <w:b/>
          <w:color w:val="000000"/>
          <w:sz w:val="22"/>
          <w:szCs w:val="22"/>
        </w:rPr>
        <w:t>SAMANTEKT Á EIGINLEIKUM LYFS</w:t>
      </w:r>
    </w:p>
    <w:p w14:paraId="05B8B002" w14:textId="77777777" w:rsidR="0051569D" w:rsidRPr="006774D3" w:rsidRDefault="005F57F3" w:rsidP="00F77C66">
      <w:pPr>
        <w:rPr>
          <w:sz w:val="22"/>
          <w:szCs w:val="22"/>
        </w:rPr>
      </w:pPr>
      <w:r w:rsidRPr="006774D3">
        <w:rPr>
          <w:b/>
          <w:color w:val="000000"/>
          <w:sz w:val="22"/>
          <w:szCs w:val="22"/>
        </w:rPr>
        <w:br w:type="page"/>
      </w:r>
      <w:r w:rsidR="00EA2A58" w:rsidRPr="006774D3">
        <w:rPr>
          <w:noProof/>
          <w:sz w:val="22"/>
          <w:szCs w:val="20"/>
          <w:lang w:eastAsia="en-GB"/>
        </w:rPr>
        <w:lastRenderedPageBreak/>
        <w:drawing>
          <wp:inline distT="0" distB="0" distL="0" distR="0" wp14:anchorId="05B8C4AC" wp14:editId="05B8C4AD">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51569D" w:rsidRPr="006774D3">
        <w:rPr>
          <w:sz w:val="22"/>
          <w:szCs w:val="22"/>
        </w:rPr>
        <w:t>Þetta lyf er undir sérstöku eftirliti til að nýjar upplýsingar um öryggi lyfsins komist fljótt og örugglega til skila. Heilbrigðisstarfsmenn eru hvattir til að tilkynna allar aukaverkanir sem grunur er um að tengist lyfinu. Í kafla</w:t>
      </w:r>
      <w:r w:rsidR="007038B3" w:rsidRPr="006774D3">
        <w:rPr>
          <w:sz w:val="22"/>
          <w:szCs w:val="22"/>
        </w:rPr>
        <w:t> </w:t>
      </w:r>
      <w:r w:rsidR="0051569D" w:rsidRPr="006774D3">
        <w:rPr>
          <w:sz w:val="22"/>
          <w:szCs w:val="22"/>
        </w:rPr>
        <w:t>4.8 eru upplýsingar um hvernig tilkynna á aukaverkanir.</w:t>
      </w:r>
    </w:p>
    <w:p w14:paraId="05B8B003" w14:textId="77777777" w:rsidR="0051569D" w:rsidRPr="006774D3" w:rsidRDefault="0051569D" w:rsidP="00F77C66">
      <w:pPr>
        <w:tabs>
          <w:tab w:val="left" w:pos="5062"/>
        </w:tabs>
        <w:rPr>
          <w:sz w:val="22"/>
          <w:szCs w:val="22"/>
        </w:rPr>
      </w:pPr>
    </w:p>
    <w:p w14:paraId="05B8B004" w14:textId="77777777" w:rsidR="0051569D" w:rsidRPr="006774D3" w:rsidRDefault="0051569D" w:rsidP="00F77C66">
      <w:pPr>
        <w:rPr>
          <w:sz w:val="22"/>
          <w:szCs w:val="22"/>
        </w:rPr>
      </w:pPr>
    </w:p>
    <w:p w14:paraId="05B8B005" w14:textId="77777777" w:rsidR="005F57F3" w:rsidRPr="006774D3" w:rsidRDefault="005F57F3" w:rsidP="00F77C66">
      <w:pPr>
        <w:outlineLvl w:val="0"/>
        <w:rPr>
          <w:b/>
          <w:color w:val="000000"/>
          <w:sz w:val="22"/>
          <w:szCs w:val="22"/>
        </w:rPr>
      </w:pPr>
      <w:r w:rsidRPr="006774D3">
        <w:rPr>
          <w:b/>
          <w:color w:val="000000"/>
          <w:sz w:val="22"/>
          <w:szCs w:val="22"/>
        </w:rPr>
        <w:t>1.</w:t>
      </w:r>
      <w:r w:rsidRPr="006774D3">
        <w:rPr>
          <w:b/>
          <w:color w:val="000000"/>
          <w:sz w:val="22"/>
          <w:szCs w:val="22"/>
        </w:rPr>
        <w:tab/>
        <w:t>HEITI LYFS</w:t>
      </w:r>
    </w:p>
    <w:p w14:paraId="05B8B006" w14:textId="77777777" w:rsidR="005F57F3" w:rsidRPr="006774D3" w:rsidRDefault="005F57F3" w:rsidP="00F77C66">
      <w:pPr>
        <w:rPr>
          <w:color w:val="000000"/>
          <w:sz w:val="22"/>
          <w:szCs w:val="22"/>
        </w:rPr>
      </w:pPr>
    </w:p>
    <w:p w14:paraId="05B8B008" w14:textId="77777777" w:rsidR="00490288" w:rsidRPr="006774D3" w:rsidRDefault="00490288"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Glivec 100 mg hörð hylki</w:t>
      </w:r>
    </w:p>
    <w:p w14:paraId="05B8B009" w14:textId="77777777" w:rsidR="005F57F3" w:rsidRPr="006774D3" w:rsidRDefault="005F57F3" w:rsidP="00F77C66">
      <w:pPr>
        <w:rPr>
          <w:color w:val="000000"/>
          <w:sz w:val="22"/>
          <w:szCs w:val="22"/>
        </w:rPr>
      </w:pPr>
    </w:p>
    <w:p w14:paraId="05B8B00A" w14:textId="77777777" w:rsidR="005F57F3" w:rsidRPr="006774D3" w:rsidRDefault="005F57F3" w:rsidP="00F77C66">
      <w:pPr>
        <w:rPr>
          <w:color w:val="000000"/>
          <w:sz w:val="22"/>
          <w:szCs w:val="22"/>
        </w:rPr>
      </w:pPr>
    </w:p>
    <w:p w14:paraId="05B8B00B" w14:textId="77777777" w:rsidR="005F57F3" w:rsidRPr="006774D3" w:rsidRDefault="005F57F3" w:rsidP="00F77C66">
      <w:pPr>
        <w:keepNext/>
        <w:rPr>
          <w:color w:val="000000"/>
          <w:sz w:val="22"/>
          <w:szCs w:val="22"/>
        </w:rPr>
      </w:pPr>
      <w:r w:rsidRPr="006774D3">
        <w:rPr>
          <w:b/>
          <w:color w:val="000000"/>
          <w:sz w:val="22"/>
          <w:szCs w:val="22"/>
        </w:rPr>
        <w:t>2.</w:t>
      </w:r>
      <w:r w:rsidRPr="006774D3">
        <w:rPr>
          <w:b/>
          <w:color w:val="000000"/>
          <w:sz w:val="22"/>
          <w:szCs w:val="22"/>
        </w:rPr>
        <w:tab/>
      </w:r>
      <w:r w:rsidR="00886CE5" w:rsidRPr="006774D3">
        <w:rPr>
          <w:b/>
          <w:color w:val="000000"/>
          <w:sz w:val="22"/>
          <w:szCs w:val="22"/>
        </w:rPr>
        <w:t>INNIHALDSLÝSING</w:t>
      </w:r>
    </w:p>
    <w:p w14:paraId="05B8B00C" w14:textId="77777777" w:rsidR="005F57F3" w:rsidRPr="006774D3" w:rsidRDefault="005F57F3" w:rsidP="00F77C66">
      <w:pPr>
        <w:keepNext/>
        <w:outlineLvl w:val="0"/>
        <w:rPr>
          <w:color w:val="000000"/>
          <w:sz w:val="22"/>
          <w:szCs w:val="22"/>
        </w:rPr>
      </w:pPr>
    </w:p>
    <w:p w14:paraId="05B8B011" w14:textId="77777777" w:rsidR="00490288" w:rsidRPr="006774D3" w:rsidRDefault="00490288" w:rsidP="00F77C66">
      <w:pPr>
        <w:outlineLvl w:val="0"/>
        <w:rPr>
          <w:color w:val="000000"/>
          <w:sz w:val="22"/>
          <w:szCs w:val="22"/>
        </w:rPr>
      </w:pPr>
      <w:r w:rsidRPr="006774D3">
        <w:rPr>
          <w:color w:val="000000"/>
          <w:sz w:val="22"/>
          <w:szCs w:val="22"/>
        </w:rPr>
        <w:t>Hvert hylki inniheldur imatinib 100 mg (sem mesilat).</w:t>
      </w:r>
    </w:p>
    <w:p w14:paraId="05B8B012" w14:textId="77777777" w:rsidR="00490288" w:rsidRPr="006774D3" w:rsidRDefault="00490288" w:rsidP="00F77C66">
      <w:pPr>
        <w:outlineLvl w:val="0"/>
        <w:rPr>
          <w:color w:val="000000"/>
          <w:sz w:val="22"/>
          <w:szCs w:val="22"/>
        </w:rPr>
      </w:pPr>
    </w:p>
    <w:p w14:paraId="05B8B013" w14:textId="77777777" w:rsidR="005F57F3" w:rsidRPr="006774D3" w:rsidRDefault="005F57F3" w:rsidP="00F77C66">
      <w:pPr>
        <w:rPr>
          <w:color w:val="000000"/>
          <w:sz w:val="22"/>
          <w:szCs w:val="22"/>
        </w:rPr>
      </w:pPr>
      <w:r w:rsidRPr="006774D3">
        <w:rPr>
          <w:color w:val="000000"/>
          <w:sz w:val="22"/>
          <w:szCs w:val="22"/>
        </w:rPr>
        <w:t>Sjá lista yfir öll hjálparefni í kafla 6.1.</w:t>
      </w:r>
    </w:p>
    <w:p w14:paraId="05B8B014" w14:textId="77777777" w:rsidR="005F57F3" w:rsidRPr="006774D3" w:rsidRDefault="005F57F3" w:rsidP="00F77C66">
      <w:pPr>
        <w:rPr>
          <w:color w:val="000000"/>
          <w:sz w:val="22"/>
          <w:szCs w:val="22"/>
        </w:rPr>
      </w:pPr>
    </w:p>
    <w:p w14:paraId="05B8B015" w14:textId="77777777" w:rsidR="005F57F3" w:rsidRPr="006774D3" w:rsidRDefault="005F57F3" w:rsidP="00F77C66">
      <w:pPr>
        <w:rPr>
          <w:color w:val="000000"/>
          <w:sz w:val="22"/>
          <w:szCs w:val="22"/>
        </w:rPr>
      </w:pPr>
    </w:p>
    <w:p w14:paraId="05B8B016" w14:textId="77777777" w:rsidR="005F57F3" w:rsidRPr="006774D3" w:rsidRDefault="005F57F3" w:rsidP="00F77C66">
      <w:pPr>
        <w:keepNext/>
        <w:rPr>
          <w:color w:val="000000"/>
          <w:sz w:val="22"/>
          <w:szCs w:val="22"/>
        </w:rPr>
      </w:pPr>
      <w:r w:rsidRPr="006774D3">
        <w:rPr>
          <w:b/>
          <w:color w:val="000000"/>
          <w:sz w:val="22"/>
          <w:szCs w:val="22"/>
        </w:rPr>
        <w:t>3.</w:t>
      </w:r>
      <w:r w:rsidRPr="006774D3">
        <w:rPr>
          <w:b/>
          <w:color w:val="000000"/>
          <w:sz w:val="22"/>
          <w:szCs w:val="22"/>
        </w:rPr>
        <w:tab/>
        <w:t>LYFJAFORM</w:t>
      </w:r>
    </w:p>
    <w:p w14:paraId="05B8B017" w14:textId="77777777" w:rsidR="005F57F3" w:rsidRPr="006774D3" w:rsidRDefault="005F57F3" w:rsidP="00F77C66">
      <w:pPr>
        <w:keepNext/>
        <w:rPr>
          <w:color w:val="000000"/>
          <w:sz w:val="22"/>
          <w:szCs w:val="22"/>
        </w:rPr>
      </w:pPr>
    </w:p>
    <w:p w14:paraId="05B8B018" w14:textId="77777777" w:rsidR="005F57F3" w:rsidRPr="006774D3" w:rsidRDefault="005F57F3" w:rsidP="00F77C66">
      <w:pPr>
        <w:rPr>
          <w:color w:val="000000"/>
          <w:sz w:val="22"/>
          <w:szCs w:val="22"/>
        </w:rPr>
      </w:pPr>
      <w:r w:rsidRPr="006774D3">
        <w:rPr>
          <w:color w:val="000000"/>
          <w:sz w:val="22"/>
          <w:szCs w:val="22"/>
        </w:rPr>
        <w:t>Hart hylki.</w:t>
      </w:r>
    </w:p>
    <w:p w14:paraId="05B8B019" w14:textId="77777777" w:rsidR="005F57F3" w:rsidRPr="006774D3" w:rsidRDefault="005F57F3" w:rsidP="00F77C66">
      <w:pPr>
        <w:rPr>
          <w:color w:val="000000"/>
          <w:sz w:val="22"/>
          <w:szCs w:val="22"/>
        </w:rPr>
      </w:pPr>
    </w:p>
    <w:p w14:paraId="05B8B01E" w14:textId="77777777" w:rsidR="00490288" w:rsidRPr="006774D3" w:rsidRDefault="00490288" w:rsidP="00F77C66">
      <w:pPr>
        <w:rPr>
          <w:color w:val="000000"/>
          <w:sz w:val="22"/>
          <w:szCs w:val="22"/>
        </w:rPr>
      </w:pPr>
      <w:r w:rsidRPr="006774D3">
        <w:rPr>
          <w:color w:val="000000"/>
          <w:sz w:val="22"/>
          <w:szCs w:val="22"/>
        </w:rPr>
        <w:t>Hvítt til gult þurrefni í ógegnsæju hylki sem er appelsínugult til gráappelsínugult á litinn, auðkennt „NVR SI“.</w:t>
      </w:r>
    </w:p>
    <w:p w14:paraId="05B8B01F" w14:textId="77777777" w:rsidR="00490288" w:rsidRPr="006774D3" w:rsidRDefault="00490288" w:rsidP="00F77C66">
      <w:pPr>
        <w:rPr>
          <w:color w:val="000000"/>
          <w:sz w:val="22"/>
          <w:szCs w:val="22"/>
        </w:rPr>
      </w:pPr>
    </w:p>
    <w:p w14:paraId="05B8B020" w14:textId="77777777" w:rsidR="005F57F3" w:rsidRPr="006774D3" w:rsidRDefault="005F57F3" w:rsidP="00F77C66">
      <w:pPr>
        <w:rPr>
          <w:color w:val="000000"/>
          <w:sz w:val="22"/>
          <w:szCs w:val="22"/>
        </w:rPr>
      </w:pPr>
    </w:p>
    <w:p w14:paraId="05B8B021" w14:textId="77777777" w:rsidR="005F57F3" w:rsidRPr="006774D3" w:rsidRDefault="005F57F3" w:rsidP="00B739D9">
      <w:pPr>
        <w:keepNext/>
        <w:rPr>
          <w:color w:val="000000"/>
          <w:sz w:val="22"/>
          <w:szCs w:val="22"/>
        </w:rPr>
      </w:pPr>
      <w:r w:rsidRPr="006774D3">
        <w:rPr>
          <w:b/>
          <w:color w:val="000000"/>
          <w:sz w:val="22"/>
          <w:szCs w:val="22"/>
        </w:rPr>
        <w:t>4.</w:t>
      </w:r>
      <w:r w:rsidRPr="006774D3">
        <w:rPr>
          <w:b/>
          <w:color w:val="000000"/>
          <w:sz w:val="22"/>
          <w:szCs w:val="22"/>
        </w:rPr>
        <w:tab/>
        <w:t>KLÍNÍSKAR UPPLÝSINGAR</w:t>
      </w:r>
    </w:p>
    <w:p w14:paraId="05B8B022" w14:textId="77777777" w:rsidR="005F57F3" w:rsidRPr="006774D3" w:rsidRDefault="005F57F3" w:rsidP="00B739D9">
      <w:pPr>
        <w:keepNext/>
        <w:rPr>
          <w:color w:val="000000"/>
          <w:sz w:val="22"/>
          <w:szCs w:val="22"/>
        </w:rPr>
      </w:pPr>
    </w:p>
    <w:p w14:paraId="05B8B023" w14:textId="77777777" w:rsidR="005F57F3" w:rsidRPr="006774D3" w:rsidRDefault="005F57F3" w:rsidP="00B739D9">
      <w:pPr>
        <w:keepNext/>
        <w:rPr>
          <w:color w:val="000000"/>
          <w:sz w:val="22"/>
          <w:szCs w:val="22"/>
        </w:rPr>
      </w:pPr>
      <w:r w:rsidRPr="006774D3">
        <w:rPr>
          <w:b/>
          <w:color w:val="000000"/>
          <w:sz w:val="22"/>
          <w:szCs w:val="22"/>
        </w:rPr>
        <w:t>4.1</w:t>
      </w:r>
      <w:r w:rsidRPr="006774D3">
        <w:rPr>
          <w:b/>
          <w:color w:val="000000"/>
          <w:sz w:val="22"/>
          <w:szCs w:val="22"/>
        </w:rPr>
        <w:tab/>
        <w:t>Ábendingar</w:t>
      </w:r>
    </w:p>
    <w:p w14:paraId="05B8B024" w14:textId="77777777" w:rsidR="005F57F3" w:rsidRPr="006774D3" w:rsidRDefault="005F57F3" w:rsidP="00B739D9">
      <w:pPr>
        <w:keepNext/>
        <w:rPr>
          <w:color w:val="000000"/>
          <w:sz w:val="22"/>
          <w:szCs w:val="22"/>
        </w:rPr>
      </w:pPr>
    </w:p>
    <w:p w14:paraId="05B8B025" w14:textId="77777777" w:rsidR="005F57F3" w:rsidRPr="006774D3" w:rsidRDefault="005F57F3" w:rsidP="00B739D9">
      <w:pPr>
        <w:pStyle w:val="EndnoteText"/>
        <w:keepNext/>
        <w:spacing w:before="0" w:after="0"/>
        <w:ind w:left="0" w:firstLine="0"/>
        <w:rPr>
          <w:color w:val="000000"/>
          <w:sz w:val="22"/>
          <w:szCs w:val="22"/>
          <w:lang w:val="is-IS"/>
        </w:rPr>
      </w:pPr>
      <w:r w:rsidRPr="006774D3">
        <w:rPr>
          <w:color w:val="000000"/>
          <w:sz w:val="22"/>
          <w:szCs w:val="22"/>
          <w:lang w:val="is-IS"/>
        </w:rPr>
        <w:t>Glivec er ætlað til meðferðar hjá</w:t>
      </w:r>
    </w:p>
    <w:p w14:paraId="05B8B026"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og börnum með nýlega greint Fíladelfíulitnings (bcr</w:t>
      </w:r>
      <w:r w:rsidRPr="006774D3">
        <w:rPr>
          <w:color w:val="000000"/>
          <w:sz w:val="22"/>
          <w:szCs w:val="22"/>
          <w:lang w:val="is-IS"/>
        </w:rPr>
        <w:noBreakHyphen/>
        <w:t>abl) jákvætt (Ph+) langvarandi kyrningahvítblæði (chronic myeloid leukaemia [CML]), þar sem beinmergsskipti eru ekki talin eiga við sem fyrsta meðferð.</w:t>
      </w:r>
    </w:p>
    <w:p w14:paraId="05B8B027"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og börnum með Ph+ CML í stöðugum (chronic) fasa eftir að meðferð með interferon</w:t>
      </w:r>
      <w:r w:rsidR="00DE70B0" w:rsidRPr="006774D3">
        <w:rPr>
          <w:color w:val="000000"/>
          <w:sz w:val="22"/>
          <w:szCs w:val="22"/>
          <w:lang w:val="is-IS"/>
        </w:rPr>
        <w:t>i</w:t>
      </w:r>
      <w:r w:rsidRPr="006774D3">
        <w:rPr>
          <w:color w:val="000000"/>
          <w:sz w:val="22"/>
          <w:szCs w:val="22"/>
          <w:lang w:val="is-IS"/>
        </w:rPr>
        <w:noBreakHyphen/>
        <w:t>alfa hefur ekki borið árangur, eða í hröðunarfasa (accelerated phase) eða bráðafasa (blast crisis).</w:t>
      </w:r>
    </w:p>
    <w:p w14:paraId="05B8B028"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 xml:space="preserve">fullorðnum </w:t>
      </w:r>
      <w:r w:rsidR="007B1A77" w:rsidRPr="006774D3">
        <w:rPr>
          <w:color w:val="000000"/>
          <w:sz w:val="22"/>
          <w:szCs w:val="22"/>
          <w:lang w:val="is-IS"/>
        </w:rPr>
        <w:t xml:space="preserve">og börnum </w:t>
      </w:r>
      <w:r w:rsidRPr="006774D3">
        <w:rPr>
          <w:color w:val="000000"/>
          <w:sz w:val="22"/>
          <w:szCs w:val="22"/>
          <w:lang w:val="is-IS"/>
        </w:rPr>
        <w:t>með nýlega greint Fíladelfíulitnings jákvætt brátt eitilfrumuhvít</w:t>
      </w:r>
      <w:r w:rsidRPr="006774D3">
        <w:rPr>
          <w:color w:val="000000"/>
          <w:sz w:val="22"/>
          <w:szCs w:val="22"/>
          <w:lang w:val="is-IS"/>
        </w:rPr>
        <w:softHyphen/>
        <w:t>blæði (acute lymphoblastic leukaemia) (Ph+ ALL) í tengslum við krabbameinslyfjameðferð.</w:t>
      </w:r>
    </w:p>
    <w:p w14:paraId="05B8B029"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endurkomið eða þrálátt Ph+ ALL, sem einlyfjameðferð.</w:t>
      </w:r>
    </w:p>
    <w:p w14:paraId="05B8B02A"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mergrangvaxtarsjúkdóma/mergfrumnafjölgunarsjúkdóma (myelodys</w:t>
      </w:r>
      <w:r w:rsidRPr="006774D3">
        <w:rPr>
          <w:color w:val="000000"/>
          <w:sz w:val="22"/>
          <w:szCs w:val="22"/>
          <w:lang w:val="is-IS"/>
        </w:rPr>
        <w:softHyphen/>
        <w:t>plastic/myeloproliferative diseases [MDS/MPD]) í tengslum við PDGFR (platelet-derived growth factor receptor) endurröðun erfðavísa.</w:t>
      </w:r>
    </w:p>
    <w:p w14:paraId="05B8B02B" w14:textId="77777777" w:rsidR="005F57F3" w:rsidRPr="006774D3" w:rsidRDefault="005F57F3"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langt gengið rauðkyrningagersheilkenni (hypereosinophilic syndrome [HES]) og/eða langvarandi rauðkyrningahvítblæði (chronic eosinophilic leukaemia [CEL]) með FIP1L1</w:t>
      </w:r>
      <w:r w:rsidRPr="006774D3">
        <w:rPr>
          <w:color w:val="000000"/>
          <w:sz w:val="22"/>
          <w:szCs w:val="22"/>
          <w:lang w:val="is-IS"/>
        </w:rPr>
        <w:noBreakHyphen/>
        <w:t>PDGFRα endurröðun.</w:t>
      </w:r>
    </w:p>
    <w:p w14:paraId="05B8B02C" w14:textId="77777777" w:rsidR="005F57F3" w:rsidRPr="006774D3" w:rsidRDefault="005F57F3" w:rsidP="00F77C66">
      <w:pPr>
        <w:pStyle w:val="EndnoteText"/>
        <w:spacing w:before="0" w:after="0"/>
        <w:ind w:left="0" w:firstLine="0"/>
        <w:rPr>
          <w:color w:val="000000"/>
          <w:sz w:val="22"/>
          <w:szCs w:val="22"/>
          <w:lang w:val="is-IS"/>
        </w:rPr>
      </w:pPr>
    </w:p>
    <w:p w14:paraId="05B8B02D"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Áhrif Glivec á niðurstöðu beinmergsskipta hafa ekki verið staðfest.</w:t>
      </w:r>
    </w:p>
    <w:p w14:paraId="05B8B02E" w14:textId="77777777" w:rsidR="005F57F3" w:rsidRPr="006774D3" w:rsidRDefault="005F57F3" w:rsidP="00F77C66">
      <w:pPr>
        <w:pStyle w:val="EndnoteText"/>
        <w:spacing w:before="0" w:after="0"/>
        <w:ind w:left="0" w:firstLine="0"/>
        <w:rPr>
          <w:color w:val="000000"/>
          <w:sz w:val="22"/>
          <w:szCs w:val="22"/>
          <w:lang w:val="is-IS"/>
        </w:rPr>
      </w:pPr>
    </w:p>
    <w:p w14:paraId="05B8B02F" w14:textId="77777777" w:rsidR="00AB3B45" w:rsidRPr="006774D3" w:rsidRDefault="00AB3B45" w:rsidP="00B739D9">
      <w:pPr>
        <w:pStyle w:val="EndnoteText"/>
        <w:keepNext/>
        <w:spacing w:before="0" w:after="0"/>
        <w:ind w:left="0" w:firstLine="0"/>
        <w:rPr>
          <w:color w:val="000000"/>
          <w:sz w:val="22"/>
          <w:szCs w:val="22"/>
          <w:lang w:val="is-IS"/>
        </w:rPr>
      </w:pPr>
      <w:r w:rsidRPr="006774D3">
        <w:rPr>
          <w:color w:val="000000"/>
          <w:sz w:val="22"/>
          <w:szCs w:val="22"/>
          <w:lang w:val="is-IS"/>
        </w:rPr>
        <w:t>Glivec er ætlað til</w:t>
      </w:r>
    </w:p>
    <w:p w14:paraId="05B8B030" w14:textId="77777777" w:rsidR="00AB3B45" w:rsidRPr="006774D3" w:rsidRDefault="00AB3B45"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 xml:space="preserve">meðferðar hjá fullorðnum sjúklingum með Kit (CD 117) jákvæð, </w:t>
      </w:r>
      <w:bookmarkStart w:id="1" w:name="OLE_LINK5"/>
      <w:bookmarkStart w:id="2" w:name="OLE_LINK6"/>
      <w:r w:rsidRPr="006774D3">
        <w:rPr>
          <w:color w:val="000000"/>
          <w:sz w:val="22"/>
          <w:szCs w:val="22"/>
          <w:lang w:val="is-IS"/>
        </w:rPr>
        <w:t>óskurðtæk og/eða illkynja</w:t>
      </w:r>
      <w:bookmarkEnd w:id="1"/>
      <w:bookmarkEnd w:id="2"/>
      <w:r w:rsidRPr="006774D3">
        <w:rPr>
          <w:color w:val="000000"/>
          <w:sz w:val="22"/>
          <w:szCs w:val="22"/>
          <w:lang w:val="is-IS"/>
        </w:rPr>
        <w:t xml:space="preserve"> æxli í stoðvef maga og þarma með meinvörpum (gastrointestinal stromal tumours [GIST]).</w:t>
      </w:r>
    </w:p>
    <w:p w14:paraId="05B8B031" w14:textId="77777777" w:rsidR="00AB3B45" w:rsidRPr="006774D3" w:rsidRDefault="00AB3B45"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viðbótarmeðferðar (adjuvant treatment) hjá fullorðnum sjúklingum, sem eru í verulegri hættu á endurkomu æxlis, eftir brottnám (resection) Kit (CD 117)</w:t>
      </w:r>
      <w:r w:rsidRPr="006774D3">
        <w:rPr>
          <w:color w:val="000000"/>
          <w:sz w:val="22"/>
          <w:szCs w:val="22"/>
          <w:lang w:val="is-IS"/>
        </w:rPr>
        <w:noBreakHyphen/>
        <w:t xml:space="preserve">jákvæðs GIST. </w:t>
      </w:r>
      <w:r w:rsidR="00640CC0" w:rsidRPr="006774D3">
        <w:rPr>
          <w:color w:val="000000"/>
          <w:sz w:val="22"/>
          <w:szCs w:val="22"/>
          <w:lang w:val="is-IS"/>
        </w:rPr>
        <w:t>Sjúklingar sem eru í lítilli eða mjög lítilli hættu á endurkomu æxlis ættu ekki að fá viðbótarmeðferð.</w:t>
      </w:r>
    </w:p>
    <w:p w14:paraId="05B8B032" w14:textId="77777777" w:rsidR="00AB3B45" w:rsidRPr="006774D3" w:rsidRDefault="00AB3B45"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meðferðar hjá fullorðnum sjúklingum með óskurðtækt gnúpahúðbandvefssarkmein (dermatofibro</w:t>
      </w:r>
      <w:r w:rsidRPr="006774D3">
        <w:rPr>
          <w:color w:val="000000"/>
          <w:sz w:val="22"/>
          <w:szCs w:val="22"/>
          <w:lang w:val="is-IS"/>
        </w:rPr>
        <w:softHyphen/>
        <w:t>sarcoma protuberans [DFSP]) og fullorðnum sjúklingum með endurkomið DFSP og/eða DFSP með mein</w:t>
      </w:r>
      <w:r w:rsidRPr="006774D3">
        <w:rPr>
          <w:color w:val="000000"/>
          <w:sz w:val="22"/>
          <w:szCs w:val="22"/>
          <w:lang w:val="is-IS"/>
        </w:rPr>
        <w:softHyphen/>
        <w:t>vörpum, ef skurðaðgerð á ekki við.</w:t>
      </w:r>
    </w:p>
    <w:p w14:paraId="05B8B033" w14:textId="77777777" w:rsidR="00AB3B45" w:rsidRPr="006774D3" w:rsidRDefault="00AB3B45" w:rsidP="00F77C66">
      <w:pPr>
        <w:pStyle w:val="EndnoteText"/>
        <w:spacing w:before="0" w:after="0"/>
        <w:ind w:left="0" w:firstLine="0"/>
        <w:rPr>
          <w:color w:val="000000"/>
          <w:sz w:val="22"/>
          <w:szCs w:val="22"/>
          <w:lang w:val="is-IS"/>
        </w:rPr>
      </w:pPr>
    </w:p>
    <w:p w14:paraId="05B8B034" w14:textId="77777777" w:rsidR="00AB3B45" w:rsidRPr="006774D3" w:rsidRDefault="00AB3B45" w:rsidP="00F77C66">
      <w:pPr>
        <w:pStyle w:val="EndnoteText"/>
        <w:spacing w:before="0" w:after="0"/>
        <w:ind w:left="0" w:firstLine="0"/>
        <w:rPr>
          <w:color w:val="000000"/>
          <w:sz w:val="22"/>
          <w:szCs w:val="22"/>
          <w:lang w:val="is-IS"/>
        </w:rPr>
      </w:pPr>
      <w:r w:rsidRPr="006774D3">
        <w:rPr>
          <w:color w:val="000000"/>
          <w:sz w:val="22"/>
          <w:szCs w:val="22"/>
          <w:lang w:val="is-IS"/>
        </w:rPr>
        <w:t>Hjá fullorðnum sjúklingum og börnum er verkun Glivec byggð á heildar blóðgildasvörun (overall hemato</w:t>
      </w:r>
      <w:r w:rsidRPr="006774D3">
        <w:rPr>
          <w:color w:val="000000"/>
          <w:sz w:val="22"/>
          <w:szCs w:val="22"/>
          <w:lang w:val="is-IS"/>
        </w:rPr>
        <w:softHyphen/>
        <w:t>logical response) og litningasvörun (cytogenetic response) og lifun án versnunar þegar um er að ræða CML, blóðgildasvörun og litningasvörun þegar um er að ræða Ph+ ALL, MDS/MPD, blóðgildasvörun þegar um er að ræða HES/CEL og á hlutlægri svörun hjá fullorðnum sjúklingum með óskurðtækt GIST og/eða GIST með meinvörpum og DFSP og lifun án endurkomu þegar um er að ræða viðbótarmeðferð við GIST. Reynsla af notkun Glivec handa sjúklingum með MDS/MPD í tengslum við PDGFR endurröðun erfðavísa er mjög takmörkuð (sjá kafla 5.1). Engar samanburðarrannsóknir hafa verið gerðar sem sýna fram á klínískan ávinning eða lengda lifun fyrir þessa sjúkdóma, nema hvað varðar nýgreint CML í stöðugum fasa.</w:t>
      </w:r>
    </w:p>
    <w:p w14:paraId="05B8B035" w14:textId="77777777" w:rsidR="005F57F3" w:rsidRPr="006774D3" w:rsidRDefault="005F57F3" w:rsidP="00F77C66">
      <w:pPr>
        <w:pStyle w:val="EndnoteText"/>
        <w:spacing w:before="0" w:after="0"/>
        <w:ind w:left="0" w:firstLine="0"/>
        <w:rPr>
          <w:color w:val="000000"/>
          <w:sz w:val="22"/>
          <w:szCs w:val="22"/>
          <w:lang w:val="is-IS"/>
        </w:rPr>
      </w:pPr>
    </w:p>
    <w:p w14:paraId="05B8B036" w14:textId="77777777" w:rsidR="005F57F3" w:rsidRPr="006774D3" w:rsidRDefault="005F57F3" w:rsidP="00F77C66">
      <w:pPr>
        <w:keepNext/>
        <w:rPr>
          <w:color w:val="000000"/>
          <w:sz w:val="22"/>
          <w:szCs w:val="22"/>
        </w:rPr>
      </w:pPr>
      <w:r w:rsidRPr="006774D3">
        <w:rPr>
          <w:b/>
          <w:color w:val="000000"/>
          <w:sz w:val="22"/>
          <w:szCs w:val="22"/>
        </w:rPr>
        <w:t>4.2</w:t>
      </w:r>
      <w:r w:rsidRPr="006774D3">
        <w:rPr>
          <w:b/>
          <w:color w:val="000000"/>
          <w:sz w:val="22"/>
          <w:szCs w:val="22"/>
        </w:rPr>
        <w:tab/>
        <w:t>Skammtar og lyfjagjöf</w:t>
      </w:r>
    </w:p>
    <w:p w14:paraId="05B8B037" w14:textId="77777777" w:rsidR="005F57F3" w:rsidRPr="006774D3" w:rsidRDefault="005F57F3" w:rsidP="00F77C66">
      <w:pPr>
        <w:pStyle w:val="Authors"/>
        <w:spacing w:before="0"/>
        <w:rPr>
          <w:rFonts w:ascii="Times New Roman" w:hAnsi="Times New Roman"/>
          <w:color w:val="000000"/>
          <w:szCs w:val="22"/>
          <w:lang w:val="is-IS"/>
        </w:rPr>
      </w:pPr>
    </w:p>
    <w:p w14:paraId="05B8B038" w14:textId="77777777" w:rsidR="005F57F3" w:rsidRPr="006774D3" w:rsidRDefault="005F57F3" w:rsidP="00B739D9">
      <w:pPr>
        <w:rPr>
          <w:color w:val="000000"/>
          <w:sz w:val="22"/>
          <w:szCs w:val="22"/>
        </w:rPr>
      </w:pPr>
      <w:r w:rsidRPr="006774D3">
        <w:rPr>
          <w:color w:val="000000"/>
          <w:sz w:val="22"/>
          <w:szCs w:val="22"/>
        </w:rPr>
        <w:t>Læknir með reynslu í meðferð sjúklinga með illkynja blóðsjúkdóma eða illkynja sarkmein, eftir því sem við á, á að hefja meðferðina.</w:t>
      </w:r>
    </w:p>
    <w:p w14:paraId="05B8B039" w14:textId="77777777" w:rsidR="005F57F3" w:rsidRPr="006774D3" w:rsidRDefault="005F57F3" w:rsidP="00F77C66">
      <w:pPr>
        <w:rPr>
          <w:color w:val="000000"/>
          <w:sz w:val="22"/>
          <w:szCs w:val="22"/>
        </w:rPr>
      </w:pPr>
    </w:p>
    <w:p w14:paraId="05B8B03A" w14:textId="77777777" w:rsidR="005F57F3" w:rsidRPr="006774D3" w:rsidRDefault="005F57F3" w:rsidP="00F77C66">
      <w:pPr>
        <w:rPr>
          <w:color w:val="000000"/>
          <w:sz w:val="22"/>
          <w:szCs w:val="22"/>
        </w:rPr>
      </w:pPr>
      <w:r w:rsidRPr="006774D3">
        <w:rPr>
          <w:color w:val="000000"/>
          <w:sz w:val="22"/>
          <w:szCs w:val="22"/>
        </w:rPr>
        <w:t>Taka á þann skammt sem við á inn með máltíð og stóru glasi af vatni til að draga úr hættu á ertingu í meltingarvegi. 400 mg og 600 mg skammta skal gefa einu sinni á sólarhring en ef sólarhrings</w:t>
      </w:r>
      <w:r w:rsidRPr="006774D3">
        <w:rPr>
          <w:color w:val="000000"/>
          <w:sz w:val="22"/>
          <w:szCs w:val="22"/>
        </w:rPr>
        <w:softHyphen/>
        <w:t>skammturinn er 800 mg skal gefa hann sem 400 mg tvisvar sinnum á sólarhring, að morgni og að kvöldi. Fyrir sjúklinga (börn) sem ekki geta kyngt hylkjunum, má þynna innihald þeirra í glasi af annaðhvort venjulegu vatni eða eplasafa. Vegna þess að dýrarannsóknir hafa sýnt eituráhrif á æxlun og hugsanleg áhætta fyrir mannsfóstur er óþekkt, skal ráðleggja konum á barneignaraldri sem opna hylkin að meðhöndla innihaldið með varúð og forðast snertingu við húð og augu sem og innöndun (sjá kafla 4.6). Þvo skal hendur strax eftir að opin hylki hafa verið meðhöndluð.</w:t>
      </w:r>
    </w:p>
    <w:p w14:paraId="05B8B03B" w14:textId="77777777" w:rsidR="005F57F3" w:rsidRPr="006774D3" w:rsidRDefault="005F57F3" w:rsidP="00F77C66">
      <w:pPr>
        <w:rPr>
          <w:color w:val="000000"/>
          <w:sz w:val="22"/>
          <w:szCs w:val="22"/>
        </w:rPr>
      </w:pPr>
    </w:p>
    <w:p w14:paraId="05B8B03C" w14:textId="77777777" w:rsidR="005F57F3" w:rsidRPr="006774D3" w:rsidRDefault="005F57F3" w:rsidP="00F77C66">
      <w:pPr>
        <w:pStyle w:val="Heading3"/>
        <w:rPr>
          <w:color w:val="000000"/>
          <w:szCs w:val="22"/>
        </w:rPr>
      </w:pPr>
      <w:r w:rsidRPr="006774D3">
        <w:rPr>
          <w:color w:val="000000"/>
          <w:szCs w:val="22"/>
        </w:rPr>
        <w:t>Skammtar við CML hjá fullorðnum sjúklingum</w:t>
      </w:r>
    </w:p>
    <w:p w14:paraId="05B8B03D" w14:textId="77777777" w:rsidR="005F57F3" w:rsidRPr="006774D3" w:rsidRDefault="005F57F3" w:rsidP="00B739D9">
      <w:pPr>
        <w:rPr>
          <w:color w:val="000000"/>
          <w:sz w:val="22"/>
          <w:szCs w:val="22"/>
        </w:rPr>
      </w:pPr>
      <w:r w:rsidRPr="006774D3">
        <w:rPr>
          <w:color w:val="000000"/>
          <w:sz w:val="22"/>
          <w:szCs w:val="22"/>
        </w:rPr>
        <w:t xml:space="preserve">Ráðlagður skammtur af Glivec er 400 mg/sólarhring fyrir </w:t>
      </w:r>
      <w:r w:rsidR="00D25FC3" w:rsidRPr="006774D3">
        <w:rPr>
          <w:color w:val="000000"/>
          <w:sz w:val="22"/>
          <w:szCs w:val="22"/>
        </w:rPr>
        <w:t xml:space="preserve">fullorðna </w:t>
      </w:r>
      <w:r w:rsidRPr="006774D3">
        <w:rPr>
          <w:color w:val="000000"/>
          <w:sz w:val="22"/>
          <w:szCs w:val="22"/>
        </w:rPr>
        <w:t>sjúklinga með CML í stöðugum fasa. Skilgreining á CML í stöðugum fasa er þegar öll eftirfarandi skilmerki eru fyrirliggjandi: Kímfrumur (blasts) &lt; 15% í blóði og beinmerg, blákyrningar (basophils) í blóði &lt; 20%, blóðflögur &gt; 100 x 10</w:t>
      </w:r>
      <w:r w:rsidRPr="006774D3">
        <w:rPr>
          <w:color w:val="000000"/>
          <w:sz w:val="22"/>
          <w:szCs w:val="22"/>
          <w:vertAlign w:val="superscript"/>
        </w:rPr>
        <w:t>9</w:t>
      </w:r>
      <w:r w:rsidRPr="006774D3">
        <w:rPr>
          <w:color w:val="000000"/>
          <w:sz w:val="22"/>
          <w:szCs w:val="22"/>
        </w:rPr>
        <w:t>/l.</w:t>
      </w:r>
    </w:p>
    <w:p w14:paraId="05B8B03E" w14:textId="77777777" w:rsidR="005F57F3" w:rsidRPr="006774D3" w:rsidRDefault="005F57F3" w:rsidP="00F77C66">
      <w:pPr>
        <w:rPr>
          <w:color w:val="000000"/>
          <w:sz w:val="22"/>
          <w:szCs w:val="22"/>
        </w:rPr>
      </w:pPr>
    </w:p>
    <w:p w14:paraId="05B8B03F" w14:textId="77777777" w:rsidR="005F57F3" w:rsidRPr="006774D3" w:rsidRDefault="005F57F3" w:rsidP="00F77C66">
      <w:pPr>
        <w:rPr>
          <w:color w:val="000000"/>
          <w:sz w:val="22"/>
          <w:szCs w:val="22"/>
        </w:rPr>
      </w:pPr>
      <w:r w:rsidRPr="006774D3">
        <w:rPr>
          <w:color w:val="000000"/>
          <w:sz w:val="22"/>
          <w:szCs w:val="22"/>
        </w:rPr>
        <w:t xml:space="preserve">Ráðlagður skammtur af Glivec er 600 mg/sólarhring fyrir </w:t>
      </w:r>
      <w:r w:rsidR="00D25FC3" w:rsidRPr="006774D3">
        <w:rPr>
          <w:color w:val="000000"/>
          <w:sz w:val="22"/>
          <w:szCs w:val="22"/>
        </w:rPr>
        <w:t xml:space="preserve">fullorðna </w:t>
      </w:r>
      <w:r w:rsidRPr="006774D3">
        <w:rPr>
          <w:color w:val="000000"/>
          <w:sz w:val="22"/>
          <w:szCs w:val="22"/>
        </w:rPr>
        <w:t>sjúklinga í hröðunarfasa. Skilgreining á hröðunar</w:t>
      </w:r>
      <w:r w:rsidRPr="006774D3">
        <w:rPr>
          <w:color w:val="000000"/>
          <w:sz w:val="22"/>
          <w:szCs w:val="22"/>
        </w:rPr>
        <w:softHyphen/>
        <w:t>fasa er þegar eitthvað af eftirfarandi er til staðar: Kímfrumur (blasts) ≥ 15% en &lt; 30% í blóði eða beinmerg, kímfrumur (blasts) ásamt formerglingum (promyelocytes) ≥ 30% í blóði eða beinmerg (að því gefnu að kím</w:t>
      </w:r>
      <w:r w:rsidRPr="006774D3">
        <w:rPr>
          <w:color w:val="000000"/>
          <w:sz w:val="22"/>
          <w:szCs w:val="22"/>
        </w:rPr>
        <w:softHyphen/>
        <w:t>frumur (blasts) &lt; 30%), blákyrningar (basophils) í blóði ≥ 20%, blóðflögur &lt; 100 x 10</w:t>
      </w:r>
      <w:r w:rsidRPr="006774D3">
        <w:rPr>
          <w:color w:val="000000"/>
          <w:sz w:val="22"/>
          <w:szCs w:val="22"/>
          <w:vertAlign w:val="superscript"/>
        </w:rPr>
        <w:t>9</w:t>
      </w:r>
      <w:r w:rsidRPr="006774D3">
        <w:rPr>
          <w:color w:val="000000"/>
          <w:sz w:val="22"/>
          <w:szCs w:val="22"/>
        </w:rPr>
        <w:t>/l ótengt meðferð.</w:t>
      </w:r>
    </w:p>
    <w:p w14:paraId="05B8B040" w14:textId="77777777" w:rsidR="005F57F3" w:rsidRPr="006774D3" w:rsidRDefault="005F57F3" w:rsidP="00F77C66">
      <w:pPr>
        <w:rPr>
          <w:color w:val="000000"/>
          <w:sz w:val="22"/>
          <w:szCs w:val="22"/>
        </w:rPr>
      </w:pPr>
    </w:p>
    <w:p w14:paraId="05B8B041" w14:textId="77777777" w:rsidR="005F57F3" w:rsidRPr="006774D3" w:rsidRDefault="005F57F3" w:rsidP="00F77C66">
      <w:pPr>
        <w:rPr>
          <w:color w:val="000000"/>
          <w:sz w:val="22"/>
          <w:szCs w:val="22"/>
        </w:rPr>
      </w:pPr>
      <w:r w:rsidRPr="006774D3">
        <w:rPr>
          <w:color w:val="000000"/>
          <w:sz w:val="22"/>
          <w:szCs w:val="22"/>
        </w:rPr>
        <w:t xml:space="preserve">Ráðlagður skammtur af Glivec er 600 mg/sólarhring fyrir </w:t>
      </w:r>
      <w:r w:rsidR="00D25FC3" w:rsidRPr="006774D3">
        <w:rPr>
          <w:color w:val="000000"/>
          <w:sz w:val="22"/>
          <w:szCs w:val="22"/>
        </w:rPr>
        <w:t xml:space="preserve">fullorðna </w:t>
      </w:r>
      <w:r w:rsidRPr="006774D3">
        <w:rPr>
          <w:color w:val="000000"/>
          <w:sz w:val="22"/>
          <w:szCs w:val="22"/>
        </w:rPr>
        <w:t>sjúklinga í bráðafasa (blast crisis). Skilgreining á bráðafasa er kímfrumur (blasts) ≥ 30% í blóði eða beinmerg eða sjúkdómur utan beinmergs, annar en lifrar- og miltisstækkun.</w:t>
      </w:r>
    </w:p>
    <w:p w14:paraId="05B8B042" w14:textId="77777777" w:rsidR="005F57F3" w:rsidRPr="006774D3" w:rsidRDefault="005F57F3" w:rsidP="00F77C66">
      <w:pPr>
        <w:rPr>
          <w:color w:val="000000"/>
          <w:sz w:val="22"/>
          <w:szCs w:val="22"/>
        </w:rPr>
      </w:pPr>
    </w:p>
    <w:p w14:paraId="05B8B043" w14:textId="77777777" w:rsidR="005F57F3" w:rsidRPr="006774D3" w:rsidRDefault="005F57F3" w:rsidP="00F77C66">
      <w:pPr>
        <w:rPr>
          <w:color w:val="000000"/>
          <w:sz w:val="22"/>
          <w:szCs w:val="22"/>
        </w:rPr>
      </w:pPr>
      <w:r w:rsidRPr="006774D3">
        <w:rPr>
          <w:color w:val="000000"/>
          <w:sz w:val="22"/>
          <w:szCs w:val="22"/>
        </w:rPr>
        <w:t xml:space="preserve">Meðferðarlengd: Í klínískum rannsóknum var meðferð með Glivec haldið áfram þar til sjúkdómurinn tók að versna. Ekki hefur verið rannsakað hvaða áhrif það hefur að stöðva meðferð eftir að </w:t>
      </w:r>
      <w:r w:rsidR="00202BA8" w:rsidRPr="006774D3">
        <w:rPr>
          <w:color w:val="000000"/>
          <w:sz w:val="22"/>
          <w:szCs w:val="22"/>
        </w:rPr>
        <w:t xml:space="preserve">fullri </w:t>
      </w:r>
      <w:r w:rsidRPr="006774D3">
        <w:rPr>
          <w:color w:val="000000"/>
          <w:sz w:val="22"/>
          <w:szCs w:val="22"/>
        </w:rPr>
        <w:t>litningasvörun er náð.</w:t>
      </w:r>
    </w:p>
    <w:p w14:paraId="05B8B044" w14:textId="77777777" w:rsidR="005F57F3" w:rsidRPr="006774D3" w:rsidRDefault="005F57F3" w:rsidP="00F77C66">
      <w:pPr>
        <w:rPr>
          <w:color w:val="000000"/>
          <w:sz w:val="22"/>
          <w:szCs w:val="22"/>
        </w:rPr>
      </w:pPr>
    </w:p>
    <w:p w14:paraId="05B8B045" w14:textId="77777777" w:rsidR="005F57F3" w:rsidRPr="006774D3" w:rsidRDefault="005F57F3" w:rsidP="00F77C66">
      <w:pPr>
        <w:rPr>
          <w:color w:val="000000"/>
          <w:sz w:val="22"/>
          <w:szCs w:val="22"/>
        </w:rPr>
      </w:pPr>
      <w:r w:rsidRPr="006774D3">
        <w:rPr>
          <w:color w:val="000000"/>
          <w:sz w:val="22"/>
          <w:szCs w:val="22"/>
        </w:rPr>
        <w:t>Íhuga má aukningu skammta úr 400 mg í 600 mg eða 800 mg hjá sjúklingum með sjúkdóminn í stöðugum fasa, eða úr 600 mg í mest 800 mg (gefið sem 400 mg tvisvar sinnum á sólarhring) hjá sjúklingum í hröðunarfasa eða í bráðafasa, ef ekki koma fram alvarlegar aukaverkanir og ekki alvarleg daufkyrningafæð (neutropenia) eða blóðflagnafæð sem ekki tengjast hvítblæðinu, við eftirfarandi aðstæður: Versnun sjúkdóms (hvenær sem er); viðunandi blóðsvörun næst ekki þótt meðferð hafi staðið í a.m.k. 3 mánuði; litningasvörun hefur ekki náðst eftir 12 mánaða meðferð; eða tap á blóðsvörun og/eða litningasvörun sem áður hafði áunnist. Fylgjast skal vandlega með sjúklingum eftir að skammtar hafa verið auknir vegna þess að hugsan</w:t>
      </w:r>
      <w:r w:rsidRPr="006774D3">
        <w:rPr>
          <w:color w:val="000000"/>
          <w:sz w:val="22"/>
          <w:szCs w:val="22"/>
        </w:rPr>
        <w:softHyphen/>
        <w:t>legt er að tíðni aukaverkana sé meiri við stærri skammta.</w:t>
      </w:r>
    </w:p>
    <w:p w14:paraId="05B8B046" w14:textId="77777777" w:rsidR="005F57F3" w:rsidRPr="006774D3" w:rsidRDefault="005F57F3" w:rsidP="00F77C66">
      <w:pPr>
        <w:rPr>
          <w:color w:val="000000"/>
          <w:sz w:val="22"/>
          <w:szCs w:val="22"/>
        </w:rPr>
      </w:pPr>
    </w:p>
    <w:p w14:paraId="05B8B047" w14:textId="77777777" w:rsidR="005F57F3" w:rsidRPr="006774D3" w:rsidRDefault="005F57F3" w:rsidP="00F77C66">
      <w:pPr>
        <w:keepNext/>
        <w:rPr>
          <w:color w:val="000000"/>
          <w:sz w:val="22"/>
          <w:szCs w:val="22"/>
          <w:u w:val="single"/>
        </w:rPr>
      </w:pPr>
      <w:r w:rsidRPr="006774D3">
        <w:rPr>
          <w:color w:val="000000"/>
          <w:sz w:val="22"/>
          <w:szCs w:val="22"/>
          <w:u w:val="single"/>
        </w:rPr>
        <w:lastRenderedPageBreak/>
        <w:t>Skammtar við CML hjá börnum</w:t>
      </w:r>
    </w:p>
    <w:p w14:paraId="05B8B048" w14:textId="77777777" w:rsidR="005F57F3" w:rsidRPr="006774D3" w:rsidRDefault="005F57F3" w:rsidP="00B739D9">
      <w:pPr>
        <w:rPr>
          <w:color w:val="000000"/>
          <w:sz w:val="22"/>
          <w:szCs w:val="22"/>
        </w:rPr>
      </w:pPr>
      <w:r w:rsidRPr="006774D3">
        <w:rPr>
          <w:color w:val="000000"/>
          <w:sz w:val="22"/>
          <w:szCs w:val="22"/>
        </w:rPr>
        <w:t xml:space="preserve">Skammtar handa börnum eiga að grundvallast á líkamsyfirborði (mg/m²). Mælt er með skammtinum </w:t>
      </w:r>
      <w:bookmarkStart w:id="3" w:name="OLE_LINK1"/>
      <w:bookmarkStart w:id="4" w:name="OLE_LINK2"/>
      <w:r w:rsidRPr="006774D3">
        <w:rPr>
          <w:color w:val="000000"/>
          <w:sz w:val="22"/>
          <w:szCs w:val="22"/>
        </w:rPr>
        <w:t xml:space="preserve">340 mg/m² </w:t>
      </w:r>
      <w:bookmarkEnd w:id="3"/>
      <w:bookmarkEnd w:id="4"/>
      <w:r w:rsidRPr="006774D3">
        <w:rPr>
          <w:color w:val="000000"/>
          <w:sz w:val="22"/>
          <w:szCs w:val="22"/>
        </w:rPr>
        <w:t>á sólarhring handa börnum með CML í stöðugum fasa og í langt gengnum fasa (ekki má nota stærri skammt en 800 mg á sólarhring). Gefa má lyfið í einum skammti á dag eða skipta sólarhrings</w:t>
      </w:r>
      <w:r w:rsidRPr="006774D3">
        <w:rPr>
          <w:color w:val="000000"/>
          <w:sz w:val="22"/>
          <w:szCs w:val="22"/>
        </w:rPr>
        <w:softHyphen/>
        <w:t>skammtinum í tvennt, einn skammt að morgni og einn skammt að kvöldi. Skammta</w:t>
      </w:r>
      <w:r w:rsidRPr="006774D3">
        <w:rPr>
          <w:color w:val="000000"/>
          <w:sz w:val="22"/>
          <w:szCs w:val="22"/>
        </w:rPr>
        <w:softHyphen/>
        <w:t>ráðleggingarnar eru þessa stundina byggðar á fáum börnum (sjá kafla 5.1 og 5.2). Engin reynsla er af notkun lyfsins handa börnum undir 2 ára aldri.</w:t>
      </w:r>
    </w:p>
    <w:p w14:paraId="05B8B049" w14:textId="77777777" w:rsidR="005F57F3" w:rsidRPr="006774D3" w:rsidRDefault="005F57F3" w:rsidP="00F77C66">
      <w:pPr>
        <w:rPr>
          <w:color w:val="000000"/>
          <w:sz w:val="22"/>
          <w:szCs w:val="22"/>
        </w:rPr>
      </w:pPr>
    </w:p>
    <w:p w14:paraId="05B8B04A" w14:textId="77777777" w:rsidR="005F57F3" w:rsidRPr="006774D3" w:rsidRDefault="005F57F3" w:rsidP="00F77C66">
      <w:pPr>
        <w:rPr>
          <w:color w:val="000000"/>
          <w:sz w:val="22"/>
          <w:szCs w:val="22"/>
        </w:rPr>
      </w:pPr>
      <w:r w:rsidRPr="006774D3">
        <w:rPr>
          <w:color w:val="000000"/>
          <w:sz w:val="22"/>
          <w:szCs w:val="22"/>
        </w:rPr>
        <w:t>Íhuga má aukningu skammta úr 340 mg/m² daglega í 570 mg/m² daglega (þó má ekki fara yfir heildar</w:t>
      </w:r>
      <w:r w:rsidRPr="006774D3">
        <w:rPr>
          <w:color w:val="000000"/>
          <w:sz w:val="22"/>
          <w:szCs w:val="22"/>
        </w:rPr>
        <w:softHyphen/>
        <w:t>skammtinn 800 mg) hjá börnum ef ekki koma fram alvarlegar aukaverkanir og ekki alvarleg daufkyrninga</w:t>
      </w:r>
      <w:r w:rsidRPr="006774D3">
        <w:rPr>
          <w:color w:val="000000"/>
          <w:sz w:val="22"/>
          <w:szCs w:val="22"/>
        </w:rPr>
        <w:softHyphen/>
        <w:t>fæð (neutropenia) eða blóðflagnafæð sem ekki tengjast hvítblæðinu, við eftirfarandi aðstæður: Versn</w:t>
      </w:r>
      <w:r w:rsidR="002A24A1" w:rsidRPr="006774D3">
        <w:rPr>
          <w:color w:val="000000"/>
          <w:sz w:val="22"/>
          <w:szCs w:val="22"/>
        </w:rPr>
        <w:t>un sjúk</w:t>
      </w:r>
      <w:r w:rsidRPr="006774D3">
        <w:rPr>
          <w:color w:val="000000"/>
          <w:sz w:val="22"/>
          <w:szCs w:val="22"/>
        </w:rPr>
        <w:t>dóms (hvenær sem er); viðunandi blóðsvörun næst ekki þótt meðferð hafi staðið í a.m.k. 3 mánuði; litninga</w:t>
      </w:r>
      <w:r w:rsidRPr="006774D3">
        <w:rPr>
          <w:color w:val="000000"/>
          <w:sz w:val="22"/>
          <w:szCs w:val="22"/>
        </w:rPr>
        <w:softHyphen/>
        <w:t>svörun hefur ekki náðst eftir 12 mánaða meðferð; eða tap á blóðsvörun og/eða litningasvörun sem áður hafði áunnist. Fylgjast skal vandlega með sjúklingum eftir að skammtar hafa verið auknir vegna þess að hugsan</w:t>
      </w:r>
      <w:r w:rsidRPr="006774D3">
        <w:rPr>
          <w:color w:val="000000"/>
          <w:sz w:val="22"/>
          <w:szCs w:val="22"/>
        </w:rPr>
        <w:softHyphen/>
        <w:t>legt er að tíðni aukaverkana sé meiri við stærri skammta.</w:t>
      </w:r>
    </w:p>
    <w:p w14:paraId="05B8B04B" w14:textId="77777777" w:rsidR="005F57F3" w:rsidRPr="006774D3" w:rsidRDefault="005F57F3" w:rsidP="00F77C66">
      <w:pPr>
        <w:rPr>
          <w:color w:val="000000"/>
          <w:sz w:val="22"/>
          <w:szCs w:val="22"/>
        </w:rPr>
      </w:pPr>
    </w:p>
    <w:p w14:paraId="05B8B04C" w14:textId="77777777" w:rsidR="005F57F3" w:rsidRPr="006774D3" w:rsidRDefault="005F57F3" w:rsidP="00F77C66">
      <w:pPr>
        <w:keepNext/>
        <w:rPr>
          <w:color w:val="000000"/>
          <w:sz w:val="22"/>
          <w:szCs w:val="22"/>
          <w:u w:val="single"/>
        </w:rPr>
      </w:pPr>
      <w:r w:rsidRPr="006774D3">
        <w:rPr>
          <w:color w:val="000000"/>
          <w:sz w:val="22"/>
          <w:szCs w:val="22"/>
          <w:u w:val="single"/>
        </w:rPr>
        <w:t>Skammtar við Ph+ ALL</w:t>
      </w:r>
      <w:r w:rsidR="007B1A77" w:rsidRPr="006774D3">
        <w:rPr>
          <w:color w:val="000000"/>
          <w:sz w:val="22"/>
          <w:szCs w:val="22"/>
          <w:u w:val="single"/>
        </w:rPr>
        <w:t xml:space="preserve"> hjá fullorðnum sjúklingum</w:t>
      </w:r>
    </w:p>
    <w:p w14:paraId="05B8B04D" w14:textId="77777777" w:rsidR="005F57F3" w:rsidRPr="006774D3" w:rsidRDefault="005F57F3" w:rsidP="00B739D9">
      <w:pPr>
        <w:rPr>
          <w:color w:val="000000"/>
          <w:sz w:val="22"/>
          <w:szCs w:val="22"/>
        </w:rPr>
      </w:pPr>
      <w:r w:rsidRPr="006774D3">
        <w:rPr>
          <w:color w:val="000000"/>
          <w:sz w:val="22"/>
          <w:szCs w:val="22"/>
        </w:rPr>
        <w:t xml:space="preserve">Ráðlagður skammtur af Glivec er 600 mg/sólarhring fyrir </w:t>
      </w:r>
      <w:r w:rsidR="00D25FC3" w:rsidRPr="006774D3">
        <w:rPr>
          <w:color w:val="000000"/>
          <w:sz w:val="22"/>
          <w:szCs w:val="22"/>
        </w:rPr>
        <w:t xml:space="preserve">fullorðna </w:t>
      </w:r>
      <w:r w:rsidRPr="006774D3">
        <w:rPr>
          <w:color w:val="000000"/>
          <w:sz w:val="22"/>
          <w:szCs w:val="22"/>
        </w:rPr>
        <w:t>sjúklinga með Ph+ ALL. Blóðsjúkdóma</w:t>
      </w:r>
      <w:r w:rsidRPr="006774D3">
        <w:rPr>
          <w:color w:val="000000"/>
          <w:sz w:val="22"/>
          <w:szCs w:val="22"/>
        </w:rPr>
        <w:softHyphen/>
        <w:t>fræðingar með sérþekkingu á meðferð við þessum sjúkdómi eiga að hafa yfirum</w:t>
      </w:r>
      <w:r w:rsidR="002A24A1" w:rsidRPr="006774D3">
        <w:rPr>
          <w:color w:val="000000"/>
          <w:sz w:val="22"/>
          <w:szCs w:val="22"/>
        </w:rPr>
        <w:t>sjón með öllum köflum meðferðar</w:t>
      </w:r>
      <w:r w:rsidRPr="006774D3">
        <w:rPr>
          <w:color w:val="000000"/>
          <w:sz w:val="22"/>
          <w:szCs w:val="22"/>
        </w:rPr>
        <w:t>innar.</w:t>
      </w:r>
    </w:p>
    <w:p w14:paraId="05B8B04E" w14:textId="77777777" w:rsidR="005F57F3" w:rsidRPr="006774D3" w:rsidRDefault="005F57F3" w:rsidP="00F77C66">
      <w:pPr>
        <w:rPr>
          <w:color w:val="000000"/>
          <w:sz w:val="22"/>
          <w:szCs w:val="22"/>
        </w:rPr>
      </w:pPr>
    </w:p>
    <w:p w14:paraId="05B8B04F" w14:textId="77777777" w:rsidR="005F57F3" w:rsidRPr="006774D3" w:rsidRDefault="005F57F3" w:rsidP="00F77C66">
      <w:pPr>
        <w:rPr>
          <w:color w:val="000000"/>
          <w:sz w:val="22"/>
          <w:szCs w:val="22"/>
        </w:rPr>
      </w:pPr>
      <w:r w:rsidRPr="006774D3">
        <w:rPr>
          <w:color w:val="000000"/>
          <w:sz w:val="22"/>
          <w:szCs w:val="22"/>
        </w:rPr>
        <w:t>Meðferðaráætlun: Á grundvelli fyrirliggjandi upplýsinga hefur verið sýnt fram á verkun og öryggi Glivec í skammtinum 600 mg/sólarhring samhliða innleiðslukafla meðferðar sem byggist á krabba</w:t>
      </w:r>
      <w:r w:rsidRPr="006774D3">
        <w:rPr>
          <w:color w:val="000000"/>
          <w:sz w:val="22"/>
          <w:szCs w:val="22"/>
        </w:rPr>
        <w:softHyphen/>
        <w:t>meins</w:t>
      </w:r>
      <w:r w:rsidRPr="006774D3">
        <w:rPr>
          <w:color w:val="000000"/>
          <w:sz w:val="22"/>
          <w:szCs w:val="22"/>
        </w:rPr>
        <w:softHyphen/>
        <w:t>lyfjum (induction phase), upprætingarkafla krabbameinslyfjameðferðar (consolidation chemotherapy) og viðhalds</w:t>
      </w:r>
      <w:r w:rsidRPr="006774D3">
        <w:rPr>
          <w:color w:val="000000"/>
          <w:sz w:val="22"/>
          <w:szCs w:val="22"/>
        </w:rPr>
        <w:softHyphen/>
        <w:t>kafla krabbameinslyfjameðferðar (sjá kafla 5.1), hjá fullorðnum sjúklingum með nýlega greint Ph+ ALL. Lengd meðferðar með Glivec getur verið breytileg eftir meðferðar</w:t>
      </w:r>
      <w:r w:rsidRPr="006774D3">
        <w:rPr>
          <w:color w:val="000000"/>
          <w:sz w:val="22"/>
          <w:szCs w:val="22"/>
        </w:rPr>
        <w:softHyphen/>
        <w:t>áætluninni sem valin er, en almennt gildir að lengri notkun Glivec hefur skilað betri árangri.</w:t>
      </w:r>
    </w:p>
    <w:p w14:paraId="05B8B050" w14:textId="77777777" w:rsidR="005F57F3" w:rsidRPr="006774D3" w:rsidRDefault="005F57F3" w:rsidP="00F77C66">
      <w:pPr>
        <w:rPr>
          <w:color w:val="000000"/>
          <w:sz w:val="22"/>
          <w:szCs w:val="22"/>
        </w:rPr>
      </w:pPr>
    </w:p>
    <w:p w14:paraId="05B8B051" w14:textId="77777777" w:rsidR="005F57F3" w:rsidRPr="006774D3" w:rsidRDefault="005F57F3" w:rsidP="00F77C66">
      <w:pPr>
        <w:rPr>
          <w:color w:val="000000"/>
          <w:sz w:val="22"/>
          <w:szCs w:val="22"/>
        </w:rPr>
      </w:pPr>
      <w:r w:rsidRPr="006774D3">
        <w:rPr>
          <w:color w:val="000000"/>
          <w:sz w:val="22"/>
          <w:szCs w:val="22"/>
        </w:rPr>
        <w:t>Um fullorðna sjúklinga með endurkomið eða þrálátt Ph+ ALL gildir að meðferð með Glivec einu sér, í skammtinum 600 mg/sólarhring, er örugg og virk og nota má lyfið þar til sjúkdómurinn tekur að versna.</w:t>
      </w:r>
    </w:p>
    <w:p w14:paraId="05B8B052" w14:textId="77777777" w:rsidR="007B1A77" w:rsidRPr="006774D3" w:rsidRDefault="007B1A77" w:rsidP="00F77C66">
      <w:pPr>
        <w:rPr>
          <w:color w:val="000000"/>
          <w:sz w:val="22"/>
          <w:szCs w:val="22"/>
        </w:rPr>
      </w:pPr>
    </w:p>
    <w:p w14:paraId="05B8B053" w14:textId="77777777" w:rsidR="007B1A77" w:rsidRPr="006774D3" w:rsidRDefault="007B1A77" w:rsidP="00F77C66">
      <w:pPr>
        <w:keepNext/>
        <w:rPr>
          <w:color w:val="000000"/>
          <w:sz w:val="22"/>
          <w:szCs w:val="22"/>
          <w:u w:val="single"/>
        </w:rPr>
      </w:pPr>
      <w:r w:rsidRPr="006774D3">
        <w:rPr>
          <w:color w:val="000000"/>
          <w:sz w:val="22"/>
          <w:szCs w:val="22"/>
          <w:u w:val="single"/>
        </w:rPr>
        <w:t>Skammtar við Ph+ ALL hjá börnum</w:t>
      </w:r>
    </w:p>
    <w:p w14:paraId="05B8B054" w14:textId="77777777" w:rsidR="005F57F3" w:rsidRPr="006774D3" w:rsidRDefault="007B1A77" w:rsidP="00F77C66">
      <w:pPr>
        <w:rPr>
          <w:color w:val="000000"/>
          <w:sz w:val="22"/>
          <w:szCs w:val="22"/>
        </w:rPr>
      </w:pPr>
      <w:r w:rsidRPr="006774D3">
        <w:rPr>
          <w:color w:val="000000"/>
          <w:sz w:val="22"/>
          <w:szCs w:val="22"/>
        </w:rPr>
        <w:t>Skammtar handa börnum eiga að grundvallast á líkamsyfirborði (mg/m²). Mælt er með skammtinum 340 mg/m² á sólarhring handa börnum með Ph+ ALL (ekki má nota stærri skammt en 600 mg á sólarhring).</w:t>
      </w:r>
    </w:p>
    <w:p w14:paraId="05B8B055" w14:textId="77777777" w:rsidR="007B1A77" w:rsidRPr="006774D3" w:rsidRDefault="007B1A77" w:rsidP="00F77C66">
      <w:pPr>
        <w:rPr>
          <w:color w:val="000000"/>
          <w:sz w:val="22"/>
          <w:szCs w:val="22"/>
        </w:rPr>
      </w:pPr>
    </w:p>
    <w:p w14:paraId="05B8B056" w14:textId="77777777" w:rsidR="005F57F3" w:rsidRPr="006774D3" w:rsidRDefault="005F57F3" w:rsidP="00F77C66">
      <w:pPr>
        <w:keepNext/>
        <w:rPr>
          <w:color w:val="000000"/>
          <w:sz w:val="22"/>
          <w:szCs w:val="22"/>
          <w:u w:val="single"/>
        </w:rPr>
      </w:pPr>
      <w:r w:rsidRPr="006774D3">
        <w:rPr>
          <w:color w:val="000000"/>
          <w:sz w:val="22"/>
          <w:szCs w:val="22"/>
          <w:u w:val="single"/>
        </w:rPr>
        <w:t>Skammtar við MDS/MPD</w:t>
      </w:r>
    </w:p>
    <w:p w14:paraId="05B8B057" w14:textId="77777777" w:rsidR="005F57F3" w:rsidRPr="006774D3" w:rsidRDefault="005F57F3" w:rsidP="00B739D9">
      <w:pPr>
        <w:rPr>
          <w:color w:val="000000"/>
          <w:sz w:val="22"/>
          <w:szCs w:val="22"/>
        </w:rPr>
      </w:pPr>
      <w:r w:rsidRPr="006774D3">
        <w:rPr>
          <w:color w:val="000000"/>
          <w:sz w:val="22"/>
          <w:szCs w:val="22"/>
        </w:rPr>
        <w:t xml:space="preserve">Ráðlagður skammtur af Glivec er 400 mg/sólarhring fyrir </w:t>
      </w:r>
      <w:r w:rsidR="00D25FC3" w:rsidRPr="006774D3">
        <w:rPr>
          <w:color w:val="000000"/>
          <w:sz w:val="22"/>
          <w:szCs w:val="22"/>
        </w:rPr>
        <w:t xml:space="preserve">fullorðna </w:t>
      </w:r>
      <w:r w:rsidRPr="006774D3">
        <w:rPr>
          <w:color w:val="000000"/>
          <w:sz w:val="22"/>
          <w:szCs w:val="22"/>
        </w:rPr>
        <w:t>sjúklinga með MDS/MPD.</w:t>
      </w:r>
    </w:p>
    <w:p w14:paraId="05B8B058" w14:textId="77777777" w:rsidR="005F57F3" w:rsidRPr="006774D3" w:rsidRDefault="005F57F3" w:rsidP="00F77C66">
      <w:pPr>
        <w:rPr>
          <w:color w:val="000000"/>
          <w:sz w:val="22"/>
          <w:szCs w:val="22"/>
        </w:rPr>
      </w:pPr>
    </w:p>
    <w:p w14:paraId="05B8B059" w14:textId="77777777" w:rsidR="005F57F3" w:rsidRPr="006774D3" w:rsidRDefault="005F57F3" w:rsidP="00F77C66">
      <w:pPr>
        <w:rPr>
          <w:color w:val="000000"/>
          <w:sz w:val="22"/>
          <w:szCs w:val="22"/>
        </w:rPr>
      </w:pPr>
      <w:r w:rsidRPr="006774D3">
        <w:rPr>
          <w:color w:val="000000"/>
          <w:sz w:val="22"/>
          <w:szCs w:val="22"/>
        </w:rPr>
        <w:t>Meðferðarlengd: Í einu klínísku rannsókninni sem gerð hefur verið hingað til var meðferð með Glivec haldið áfram þar til sjúkdómurinn tók að versna (sjá kafla 5.1). Þegar greining upplýsinga fór fram var miðgildi meðferðarlengdar 47 mánuðir (24 dagar </w:t>
      </w:r>
      <w:r w:rsidRPr="006774D3">
        <w:rPr>
          <w:color w:val="000000"/>
          <w:sz w:val="22"/>
          <w:szCs w:val="22"/>
        </w:rPr>
        <w:noBreakHyphen/>
        <w:t> 60 mánuðir).</w:t>
      </w:r>
    </w:p>
    <w:p w14:paraId="05B8B05A" w14:textId="77777777" w:rsidR="005F57F3" w:rsidRPr="006774D3" w:rsidRDefault="005F57F3" w:rsidP="00F77C66">
      <w:pPr>
        <w:rPr>
          <w:color w:val="000000"/>
          <w:sz w:val="22"/>
          <w:szCs w:val="22"/>
        </w:rPr>
      </w:pPr>
    </w:p>
    <w:p w14:paraId="05B8B05B" w14:textId="77777777" w:rsidR="005F57F3" w:rsidRPr="006774D3" w:rsidRDefault="005F57F3" w:rsidP="00F77C66">
      <w:pPr>
        <w:keepNext/>
        <w:rPr>
          <w:color w:val="000000"/>
          <w:sz w:val="22"/>
          <w:szCs w:val="22"/>
          <w:u w:val="single"/>
        </w:rPr>
      </w:pPr>
      <w:r w:rsidRPr="006774D3">
        <w:rPr>
          <w:color w:val="000000"/>
          <w:sz w:val="22"/>
          <w:szCs w:val="22"/>
          <w:u w:val="single"/>
        </w:rPr>
        <w:t>Skammtar við HES/CEL</w:t>
      </w:r>
    </w:p>
    <w:p w14:paraId="05B8B05C" w14:textId="77777777" w:rsidR="005F57F3" w:rsidRPr="006774D3" w:rsidRDefault="005F57F3" w:rsidP="00B739D9">
      <w:pPr>
        <w:rPr>
          <w:color w:val="000000"/>
          <w:sz w:val="22"/>
          <w:szCs w:val="22"/>
        </w:rPr>
      </w:pPr>
      <w:r w:rsidRPr="006774D3">
        <w:rPr>
          <w:color w:val="000000"/>
          <w:sz w:val="22"/>
          <w:szCs w:val="22"/>
        </w:rPr>
        <w:t xml:space="preserve">Ráðlagður skammtur af Glivec er 100 mg/sólarhring handa </w:t>
      </w:r>
      <w:r w:rsidR="00D25FC3" w:rsidRPr="006774D3">
        <w:rPr>
          <w:color w:val="000000"/>
          <w:sz w:val="22"/>
          <w:szCs w:val="22"/>
        </w:rPr>
        <w:t xml:space="preserve">fullorðnum </w:t>
      </w:r>
      <w:r w:rsidRPr="006774D3">
        <w:rPr>
          <w:color w:val="000000"/>
          <w:sz w:val="22"/>
          <w:szCs w:val="22"/>
        </w:rPr>
        <w:t>sjúklingum með HES/CEL.</w:t>
      </w:r>
    </w:p>
    <w:p w14:paraId="05B8B05D" w14:textId="77777777" w:rsidR="005F57F3" w:rsidRPr="006774D3" w:rsidRDefault="005F57F3" w:rsidP="00F77C66">
      <w:pPr>
        <w:rPr>
          <w:color w:val="000000"/>
          <w:sz w:val="22"/>
          <w:szCs w:val="22"/>
        </w:rPr>
      </w:pPr>
    </w:p>
    <w:p w14:paraId="05B8B05E" w14:textId="77777777" w:rsidR="005F57F3" w:rsidRPr="006774D3" w:rsidRDefault="005F57F3" w:rsidP="00F77C66">
      <w:pPr>
        <w:rPr>
          <w:color w:val="000000"/>
          <w:sz w:val="22"/>
          <w:szCs w:val="22"/>
        </w:rPr>
      </w:pPr>
      <w:r w:rsidRPr="006774D3">
        <w:rPr>
          <w:color w:val="000000"/>
          <w:sz w:val="22"/>
          <w:szCs w:val="22"/>
        </w:rPr>
        <w:t>Íhuga má að stækka skammtinn úr 100 mg í 400 mg hafi ekki komið fram aukaverkanir, ef mat á sjúklingunum leiðir í ljós ófullnægjandi svörun við meðferðinni.</w:t>
      </w:r>
    </w:p>
    <w:p w14:paraId="05B8B05F" w14:textId="77777777" w:rsidR="005F57F3" w:rsidRPr="006774D3" w:rsidRDefault="005F57F3" w:rsidP="00F77C66">
      <w:pPr>
        <w:rPr>
          <w:color w:val="000000"/>
          <w:sz w:val="22"/>
          <w:szCs w:val="22"/>
        </w:rPr>
      </w:pPr>
    </w:p>
    <w:p w14:paraId="05B8B060" w14:textId="77777777" w:rsidR="00E90CE2" w:rsidRPr="006774D3" w:rsidRDefault="00E90CE2" w:rsidP="00F77C66">
      <w:pPr>
        <w:rPr>
          <w:color w:val="000000"/>
          <w:sz w:val="22"/>
          <w:szCs w:val="22"/>
        </w:rPr>
      </w:pPr>
      <w:r w:rsidRPr="006774D3">
        <w:rPr>
          <w:color w:val="000000"/>
          <w:sz w:val="22"/>
          <w:szCs w:val="22"/>
        </w:rPr>
        <w:t xml:space="preserve">Halda skal meðferð áfram </w:t>
      </w:r>
      <w:r w:rsidR="007B377D" w:rsidRPr="006774D3">
        <w:rPr>
          <w:color w:val="000000"/>
          <w:sz w:val="22"/>
          <w:szCs w:val="22"/>
        </w:rPr>
        <w:t>svo</w:t>
      </w:r>
      <w:r w:rsidRPr="006774D3">
        <w:rPr>
          <w:color w:val="000000"/>
          <w:sz w:val="22"/>
          <w:szCs w:val="22"/>
        </w:rPr>
        <w:t xml:space="preserve"> lengi </w:t>
      </w:r>
      <w:r w:rsidR="007B377D" w:rsidRPr="006774D3">
        <w:rPr>
          <w:color w:val="000000"/>
          <w:sz w:val="22"/>
          <w:szCs w:val="22"/>
        </w:rPr>
        <w:t>sem</w:t>
      </w:r>
      <w:r w:rsidRPr="006774D3">
        <w:rPr>
          <w:color w:val="000000"/>
          <w:sz w:val="22"/>
          <w:szCs w:val="22"/>
        </w:rPr>
        <w:t xml:space="preserve"> sjúklingur hefur ávinning af henni.</w:t>
      </w:r>
    </w:p>
    <w:p w14:paraId="05B8B061" w14:textId="77777777" w:rsidR="00E90CE2" w:rsidRPr="006774D3" w:rsidRDefault="00E90CE2" w:rsidP="00F77C66">
      <w:pPr>
        <w:rPr>
          <w:color w:val="000000"/>
          <w:sz w:val="22"/>
          <w:szCs w:val="22"/>
        </w:rPr>
      </w:pPr>
    </w:p>
    <w:p w14:paraId="05B8B062" w14:textId="77777777" w:rsidR="00AB3B45" w:rsidRPr="006774D3" w:rsidRDefault="00AB3B45" w:rsidP="00F77C66">
      <w:pPr>
        <w:pStyle w:val="Heading3"/>
        <w:rPr>
          <w:color w:val="000000"/>
          <w:szCs w:val="22"/>
        </w:rPr>
      </w:pPr>
      <w:r w:rsidRPr="006774D3">
        <w:rPr>
          <w:color w:val="000000"/>
          <w:szCs w:val="22"/>
        </w:rPr>
        <w:t>Skammtar við GIST</w:t>
      </w:r>
    </w:p>
    <w:p w14:paraId="05B8B063" w14:textId="77777777" w:rsidR="00AB3B45" w:rsidRPr="006774D3" w:rsidRDefault="00AB3B45" w:rsidP="00B739D9">
      <w:pPr>
        <w:rPr>
          <w:color w:val="000000"/>
          <w:sz w:val="22"/>
          <w:szCs w:val="22"/>
        </w:rPr>
      </w:pPr>
      <w:r w:rsidRPr="006774D3">
        <w:rPr>
          <w:color w:val="000000"/>
          <w:sz w:val="22"/>
          <w:szCs w:val="22"/>
        </w:rPr>
        <w:t xml:space="preserve">Ráðlagður skammtur af Glivec er 400 mg/sólarhring handa </w:t>
      </w:r>
      <w:r w:rsidR="00D25FC3" w:rsidRPr="006774D3">
        <w:rPr>
          <w:color w:val="000000"/>
          <w:sz w:val="22"/>
          <w:szCs w:val="22"/>
        </w:rPr>
        <w:t xml:space="preserve">fullorðnum </w:t>
      </w:r>
      <w:r w:rsidRPr="006774D3">
        <w:rPr>
          <w:color w:val="000000"/>
          <w:sz w:val="22"/>
          <w:szCs w:val="22"/>
        </w:rPr>
        <w:t>sjúklingum með óskurðtæk og/eða illkynja GIST með meinvörpum.</w:t>
      </w:r>
    </w:p>
    <w:p w14:paraId="05B8B064" w14:textId="77777777" w:rsidR="00AB3B45" w:rsidRPr="006774D3" w:rsidRDefault="00AB3B45" w:rsidP="00F77C66">
      <w:pPr>
        <w:rPr>
          <w:color w:val="000000"/>
          <w:sz w:val="22"/>
          <w:szCs w:val="22"/>
        </w:rPr>
      </w:pPr>
    </w:p>
    <w:p w14:paraId="05B8B065" w14:textId="77777777" w:rsidR="00AB3B45" w:rsidRPr="006774D3" w:rsidRDefault="00AB3B45" w:rsidP="00F77C66">
      <w:pPr>
        <w:rPr>
          <w:color w:val="000000"/>
          <w:sz w:val="22"/>
          <w:szCs w:val="22"/>
        </w:rPr>
      </w:pPr>
      <w:r w:rsidRPr="006774D3">
        <w:rPr>
          <w:color w:val="000000"/>
          <w:sz w:val="22"/>
          <w:szCs w:val="22"/>
        </w:rPr>
        <w:lastRenderedPageBreak/>
        <w:t>Takmarkaðar upplýsingar liggja fyrir um aukningu skammta úr 400 mg í 600 mg eða 800 mg hjá sjúklingum þar sem sjúkdómurinn hefur farið versnandi við minni skammta (sjá kafla 5.1).</w:t>
      </w:r>
    </w:p>
    <w:p w14:paraId="05B8B066" w14:textId="77777777" w:rsidR="00AB3B45" w:rsidRPr="006774D3" w:rsidRDefault="00AB3B45" w:rsidP="00F77C66">
      <w:pPr>
        <w:rPr>
          <w:color w:val="000000"/>
          <w:sz w:val="22"/>
          <w:szCs w:val="22"/>
        </w:rPr>
      </w:pPr>
    </w:p>
    <w:p w14:paraId="05B8B067" w14:textId="77777777" w:rsidR="00AB3B45" w:rsidRPr="006774D3" w:rsidRDefault="00AB3B45"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Meðferðarlengd: Í klínískum rannsóknum hjá GIST sjúklingum var meðferð með Glivec haldið áfram þar til sjúkdómurinn tók að versna. Þegar greining á upplýsingum fór fram var miðgildi meðferðar</w:t>
      </w:r>
      <w:r w:rsidRPr="006774D3">
        <w:rPr>
          <w:rFonts w:ascii="Times New Roman" w:hAnsi="Times New Roman"/>
          <w:color w:val="000000"/>
          <w:szCs w:val="22"/>
          <w:lang w:val="is-IS"/>
        </w:rPr>
        <w:softHyphen/>
        <w:t>lengdar 7 mánuðir (7 dagar til 13 mánuðir). Áhrif þess að stöðva meðferð eftir að svörun hefur fengist hafa ekki verið rannsökuð.</w:t>
      </w:r>
    </w:p>
    <w:p w14:paraId="05B8B068" w14:textId="77777777" w:rsidR="00AB3B45" w:rsidRPr="006774D3" w:rsidRDefault="00AB3B45" w:rsidP="00F77C66">
      <w:pPr>
        <w:rPr>
          <w:color w:val="000000"/>
          <w:sz w:val="22"/>
          <w:szCs w:val="22"/>
        </w:rPr>
      </w:pPr>
    </w:p>
    <w:p w14:paraId="05B8B069" w14:textId="77777777" w:rsidR="00640CC0" w:rsidRPr="006774D3" w:rsidRDefault="00AB3B45" w:rsidP="00F77C66">
      <w:pPr>
        <w:rPr>
          <w:color w:val="000000"/>
          <w:sz w:val="22"/>
          <w:szCs w:val="22"/>
        </w:rPr>
      </w:pPr>
      <w:r w:rsidRPr="006774D3">
        <w:rPr>
          <w:color w:val="000000"/>
          <w:sz w:val="22"/>
          <w:szCs w:val="22"/>
        </w:rPr>
        <w:t xml:space="preserve">Ráðlagður skammtur af Glivec er 400 mg/sólarhring í viðbótarmeðferð hjá fullorðnum sjúklingum eftir brottnám GIST. </w:t>
      </w:r>
      <w:r w:rsidR="00640CC0" w:rsidRPr="006774D3">
        <w:rPr>
          <w:color w:val="000000"/>
          <w:sz w:val="22"/>
          <w:szCs w:val="22"/>
        </w:rPr>
        <w:t xml:space="preserve">Æskilegasta meðferðarlengd hefur ekki enn verið ákvörðuð. Lengd meðferðar í klínísku rannsókninni sem styður þessa ábendingu var </w:t>
      </w:r>
      <w:r w:rsidR="007515C6" w:rsidRPr="006774D3">
        <w:rPr>
          <w:color w:val="000000"/>
          <w:sz w:val="22"/>
          <w:szCs w:val="22"/>
        </w:rPr>
        <w:t>36 </w:t>
      </w:r>
      <w:r w:rsidR="00640CC0" w:rsidRPr="006774D3">
        <w:rPr>
          <w:color w:val="000000"/>
          <w:sz w:val="22"/>
          <w:szCs w:val="22"/>
        </w:rPr>
        <w:t>mánuðir</w:t>
      </w:r>
      <w:r w:rsidR="007515C6" w:rsidRPr="006774D3">
        <w:rPr>
          <w:color w:val="000000"/>
          <w:sz w:val="22"/>
          <w:szCs w:val="22"/>
        </w:rPr>
        <w:t xml:space="preserve"> (sjá kafla 5.1)</w:t>
      </w:r>
      <w:r w:rsidR="00640CC0" w:rsidRPr="006774D3">
        <w:rPr>
          <w:color w:val="000000"/>
          <w:sz w:val="22"/>
          <w:szCs w:val="22"/>
        </w:rPr>
        <w:t>.</w:t>
      </w:r>
    </w:p>
    <w:p w14:paraId="05B8B06A" w14:textId="77777777" w:rsidR="00AB3B45" w:rsidRPr="006774D3" w:rsidRDefault="00AB3B45" w:rsidP="00F77C66">
      <w:pPr>
        <w:rPr>
          <w:color w:val="000000"/>
          <w:sz w:val="22"/>
          <w:szCs w:val="22"/>
        </w:rPr>
      </w:pPr>
    </w:p>
    <w:p w14:paraId="05B8B06B" w14:textId="77777777" w:rsidR="005F57F3" w:rsidRPr="006774D3" w:rsidRDefault="005F57F3" w:rsidP="00F77C66">
      <w:pPr>
        <w:keepNext/>
        <w:rPr>
          <w:color w:val="000000"/>
          <w:sz w:val="22"/>
          <w:szCs w:val="22"/>
          <w:u w:val="single"/>
        </w:rPr>
      </w:pPr>
      <w:r w:rsidRPr="006774D3">
        <w:rPr>
          <w:color w:val="000000"/>
          <w:sz w:val="22"/>
          <w:szCs w:val="22"/>
          <w:u w:val="single"/>
        </w:rPr>
        <w:t>Skammtar við DFSP</w:t>
      </w:r>
    </w:p>
    <w:p w14:paraId="05B8B06C" w14:textId="77777777" w:rsidR="005F57F3" w:rsidRPr="006774D3" w:rsidRDefault="005F57F3" w:rsidP="00B739D9">
      <w:pPr>
        <w:rPr>
          <w:color w:val="000000"/>
          <w:sz w:val="22"/>
          <w:szCs w:val="22"/>
        </w:rPr>
      </w:pPr>
      <w:r w:rsidRPr="006774D3">
        <w:rPr>
          <w:color w:val="000000"/>
          <w:sz w:val="22"/>
          <w:szCs w:val="22"/>
        </w:rPr>
        <w:t xml:space="preserve">Ráðlagður skammtur af Glivec er 800 mg/sólarhring fyrir </w:t>
      </w:r>
      <w:r w:rsidR="00D25FC3" w:rsidRPr="006774D3">
        <w:rPr>
          <w:color w:val="000000"/>
          <w:sz w:val="22"/>
          <w:szCs w:val="22"/>
        </w:rPr>
        <w:t xml:space="preserve">fullorðna </w:t>
      </w:r>
      <w:r w:rsidRPr="006774D3">
        <w:rPr>
          <w:color w:val="000000"/>
          <w:sz w:val="22"/>
          <w:szCs w:val="22"/>
        </w:rPr>
        <w:t>sjúklinga með DFSP.</w:t>
      </w:r>
    </w:p>
    <w:p w14:paraId="05B8B06D" w14:textId="77777777" w:rsidR="005F57F3" w:rsidRPr="006774D3" w:rsidRDefault="005F57F3" w:rsidP="00F77C66">
      <w:pPr>
        <w:rPr>
          <w:color w:val="000000"/>
          <w:sz w:val="22"/>
          <w:szCs w:val="22"/>
        </w:rPr>
      </w:pPr>
    </w:p>
    <w:p w14:paraId="05B8B06E" w14:textId="77777777" w:rsidR="005F57F3" w:rsidRPr="006774D3" w:rsidRDefault="005F57F3" w:rsidP="00F77C66">
      <w:pPr>
        <w:pStyle w:val="Heading3"/>
        <w:rPr>
          <w:color w:val="000000"/>
          <w:szCs w:val="22"/>
        </w:rPr>
      </w:pPr>
      <w:r w:rsidRPr="006774D3">
        <w:rPr>
          <w:color w:val="000000"/>
          <w:szCs w:val="22"/>
        </w:rPr>
        <w:t>Skammtabreytingar vegna aukaverkana</w:t>
      </w:r>
    </w:p>
    <w:p w14:paraId="05B8B06F" w14:textId="77777777" w:rsidR="005F57F3" w:rsidRPr="006774D3" w:rsidRDefault="005F57F3" w:rsidP="00F77C66">
      <w:pPr>
        <w:pStyle w:val="Heading5"/>
        <w:keepLines w:val="0"/>
        <w:spacing w:before="0"/>
        <w:rPr>
          <w:rFonts w:ascii="Times New Roman" w:hAnsi="Times New Roman"/>
          <w:i/>
          <w:color w:val="000000"/>
          <w:szCs w:val="22"/>
          <w:lang w:val="is-IS"/>
        </w:rPr>
      </w:pPr>
      <w:r w:rsidRPr="006774D3">
        <w:rPr>
          <w:rFonts w:ascii="Times New Roman" w:hAnsi="Times New Roman"/>
          <w:i/>
          <w:color w:val="000000"/>
          <w:szCs w:val="22"/>
          <w:lang w:val="is-IS"/>
        </w:rPr>
        <w:t>Aukaverkanir sem ekki tengjast blóðmynd</w:t>
      </w:r>
    </w:p>
    <w:p w14:paraId="05B8B070" w14:textId="77777777" w:rsidR="005F57F3" w:rsidRPr="006774D3" w:rsidRDefault="005F57F3" w:rsidP="00B739D9">
      <w:pPr>
        <w:rPr>
          <w:color w:val="000000"/>
          <w:sz w:val="22"/>
          <w:szCs w:val="22"/>
        </w:rPr>
      </w:pPr>
      <w:r w:rsidRPr="006774D3">
        <w:rPr>
          <w:color w:val="000000"/>
          <w:sz w:val="22"/>
          <w:szCs w:val="22"/>
        </w:rPr>
        <w:t>Ef fram kemur alvarleg aukaverkun við notkun Glivec sem ekki tengist blóði, verður að bíða með meðferð þar til búið er að yfirvinna aukaverkunina. Þá má hefja meðferð að nýju, eins og þurfa þykir, eftir því hversu alvarleg aukaverkunin var í upphafi.</w:t>
      </w:r>
    </w:p>
    <w:p w14:paraId="05B8B071" w14:textId="77777777" w:rsidR="005F57F3" w:rsidRPr="006774D3" w:rsidRDefault="005F57F3" w:rsidP="00F77C66">
      <w:pPr>
        <w:rPr>
          <w:color w:val="000000"/>
          <w:sz w:val="22"/>
          <w:szCs w:val="22"/>
        </w:rPr>
      </w:pPr>
    </w:p>
    <w:p w14:paraId="05B8B072" w14:textId="77777777" w:rsidR="005F57F3" w:rsidRPr="006774D3" w:rsidRDefault="005F57F3" w:rsidP="00F77C66">
      <w:pPr>
        <w:rPr>
          <w:color w:val="000000"/>
          <w:sz w:val="22"/>
          <w:szCs w:val="22"/>
        </w:rPr>
      </w:pPr>
      <w:r w:rsidRPr="006774D3">
        <w:rPr>
          <w:color w:val="000000"/>
          <w:sz w:val="22"/>
          <w:szCs w:val="22"/>
        </w:rPr>
        <w:t>Ef bilirubin hækkar &gt; 3 x eðlileg efri mörk (IULN) eða ef lifrartransaminasar hækka &gt; 5 x IULN á að bíða með Glivec þar til gildi bilirubins eru orðin &lt; 1,5 x IULN og gildi transaminasa eru orðin &lt; 2,5 x IULN. Þá má halda meðferð með Glivec áfram með minni sólarhringsskömmtum. Hjá fullorðnum ætti að minnka skammtana úr 400 mg í 300 mg eða úr 600 mg í 400 mg, eða úr 800 mg í 600 mg og hjá börnum úr 340 í 260 mg/m²/sólarhring.</w:t>
      </w:r>
    </w:p>
    <w:p w14:paraId="05B8B073" w14:textId="77777777" w:rsidR="005F57F3" w:rsidRPr="006774D3" w:rsidRDefault="005F57F3" w:rsidP="00F77C66">
      <w:pPr>
        <w:rPr>
          <w:color w:val="000000"/>
          <w:sz w:val="22"/>
          <w:szCs w:val="22"/>
        </w:rPr>
      </w:pPr>
    </w:p>
    <w:p w14:paraId="05B8B074" w14:textId="77777777" w:rsidR="005F57F3" w:rsidRPr="006774D3" w:rsidRDefault="005F57F3" w:rsidP="00F77C66">
      <w:pPr>
        <w:pStyle w:val="Heading5"/>
        <w:keepLines w:val="0"/>
        <w:spacing w:before="0"/>
        <w:rPr>
          <w:rFonts w:ascii="Times New Roman" w:hAnsi="Times New Roman"/>
          <w:i/>
          <w:color w:val="000000"/>
          <w:szCs w:val="22"/>
          <w:lang w:val="is-IS"/>
        </w:rPr>
      </w:pPr>
      <w:r w:rsidRPr="006774D3">
        <w:rPr>
          <w:rFonts w:ascii="Times New Roman" w:hAnsi="Times New Roman"/>
          <w:i/>
          <w:color w:val="000000"/>
          <w:szCs w:val="22"/>
          <w:lang w:val="is-IS"/>
        </w:rPr>
        <w:t>Aukaverkanir sem tengjast blóðmynd</w:t>
      </w:r>
    </w:p>
    <w:p w14:paraId="05B8B075" w14:textId="77777777" w:rsidR="005F57F3" w:rsidRPr="006774D3" w:rsidRDefault="005F57F3" w:rsidP="00F77C66">
      <w:pPr>
        <w:rPr>
          <w:color w:val="000000"/>
          <w:sz w:val="22"/>
          <w:szCs w:val="22"/>
        </w:rPr>
      </w:pPr>
      <w:r w:rsidRPr="006774D3">
        <w:rPr>
          <w:color w:val="000000"/>
          <w:sz w:val="22"/>
          <w:szCs w:val="22"/>
        </w:rPr>
        <w:t>Mælt er með minnkun skammta eða meðferðarrofi vegna alvarlegrar daufkyrningafæðar og blóð</w:t>
      </w:r>
      <w:r w:rsidRPr="006774D3">
        <w:rPr>
          <w:color w:val="000000"/>
          <w:sz w:val="22"/>
          <w:szCs w:val="22"/>
        </w:rPr>
        <w:softHyphen/>
        <w:t>flagnafæðar, sbr. eftirfarandi töflu.</w:t>
      </w:r>
    </w:p>
    <w:p w14:paraId="05B8B076" w14:textId="77777777" w:rsidR="005F57F3" w:rsidRPr="006774D3" w:rsidRDefault="005F57F3" w:rsidP="00F77C66">
      <w:pPr>
        <w:rPr>
          <w:color w:val="000000"/>
          <w:sz w:val="22"/>
          <w:szCs w:val="22"/>
        </w:rPr>
      </w:pPr>
    </w:p>
    <w:p w14:paraId="05B8B077" w14:textId="77777777" w:rsidR="005F57F3" w:rsidRPr="006774D3" w:rsidRDefault="005F57F3" w:rsidP="00F77C66">
      <w:pPr>
        <w:pStyle w:val="Heading2"/>
        <w:keepLines w:val="0"/>
        <w:overflowPunct w:val="0"/>
        <w:autoSpaceDE w:val="0"/>
        <w:autoSpaceDN w:val="0"/>
        <w:adjustRightInd w:val="0"/>
        <w:spacing w:before="0"/>
        <w:ind w:left="0" w:firstLine="0"/>
        <w:textAlignment w:val="baseline"/>
        <w:rPr>
          <w:rFonts w:ascii="Times New Roman" w:hAnsi="Times New Roman"/>
          <w:b w:val="0"/>
          <w:color w:val="000000"/>
          <w:sz w:val="22"/>
          <w:szCs w:val="22"/>
          <w:lang w:val="is-IS"/>
        </w:rPr>
      </w:pPr>
      <w:r w:rsidRPr="006774D3">
        <w:rPr>
          <w:rFonts w:ascii="Times New Roman" w:hAnsi="Times New Roman"/>
          <w:b w:val="0"/>
          <w:color w:val="000000"/>
          <w:sz w:val="22"/>
          <w:szCs w:val="22"/>
          <w:lang w:val="is-IS"/>
        </w:rPr>
        <w:t>Skammtabreytingar við daufkyrningafæð og blóðflagnafæð:</w:t>
      </w:r>
    </w:p>
    <w:p w14:paraId="05B8B078" w14:textId="77777777" w:rsidR="005F57F3" w:rsidRPr="006774D3" w:rsidRDefault="005F57F3" w:rsidP="00F77C66">
      <w:pPr>
        <w:pStyle w:val="Text"/>
        <w:keepNext/>
        <w:spacing w:before="0"/>
        <w:rPr>
          <w:color w:val="000000"/>
          <w:sz w:val="22"/>
          <w:szCs w:val="22"/>
          <w:lang w:val="is-I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5074"/>
      </w:tblGrid>
      <w:tr w:rsidR="005F57F3" w:rsidRPr="006774D3" w14:paraId="05B8B07F" w14:textId="77777777" w:rsidTr="00364D11">
        <w:trPr>
          <w:cantSplit/>
        </w:trPr>
        <w:tc>
          <w:tcPr>
            <w:tcW w:w="1908" w:type="dxa"/>
          </w:tcPr>
          <w:p w14:paraId="05B8B079" w14:textId="77777777" w:rsidR="005F57F3" w:rsidRPr="006774D3" w:rsidRDefault="005F57F3" w:rsidP="00F77C66">
            <w:pPr>
              <w:keepNext/>
              <w:rPr>
                <w:color w:val="000000"/>
                <w:sz w:val="22"/>
                <w:szCs w:val="22"/>
              </w:rPr>
            </w:pPr>
            <w:r w:rsidRPr="006774D3">
              <w:rPr>
                <w:color w:val="000000"/>
                <w:sz w:val="22"/>
                <w:szCs w:val="22"/>
              </w:rPr>
              <w:t>HES/CEL (upp</w:t>
            </w:r>
            <w:r w:rsidRPr="006774D3">
              <w:rPr>
                <w:color w:val="000000"/>
                <w:sz w:val="22"/>
                <w:szCs w:val="22"/>
              </w:rPr>
              <w:softHyphen/>
              <w:t>hafs</w:t>
            </w:r>
            <w:r w:rsidRPr="006774D3">
              <w:rPr>
                <w:color w:val="000000"/>
                <w:sz w:val="22"/>
                <w:szCs w:val="22"/>
              </w:rPr>
              <w:softHyphen/>
              <w:t>skammtur 100 mg)</w:t>
            </w:r>
          </w:p>
        </w:tc>
        <w:tc>
          <w:tcPr>
            <w:tcW w:w="2340" w:type="dxa"/>
          </w:tcPr>
          <w:p w14:paraId="05B8B07A" w14:textId="77777777" w:rsidR="005F57F3" w:rsidRPr="006774D3" w:rsidRDefault="005F57F3"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07B" w14:textId="77777777" w:rsidR="005F57F3" w:rsidRPr="006774D3" w:rsidRDefault="005F57F3" w:rsidP="00F77C66">
            <w:pPr>
              <w:keepNext/>
              <w:rPr>
                <w:color w:val="000000"/>
                <w:sz w:val="22"/>
                <w:szCs w:val="22"/>
              </w:rPr>
            </w:pPr>
            <w:r w:rsidRPr="006774D3">
              <w:rPr>
                <w:color w:val="000000"/>
                <w:sz w:val="22"/>
                <w:szCs w:val="22"/>
              </w:rPr>
              <w:t>og/eða</w:t>
            </w:r>
          </w:p>
          <w:p w14:paraId="05B8B07C" w14:textId="77777777" w:rsidR="005F57F3" w:rsidRPr="006774D3" w:rsidRDefault="005F57F3" w:rsidP="00F77C66">
            <w:pPr>
              <w:keepNext/>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Pr>
          <w:p w14:paraId="05B8B07D" w14:textId="77777777" w:rsidR="005F57F3" w:rsidRPr="006774D3" w:rsidRDefault="005F57F3"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07E" w14:textId="77777777" w:rsidR="005F57F3" w:rsidRPr="006774D3" w:rsidRDefault="005F57F3"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tc>
      </w:tr>
      <w:tr w:rsidR="005F57F3" w:rsidRPr="006774D3" w14:paraId="05B8B088" w14:textId="77777777" w:rsidTr="00364D11">
        <w:trPr>
          <w:cantSplit/>
        </w:trPr>
        <w:tc>
          <w:tcPr>
            <w:tcW w:w="1908" w:type="dxa"/>
          </w:tcPr>
          <w:p w14:paraId="05B8B080" w14:textId="77777777" w:rsidR="005F57F3" w:rsidRPr="006774D3" w:rsidRDefault="005F57F3" w:rsidP="00F77C66">
            <w:pPr>
              <w:keepNext/>
              <w:rPr>
                <w:color w:val="000000"/>
                <w:sz w:val="22"/>
                <w:szCs w:val="22"/>
              </w:rPr>
            </w:pPr>
            <w:r w:rsidRPr="006774D3">
              <w:rPr>
                <w:color w:val="000000"/>
                <w:sz w:val="22"/>
                <w:szCs w:val="22"/>
              </w:rPr>
              <w:t>Stöðugur fasi CML, MDS/MPD og GIST (upphafs</w:t>
            </w:r>
            <w:r w:rsidRPr="006774D3">
              <w:rPr>
                <w:color w:val="000000"/>
                <w:sz w:val="22"/>
                <w:szCs w:val="22"/>
              </w:rPr>
              <w:softHyphen/>
              <w:t>skammtur 400 mg)</w:t>
            </w:r>
          </w:p>
          <w:p w14:paraId="05B8B081" w14:textId="77777777" w:rsidR="005F57F3" w:rsidRPr="006774D3" w:rsidRDefault="005F57F3" w:rsidP="00F77C66">
            <w:pPr>
              <w:keepNext/>
              <w:rPr>
                <w:color w:val="000000"/>
                <w:sz w:val="22"/>
                <w:szCs w:val="22"/>
              </w:rPr>
            </w:pPr>
            <w:r w:rsidRPr="006774D3">
              <w:rPr>
                <w:color w:val="000000"/>
                <w:sz w:val="22"/>
                <w:szCs w:val="22"/>
              </w:rPr>
              <w:t>HES/CEL (við 400 mg skammt)</w:t>
            </w:r>
          </w:p>
        </w:tc>
        <w:tc>
          <w:tcPr>
            <w:tcW w:w="2340" w:type="dxa"/>
          </w:tcPr>
          <w:p w14:paraId="05B8B082" w14:textId="77777777" w:rsidR="005F57F3" w:rsidRPr="006774D3" w:rsidRDefault="005F57F3"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083" w14:textId="77777777" w:rsidR="005F57F3" w:rsidRPr="006774D3" w:rsidRDefault="005F57F3" w:rsidP="00F77C66">
            <w:pPr>
              <w:keepNext/>
              <w:rPr>
                <w:color w:val="000000"/>
                <w:sz w:val="22"/>
                <w:szCs w:val="22"/>
              </w:rPr>
            </w:pPr>
            <w:r w:rsidRPr="006774D3">
              <w:rPr>
                <w:color w:val="000000"/>
                <w:sz w:val="22"/>
                <w:szCs w:val="22"/>
              </w:rPr>
              <w:t>og/eða</w:t>
            </w:r>
          </w:p>
          <w:p w14:paraId="05B8B084" w14:textId="77777777" w:rsidR="005F57F3" w:rsidRPr="006774D3" w:rsidRDefault="005F57F3" w:rsidP="00F77C66">
            <w:pPr>
              <w:keepNext/>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Pr>
          <w:p w14:paraId="05B8B085" w14:textId="77777777" w:rsidR="005F57F3" w:rsidRPr="006774D3" w:rsidRDefault="005F57F3"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086" w14:textId="77777777" w:rsidR="005F57F3" w:rsidRPr="006774D3" w:rsidRDefault="005F57F3"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p w14:paraId="05B8B087" w14:textId="77777777" w:rsidR="005F57F3" w:rsidRPr="006774D3" w:rsidRDefault="005F57F3" w:rsidP="00F77C66">
            <w:pPr>
              <w:keepNext/>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300 mg.</w:t>
            </w:r>
          </w:p>
        </w:tc>
      </w:tr>
      <w:tr w:rsidR="005F57F3" w:rsidRPr="006774D3" w14:paraId="05B8B090" w14:textId="77777777" w:rsidTr="00364D11">
        <w:trPr>
          <w:cantSplit/>
        </w:trPr>
        <w:tc>
          <w:tcPr>
            <w:tcW w:w="1908" w:type="dxa"/>
            <w:tcBorders>
              <w:bottom w:val="nil"/>
            </w:tcBorders>
          </w:tcPr>
          <w:p w14:paraId="05B8B089" w14:textId="77777777" w:rsidR="005F57F3" w:rsidRPr="006774D3" w:rsidRDefault="005F57F3" w:rsidP="00F77C66">
            <w:pPr>
              <w:rPr>
                <w:color w:val="000000"/>
                <w:sz w:val="22"/>
                <w:szCs w:val="22"/>
              </w:rPr>
            </w:pPr>
            <w:r w:rsidRPr="006774D3">
              <w:rPr>
                <w:color w:val="000000"/>
                <w:sz w:val="22"/>
                <w:szCs w:val="22"/>
              </w:rPr>
              <w:t>Stöðugur fasi CML hjá börnum (við skammtinn 340 mg/m²)</w:t>
            </w:r>
          </w:p>
        </w:tc>
        <w:tc>
          <w:tcPr>
            <w:tcW w:w="2340" w:type="dxa"/>
            <w:tcBorders>
              <w:bottom w:val="nil"/>
            </w:tcBorders>
          </w:tcPr>
          <w:p w14:paraId="05B8B08A" w14:textId="77777777" w:rsidR="005F57F3" w:rsidRPr="006774D3" w:rsidRDefault="005F57F3" w:rsidP="00F77C66">
            <w:pPr>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08B" w14:textId="77777777" w:rsidR="005F57F3" w:rsidRPr="006774D3" w:rsidRDefault="005F57F3" w:rsidP="00F77C66">
            <w:pPr>
              <w:rPr>
                <w:color w:val="000000"/>
                <w:sz w:val="22"/>
                <w:szCs w:val="22"/>
              </w:rPr>
            </w:pPr>
            <w:r w:rsidRPr="006774D3">
              <w:rPr>
                <w:color w:val="000000"/>
                <w:sz w:val="22"/>
                <w:szCs w:val="22"/>
              </w:rPr>
              <w:t>og/eða</w:t>
            </w:r>
          </w:p>
          <w:p w14:paraId="05B8B08C" w14:textId="77777777" w:rsidR="005F57F3" w:rsidRPr="006774D3" w:rsidRDefault="005F57F3" w:rsidP="00F77C66">
            <w:pPr>
              <w:rPr>
                <w:color w:val="000000"/>
                <w:sz w:val="22"/>
                <w:szCs w:val="22"/>
                <w:vertAlign w:val="superscript"/>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Borders>
              <w:bottom w:val="nil"/>
            </w:tcBorders>
          </w:tcPr>
          <w:p w14:paraId="05B8B08D" w14:textId="77777777" w:rsidR="005F57F3" w:rsidRPr="006774D3" w:rsidRDefault="005F57F3" w:rsidP="00F77C66">
            <w:pPr>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08E" w14:textId="77777777" w:rsidR="005F57F3" w:rsidRPr="006774D3" w:rsidRDefault="005F57F3" w:rsidP="00F77C66">
            <w:pPr>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p w14:paraId="05B8B08F" w14:textId="77777777" w:rsidR="005F57F3" w:rsidRPr="006774D3" w:rsidRDefault="005F57F3" w:rsidP="00F77C66">
            <w:pPr>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260 mg</w:t>
            </w:r>
            <w:r w:rsidRPr="006774D3">
              <w:rPr>
                <w:color w:val="000000"/>
                <w:sz w:val="22"/>
                <w:szCs w:val="22"/>
                <w:vertAlign w:val="superscript"/>
              </w:rPr>
              <w:t>2</w:t>
            </w:r>
            <w:r w:rsidRPr="006774D3">
              <w:rPr>
                <w:color w:val="000000"/>
                <w:sz w:val="22"/>
                <w:szCs w:val="22"/>
              </w:rPr>
              <w:t>.</w:t>
            </w:r>
          </w:p>
        </w:tc>
      </w:tr>
      <w:tr w:rsidR="005F57F3" w:rsidRPr="006774D3" w14:paraId="05B8B099" w14:textId="77777777" w:rsidTr="00364D11">
        <w:trPr>
          <w:cantSplit/>
        </w:trPr>
        <w:tc>
          <w:tcPr>
            <w:tcW w:w="1908" w:type="dxa"/>
            <w:tcBorders>
              <w:bottom w:val="nil"/>
            </w:tcBorders>
          </w:tcPr>
          <w:p w14:paraId="05B8B091" w14:textId="77777777" w:rsidR="005F57F3" w:rsidRPr="006774D3" w:rsidRDefault="005F57F3" w:rsidP="00F77C66">
            <w:pPr>
              <w:rPr>
                <w:color w:val="000000"/>
                <w:sz w:val="22"/>
                <w:szCs w:val="22"/>
              </w:rPr>
            </w:pPr>
            <w:r w:rsidRPr="006774D3">
              <w:rPr>
                <w:color w:val="000000"/>
                <w:sz w:val="22"/>
                <w:szCs w:val="22"/>
              </w:rPr>
              <w:lastRenderedPageBreak/>
              <w:t>Hröðunarfasi CML og bráðafasi og Ph+ ALL (upphafsskammtur 600 mg)</w:t>
            </w:r>
          </w:p>
        </w:tc>
        <w:tc>
          <w:tcPr>
            <w:tcW w:w="2340" w:type="dxa"/>
            <w:tcBorders>
              <w:bottom w:val="nil"/>
            </w:tcBorders>
          </w:tcPr>
          <w:p w14:paraId="05B8B092" w14:textId="77777777" w:rsidR="005F57F3" w:rsidRPr="006774D3" w:rsidRDefault="005F57F3" w:rsidP="00F77C66">
            <w:pPr>
              <w:rPr>
                <w:color w:val="000000"/>
                <w:sz w:val="22"/>
                <w:szCs w:val="22"/>
              </w:rPr>
            </w:pPr>
            <w:r w:rsidRPr="006774D3">
              <w:rPr>
                <w:color w:val="000000"/>
                <w:sz w:val="22"/>
                <w:szCs w:val="22"/>
                <w:vertAlign w:val="superscript"/>
              </w:rPr>
              <w:t>a</w:t>
            </w:r>
            <w:r w:rsidRPr="006774D3">
              <w:rPr>
                <w:color w:val="000000"/>
                <w:sz w:val="22"/>
                <w:szCs w:val="22"/>
              </w:rPr>
              <w:t>ANC &lt; 0,5 x 10</w:t>
            </w:r>
            <w:r w:rsidRPr="006774D3">
              <w:rPr>
                <w:color w:val="000000"/>
                <w:sz w:val="22"/>
                <w:szCs w:val="22"/>
                <w:vertAlign w:val="superscript"/>
              </w:rPr>
              <w:t>9</w:t>
            </w:r>
            <w:r w:rsidRPr="006774D3">
              <w:rPr>
                <w:color w:val="000000"/>
                <w:sz w:val="22"/>
                <w:szCs w:val="22"/>
              </w:rPr>
              <w:t>/l</w:t>
            </w:r>
          </w:p>
          <w:p w14:paraId="05B8B093" w14:textId="77777777" w:rsidR="005F57F3" w:rsidRPr="006774D3" w:rsidRDefault="005F57F3" w:rsidP="00F77C66">
            <w:pPr>
              <w:rPr>
                <w:color w:val="000000"/>
                <w:sz w:val="22"/>
                <w:szCs w:val="22"/>
              </w:rPr>
            </w:pPr>
            <w:r w:rsidRPr="006774D3">
              <w:rPr>
                <w:color w:val="000000"/>
                <w:sz w:val="22"/>
                <w:szCs w:val="22"/>
              </w:rPr>
              <w:t>og/eða</w:t>
            </w:r>
          </w:p>
          <w:p w14:paraId="05B8B094" w14:textId="77777777" w:rsidR="005F57F3" w:rsidRPr="006774D3" w:rsidRDefault="005F57F3" w:rsidP="00F77C66">
            <w:pPr>
              <w:rPr>
                <w:color w:val="000000"/>
                <w:sz w:val="22"/>
                <w:szCs w:val="22"/>
              </w:rPr>
            </w:pPr>
            <w:r w:rsidRPr="006774D3">
              <w:rPr>
                <w:color w:val="000000"/>
                <w:sz w:val="22"/>
                <w:szCs w:val="22"/>
              </w:rPr>
              <w:t>blóðflögur &lt; 10 x 10</w:t>
            </w:r>
            <w:r w:rsidRPr="006774D3">
              <w:rPr>
                <w:color w:val="000000"/>
                <w:sz w:val="22"/>
                <w:szCs w:val="22"/>
                <w:vertAlign w:val="superscript"/>
              </w:rPr>
              <w:t>9</w:t>
            </w:r>
            <w:r w:rsidRPr="006774D3">
              <w:rPr>
                <w:color w:val="000000"/>
                <w:sz w:val="22"/>
                <w:szCs w:val="22"/>
              </w:rPr>
              <w:t>/l</w:t>
            </w:r>
          </w:p>
        </w:tc>
        <w:tc>
          <w:tcPr>
            <w:tcW w:w="5074" w:type="dxa"/>
            <w:tcBorders>
              <w:bottom w:val="nil"/>
            </w:tcBorders>
          </w:tcPr>
          <w:p w14:paraId="05B8B095" w14:textId="77777777" w:rsidR="005F57F3" w:rsidRPr="006774D3" w:rsidRDefault="005F57F3" w:rsidP="00F77C66">
            <w:pPr>
              <w:ind w:left="252" w:hanging="252"/>
              <w:rPr>
                <w:color w:val="000000"/>
                <w:sz w:val="22"/>
                <w:szCs w:val="22"/>
              </w:rPr>
            </w:pPr>
            <w:r w:rsidRPr="006774D3">
              <w:rPr>
                <w:color w:val="000000"/>
                <w:sz w:val="22"/>
                <w:szCs w:val="22"/>
              </w:rPr>
              <w:t>1.</w:t>
            </w:r>
            <w:r w:rsidRPr="006774D3">
              <w:rPr>
                <w:color w:val="000000"/>
                <w:sz w:val="22"/>
                <w:szCs w:val="22"/>
              </w:rPr>
              <w:tab/>
              <w:t>Kannið hvort frumufæð tengist hvítblæði (mergsog eða vefjasýni).</w:t>
            </w:r>
          </w:p>
          <w:p w14:paraId="05B8B096" w14:textId="77777777" w:rsidR="005F57F3" w:rsidRPr="006774D3" w:rsidRDefault="005F57F3" w:rsidP="00F77C66">
            <w:pPr>
              <w:ind w:left="252" w:hanging="252"/>
              <w:rPr>
                <w:color w:val="000000"/>
                <w:sz w:val="22"/>
                <w:szCs w:val="22"/>
              </w:rPr>
            </w:pPr>
            <w:r w:rsidRPr="006774D3">
              <w:rPr>
                <w:color w:val="000000"/>
                <w:sz w:val="22"/>
                <w:szCs w:val="22"/>
              </w:rPr>
              <w:t>2.</w:t>
            </w:r>
            <w:r w:rsidRPr="006774D3">
              <w:rPr>
                <w:color w:val="000000"/>
                <w:sz w:val="22"/>
                <w:szCs w:val="22"/>
              </w:rPr>
              <w:tab/>
              <w:t>Ef frumufæð tengist ekki hvítblæði, skal minnka skammt Glivec í 400 mg.</w:t>
            </w:r>
          </w:p>
          <w:p w14:paraId="05B8B097" w14:textId="77777777" w:rsidR="005F57F3" w:rsidRPr="006774D3" w:rsidRDefault="005F57F3" w:rsidP="00F77C66">
            <w:pPr>
              <w:ind w:left="252" w:hanging="252"/>
              <w:rPr>
                <w:color w:val="000000"/>
                <w:sz w:val="22"/>
                <w:szCs w:val="22"/>
              </w:rPr>
            </w:pPr>
            <w:r w:rsidRPr="006774D3">
              <w:rPr>
                <w:color w:val="000000"/>
                <w:sz w:val="22"/>
                <w:szCs w:val="22"/>
              </w:rPr>
              <w:t>3.</w:t>
            </w:r>
            <w:r w:rsidRPr="006774D3">
              <w:rPr>
                <w:color w:val="000000"/>
                <w:sz w:val="22"/>
                <w:szCs w:val="22"/>
              </w:rPr>
              <w:tab/>
              <w:t>Ef frumufæð varir í 2 vikur, skal minnka skammtinn enn frekar, í 300 mg.</w:t>
            </w:r>
          </w:p>
          <w:p w14:paraId="05B8B098" w14:textId="77777777" w:rsidR="005F57F3" w:rsidRPr="006774D3" w:rsidRDefault="005F57F3" w:rsidP="00F77C66">
            <w:pPr>
              <w:ind w:left="252" w:hanging="252"/>
              <w:rPr>
                <w:color w:val="000000"/>
                <w:sz w:val="22"/>
                <w:szCs w:val="22"/>
              </w:rPr>
            </w:pPr>
            <w:r w:rsidRPr="006774D3">
              <w:rPr>
                <w:color w:val="000000"/>
                <w:sz w:val="22"/>
                <w:szCs w:val="22"/>
              </w:rPr>
              <w:t>4.</w:t>
            </w:r>
            <w:r w:rsidRPr="006774D3">
              <w:rPr>
                <w:color w:val="000000"/>
                <w:sz w:val="22"/>
                <w:szCs w:val="22"/>
              </w:rPr>
              <w:tab/>
              <w:t>Ef frumufæð varir í 4 vikur og tengist enn ekki hvítblæði, skal hætta notkun Glivec þar til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Síðan skal hefja meðferð aftur með 300 mg.</w:t>
            </w:r>
          </w:p>
        </w:tc>
      </w:tr>
      <w:tr w:rsidR="005F57F3" w:rsidRPr="006774D3" w14:paraId="05B8B0A2" w14:textId="77777777" w:rsidTr="00364D11">
        <w:trPr>
          <w:cantSplit/>
        </w:trPr>
        <w:tc>
          <w:tcPr>
            <w:tcW w:w="1908" w:type="dxa"/>
            <w:tcBorders>
              <w:bottom w:val="single" w:sz="4" w:space="0" w:color="auto"/>
            </w:tcBorders>
          </w:tcPr>
          <w:p w14:paraId="05B8B09A" w14:textId="77777777" w:rsidR="005F57F3" w:rsidRPr="006774D3" w:rsidRDefault="005F57F3" w:rsidP="00F77C66">
            <w:pPr>
              <w:rPr>
                <w:color w:val="000000"/>
                <w:sz w:val="22"/>
                <w:szCs w:val="22"/>
              </w:rPr>
            </w:pPr>
            <w:r w:rsidRPr="006774D3">
              <w:rPr>
                <w:color w:val="000000"/>
                <w:sz w:val="22"/>
                <w:szCs w:val="22"/>
              </w:rPr>
              <w:t xml:space="preserve">Hröðunarfasi CML og bráðafasi, hjá börnum, (upphafsskammtur </w:t>
            </w:r>
            <w:bookmarkStart w:id="5" w:name="OLE_LINK3"/>
            <w:bookmarkStart w:id="6" w:name="OLE_LINK4"/>
            <w:r w:rsidRPr="006774D3">
              <w:rPr>
                <w:color w:val="000000"/>
                <w:sz w:val="22"/>
                <w:szCs w:val="22"/>
              </w:rPr>
              <w:t>340 mg/m²</w:t>
            </w:r>
            <w:bookmarkEnd w:id="5"/>
            <w:bookmarkEnd w:id="6"/>
            <w:r w:rsidRPr="006774D3">
              <w:rPr>
                <w:color w:val="000000"/>
                <w:sz w:val="22"/>
                <w:szCs w:val="22"/>
              </w:rPr>
              <w:t>)</w:t>
            </w:r>
          </w:p>
        </w:tc>
        <w:tc>
          <w:tcPr>
            <w:tcW w:w="2340" w:type="dxa"/>
            <w:tcBorders>
              <w:bottom w:val="single" w:sz="4" w:space="0" w:color="auto"/>
            </w:tcBorders>
          </w:tcPr>
          <w:p w14:paraId="05B8B09B" w14:textId="77777777" w:rsidR="005F57F3" w:rsidRPr="006774D3" w:rsidRDefault="005F57F3" w:rsidP="00F77C66">
            <w:pPr>
              <w:rPr>
                <w:color w:val="000000"/>
                <w:sz w:val="22"/>
                <w:szCs w:val="22"/>
              </w:rPr>
            </w:pPr>
            <w:r w:rsidRPr="006774D3">
              <w:rPr>
                <w:color w:val="000000"/>
                <w:sz w:val="22"/>
                <w:szCs w:val="22"/>
                <w:vertAlign w:val="superscript"/>
              </w:rPr>
              <w:t>a</w:t>
            </w:r>
            <w:r w:rsidRPr="006774D3">
              <w:rPr>
                <w:color w:val="000000"/>
                <w:sz w:val="22"/>
                <w:szCs w:val="22"/>
              </w:rPr>
              <w:t>ANC &lt; 0,5 x 10</w:t>
            </w:r>
            <w:r w:rsidRPr="006774D3">
              <w:rPr>
                <w:color w:val="000000"/>
                <w:sz w:val="22"/>
                <w:szCs w:val="22"/>
                <w:vertAlign w:val="superscript"/>
              </w:rPr>
              <w:t>9</w:t>
            </w:r>
            <w:r w:rsidRPr="006774D3">
              <w:rPr>
                <w:color w:val="000000"/>
                <w:sz w:val="22"/>
                <w:szCs w:val="22"/>
              </w:rPr>
              <w:t>/l</w:t>
            </w:r>
          </w:p>
          <w:p w14:paraId="05B8B09C" w14:textId="77777777" w:rsidR="005F57F3" w:rsidRPr="006774D3" w:rsidRDefault="005F57F3" w:rsidP="00F77C66">
            <w:pPr>
              <w:rPr>
                <w:color w:val="000000"/>
                <w:sz w:val="22"/>
                <w:szCs w:val="22"/>
              </w:rPr>
            </w:pPr>
            <w:r w:rsidRPr="006774D3">
              <w:rPr>
                <w:color w:val="000000"/>
                <w:sz w:val="22"/>
                <w:szCs w:val="22"/>
              </w:rPr>
              <w:t>og/eða</w:t>
            </w:r>
          </w:p>
          <w:p w14:paraId="05B8B09D" w14:textId="77777777" w:rsidR="005F57F3" w:rsidRPr="006774D3" w:rsidRDefault="005F57F3" w:rsidP="00F77C66">
            <w:pPr>
              <w:rPr>
                <w:color w:val="000000"/>
                <w:sz w:val="22"/>
                <w:szCs w:val="22"/>
                <w:vertAlign w:val="superscript"/>
              </w:rPr>
            </w:pPr>
            <w:r w:rsidRPr="006774D3">
              <w:rPr>
                <w:color w:val="000000"/>
                <w:sz w:val="22"/>
                <w:szCs w:val="22"/>
              </w:rPr>
              <w:t>blóðflögur &lt; 10 x 10</w:t>
            </w:r>
            <w:r w:rsidRPr="006774D3">
              <w:rPr>
                <w:color w:val="000000"/>
                <w:sz w:val="22"/>
                <w:szCs w:val="22"/>
                <w:vertAlign w:val="superscript"/>
              </w:rPr>
              <w:t>9</w:t>
            </w:r>
            <w:r w:rsidRPr="006774D3">
              <w:rPr>
                <w:color w:val="000000"/>
                <w:sz w:val="22"/>
                <w:szCs w:val="22"/>
              </w:rPr>
              <w:t>/l</w:t>
            </w:r>
          </w:p>
        </w:tc>
        <w:tc>
          <w:tcPr>
            <w:tcW w:w="5074" w:type="dxa"/>
            <w:tcBorders>
              <w:bottom w:val="single" w:sz="4" w:space="0" w:color="auto"/>
            </w:tcBorders>
          </w:tcPr>
          <w:p w14:paraId="05B8B09E" w14:textId="77777777" w:rsidR="005F57F3" w:rsidRPr="006774D3" w:rsidRDefault="005F57F3" w:rsidP="00F77C66">
            <w:pPr>
              <w:ind w:left="252" w:hanging="252"/>
              <w:rPr>
                <w:color w:val="000000"/>
                <w:sz w:val="22"/>
                <w:szCs w:val="22"/>
              </w:rPr>
            </w:pPr>
            <w:r w:rsidRPr="006774D3">
              <w:rPr>
                <w:color w:val="000000"/>
                <w:sz w:val="22"/>
                <w:szCs w:val="22"/>
              </w:rPr>
              <w:t>1.</w:t>
            </w:r>
            <w:r w:rsidRPr="006774D3">
              <w:rPr>
                <w:color w:val="000000"/>
                <w:sz w:val="22"/>
                <w:szCs w:val="22"/>
              </w:rPr>
              <w:tab/>
              <w:t>Kannið hvort frumufæð tengist hvítblæði (mergsog eða vefjasýni).</w:t>
            </w:r>
          </w:p>
          <w:p w14:paraId="05B8B09F" w14:textId="77777777" w:rsidR="005F57F3" w:rsidRPr="006774D3" w:rsidRDefault="005F57F3" w:rsidP="00F77C66">
            <w:pPr>
              <w:ind w:left="252" w:hanging="252"/>
              <w:rPr>
                <w:color w:val="000000"/>
                <w:sz w:val="22"/>
                <w:szCs w:val="22"/>
              </w:rPr>
            </w:pPr>
            <w:r w:rsidRPr="006774D3">
              <w:rPr>
                <w:color w:val="000000"/>
                <w:sz w:val="22"/>
                <w:szCs w:val="22"/>
              </w:rPr>
              <w:t>2.</w:t>
            </w:r>
            <w:r w:rsidRPr="006774D3">
              <w:rPr>
                <w:color w:val="000000"/>
                <w:sz w:val="22"/>
                <w:szCs w:val="22"/>
              </w:rPr>
              <w:tab/>
              <w:t>Ef frumufæð tengist ekki hvítblæði, skal minnka skammt Glivec í 260 mg/m².</w:t>
            </w:r>
          </w:p>
          <w:p w14:paraId="05B8B0A0" w14:textId="77777777" w:rsidR="005F57F3" w:rsidRPr="006774D3" w:rsidRDefault="005F57F3" w:rsidP="00F77C66">
            <w:pPr>
              <w:ind w:left="252" w:hanging="252"/>
              <w:rPr>
                <w:color w:val="000000"/>
                <w:sz w:val="22"/>
                <w:szCs w:val="22"/>
              </w:rPr>
            </w:pPr>
            <w:r w:rsidRPr="006774D3">
              <w:rPr>
                <w:color w:val="000000"/>
                <w:sz w:val="22"/>
                <w:szCs w:val="22"/>
              </w:rPr>
              <w:t>3.</w:t>
            </w:r>
            <w:r w:rsidRPr="006774D3">
              <w:rPr>
                <w:color w:val="000000"/>
                <w:sz w:val="22"/>
                <w:szCs w:val="22"/>
              </w:rPr>
              <w:tab/>
              <w:t>Ef frumufæð varir í 2 vikur, skal minnka skammtinn enn frekar, í 200 mg/m².</w:t>
            </w:r>
          </w:p>
          <w:p w14:paraId="05B8B0A1" w14:textId="77777777" w:rsidR="005F57F3" w:rsidRPr="006774D3" w:rsidRDefault="005F57F3" w:rsidP="00F77C66">
            <w:pPr>
              <w:ind w:left="252" w:hanging="252"/>
              <w:rPr>
                <w:color w:val="000000"/>
                <w:sz w:val="22"/>
                <w:szCs w:val="22"/>
              </w:rPr>
            </w:pPr>
            <w:r w:rsidRPr="006774D3">
              <w:rPr>
                <w:color w:val="000000"/>
                <w:sz w:val="22"/>
                <w:szCs w:val="22"/>
              </w:rPr>
              <w:t>4.</w:t>
            </w:r>
            <w:r w:rsidRPr="006774D3">
              <w:rPr>
                <w:color w:val="000000"/>
                <w:sz w:val="22"/>
                <w:szCs w:val="22"/>
              </w:rPr>
              <w:tab/>
              <w:t>Ef frumufæð varir í 4 vikur og tengist enn ekki hvítblæði, skal hætta notkun Glivec þar til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Síðan skal hefja meðferð aftur með 200 mg/m².</w:t>
            </w:r>
          </w:p>
        </w:tc>
      </w:tr>
      <w:tr w:rsidR="005F57F3" w:rsidRPr="006774D3" w14:paraId="05B8B0AA" w14:textId="77777777" w:rsidTr="00364D11">
        <w:trPr>
          <w:cantSplit/>
        </w:trPr>
        <w:tc>
          <w:tcPr>
            <w:tcW w:w="1908" w:type="dxa"/>
            <w:tcBorders>
              <w:bottom w:val="single" w:sz="4" w:space="0" w:color="auto"/>
            </w:tcBorders>
          </w:tcPr>
          <w:p w14:paraId="05B8B0A3" w14:textId="77777777" w:rsidR="005F57F3" w:rsidRPr="006774D3" w:rsidRDefault="005F57F3" w:rsidP="00F77C66">
            <w:pPr>
              <w:keepNext/>
              <w:rPr>
                <w:color w:val="000000"/>
                <w:sz w:val="22"/>
                <w:szCs w:val="22"/>
              </w:rPr>
            </w:pPr>
            <w:r w:rsidRPr="006774D3">
              <w:rPr>
                <w:color w:val="000000"/>
                <w:sz w:val="22"/>
                <w:szCs w:val="22"/>
              </w:rPr>
              <w:t>DFSP (við 800 mg skammt)</w:t>
            </w:r>
          </w:p>
        </w:tc>
        <w:tc>
          <w:tcPr>
            <w:tcW w:w="2340" w:type="dxa"/>
            <w:tcBorders>
              <w:bottom w:val="single" w:sz="4" w:space="0" w:color="auto"/>
            </w:tcBorders>
          </w:tcPr>
          <w:p w14:paraId="05B8B0A4" w14:textId="77777777" w:rsidR="005F57F3" w:rsidRPr="006774D3" w:rsidRDefault="005F57F3"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0A5" w14:textId="77777777" w:rsidR="005F57F3" w:rsidRPr="006774D3" w:rsidRDefault="005F57F3" w:rsidP="00F77C66">
            <w:pPr>
              <w:keepNext/>
              <w:rPr>
                <w:color w:val="000000"/>
                <w:sz w:val="22"/>
                <w:szCs w:val="22"/>
              </w:rPr>
            </w:pPr>
            <w:r w:rsidRPr="006774D3">
              <w:rPr>
                <w:color w:val="000000"/>
                <w:sz w:val="22"/>
                <w:szCs w:val="22"/>
              </w:rPr>
              <w:t>og/eða</w:t>
            </w:r>
          </w:p>
          <w:p w14:paraId="05B8B0A6" w14:textId="77777777" w:rsidR="005F57F3" w:rsidRPr="006774D3" w:rsidRDefault="005F57F3" w:rsidP="00F77C66">
            <w:pPr>
              <w:keepNext/>
              <w:ind w:left="252" w:hanging="252"/>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Borders>
              <w:bottom w:val="single" w:sz="4" w:space="0" w:color="auto"/>
            </w:tcBorders>
          </w:tcPr>
          <w:p w14:paraId="05B8B0A7" w14:textId="77777777" w:rsidR="005F57F3" w:rsidRPr="006774D3" w:rsidRDefault="005F57F3"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0A8" w14:textId="77777777" w:rsidR="005F57F3" w:rsidRPr="006774D3" w:rsidRDefault="005F57F3"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600 mg skammti af Glivec.</w:t>
            </w:r>
          </w:p>
          <w:p w14:paraId="05B8B0A9" w14:textId="77777777" w:rsidR="005F57F3" w:rsidRPr="006774D3" w:rsidRDefault="005F57F3" w:rsidP="00F77C66">
            <w:pPr>
              <w:keepNext/>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400 mg.</w:t>
            </w:r>
          </w:p>
        </w:tc>
      </w:tr>
      <w:tr w:rsidR="005F57F3" w:rsidRPr="006774D3" w14:paraId="05B8B0AD" w14:textId="77777777" w:rsidTr="00364D11">
        <w:trPr>
          <w:cantSplit/>
        </w:trPr>
        <w:tc>
          <w:tcPr>
            <w:tcW w:w="9322" w:type="dxa"/>
            <w:gridSpan w:val="3"/>
            <w:tcBorders>
              <w:bottom w:val="single" w:sz="4" w:space="0" w:color="auto"/>
            </w:tcBorders>
          </w:tcPr>
          <w:p w14:paraId="05B8B0AB" w14:textId="77777777" w:rsidR="005F57F3" w:rsidRPr="006774D3" w:rsidRDefault="005F57F3" w:rsidP="00B739D9">
            <w:pPr>
              <w:ind w:left="252" w:hanging="252"/>
              <w:rPr>
                <w:color w:val="000000"/>
                <w:sz w:val="22"/>
                <w:szCs w:val="22"/>
              </w:rPr>
            </w:pPr>
            <w:r w:rsidRPr="006774D3">
              <w:rPr>
                <w:color w:val="000000"/>
                <w:sz w:val="22"/>
                <w:szCs w:val="22"/>
              </w:rPr>
              <w:t>ANC = heildar daufkyrningafjöldi.</w:t>
            </w:r>
          </w:p>
          <w:p w14:paraId="05B8B0AC" w14:textId="77777777" w:rsidR="005F57F3" w:rsidRPr="006774D3" w:rsidRDefault="005F57F3" w:rsidP="00B739D9">
            <w:pPr>
              <w:rPr>
                <w:color w:val="000000"/>
                <w:sz w:val="22"/>
                <w:szCs w:val="22"/>
              </w:rPr>
            </w:pPr>
            <w:r w:rsidRPr="006774D3">
              <w:rPr>
                <w:color w:val="000000"/>
                <w:sz w:val="22"/>
                <w:szCs w:val="22"/>
                <w:vertAlign w:val="superscript"/>
              </w:rPr>
              <w:t>a</w:t>
            </w:r>
            <w:r w:rsidR="008B7536" w:rsidRPr="006774D3">
              <w:rPr>
                <w:color w:val="000000"/>
                <w:sz w:val="22"/>
                <w:szCs w:val="22"/>
                <w:vertAlign w:val="superscript"/>
              </w:rPr>
              <w:t xml:space="preserve"> </w:t>
            </w:r>
            <w:r w:rsidRPr="006774D3">
              <w:rPr>
                <w:color w:val="000000"/>
                <w:sz w:val="22"/>
                <w:szCs w:val="22"/>
              </w:rPr>
              <w:t>kemur fyrir eftir að minnsta kosti 1 mánaðar meðferð.</w:t>
            </w:r>
          </w:p>
        </w:tc>
      </w:tr>
    </w:tbl>
    <w:p w14:paraId="05B8B0AE"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0AF" w14:textId="77777777" w:rsidR="00D25FC3" w:rsidRPr="006774D3" w:rsidRDefault="00D25FC3" w:rsidP="00F77C66">
      <w:pPr>
        <w:keepNext/>
        <w:rPr>
          <w:color w:val="000000"/>
          <w:sz w:val="22"/>
          <w:szCs w:val="22"/>
          <w:u w:val="single"/>
        </w:rPr>
      </w:pPr>
      <w:r w:rsidRPr="006774D3">
        <w:rPr>
          <w:color w:val="000000"/>
          <w:sz w:val="22"/>
          <w:szCs w:val="22"/>
          <w:u w:val="single"/>
        </w:rPr>
        <w:t>Sérstakir sjúklingahópar</w:t>
      </w:r>
    </w:p>
    <w:p w14:paraId="05B8B0B0" w14:textId="77777777" w:rsidR="005F57F3" w:rsidRPr="006774D3" w:rsidRDefault="005F57F3" w:rsidP="00F77C66">
      <w:pPr>
        <w:rPr>
          <w:color w:val="000000"/>
          <w:sz w:val="22"/>
          <w:szCs w:val="22"/>
        </w:rPr>
      </w:pPr>
      <w:r w:rsidRPr="006774D3">
        <w:rPr>
          <w:i/>
          <w:color w:val="000000"/>
          <w:sz w:val="22"/>
          <w:szCs w:val="22"/>
        </w:rPr>
        <w:t>Notkun handa börnum:</w:t>
      </w:r>
      <w:r w:rsidRPr="006774D3">
        <w:rPr>
          <w:color w:val="000000"/>
          <w:sz w:val="22"/>
          <w:szCs w:val="22"/>
        </w:rPr>
        <w:t xml:space="preserve"> Engin reynsla er af notkun lyfsins handa börnum yngri en 2 ára sem eru með CML</w:t>
      </w:r>
      <w:r w:rsidR="008B7536" w:rsidRPr="006774D3">
        <w:rPr>
          <w:color w:val="000000"/>
          <w:sz w:val="22"/>
          <w:szCs w:val="22"/>
        </w:rPr>
        <w:t xml:space="preserve"> og yngri en 1 árs sem eru með Ph+ ALL</w:t>
      </w:r>
      <w:r w:rsidRPr="006774D3">
        <w:rPr>
          <w:color w:val="000000"/>
          <w:sz w:val="22"/>
          <w:szCs w:val="22"/>
        </w:rPr>
        <w:t xml:space="preserve"> (sjá kafla 5.1). </w:t>
      </w:r>
      <w:r w:rsidR="008B7536" w:rsidRPr="006774D3">
        <w:rPr>
          <w:color w:val="000000"/>
          <w:sz w:val="22"/>
          <w:szCs w:val="22"/>
        </w:rPr>
        <w:t>M</w:t>
      </w:r>
      <w:r w:rsidRPr="006774D3">
        <w:rPr>
          <w:color w:val="000000"/>
          <w:sz w:val="22"/>
          <w:szCs w:val="22"/>
        </w:rPr>
        <w:t xml:space="preserve">jög takmörkuð reynsla </w:t>
      </w:r>
      <w:r w:rsidR="008B7536" w:rsidRPr="006774D3">
        <w:rPr>
          <w:color w:val="000000"/>
          <w:sz w:val="22"/>
          <w:szCs w:val="22"/>
        </w:rPr>
        <w:t xml:space="preserve">er </w:t>
      </w:r>
      <w:r w:rsidRPr="006774D3">
        <w:rPr>
          <w:color w:val="000000"/>
          <w:sz w:val="22"/>
          <w:szCs w:val="22"/>
        </w:rPr>
        <w:t xml:space="preserve">af notkun lyfsins </w:t>
      </w:r>
      <w:r w:rsidR="00F37BD5" w:rsidRPr="006774D3">
        <w:rPr>
          <w:color w:val="000000"/>
          <w:sz w:val="22"/>
          <w:szCs w:val="22"/>
        </w:rPr>
        <w:t xml:space="preserve">hjá </w:t>
      </w:r>
      <w:r w:rsidRPr="006774D3">
        <w:rPr>
          <w:color w:val="000000"/>
          <w:sz w:val="22"/>
          <w:szCs w:val="22"/>
        </w:rPr>
        <w:t>börnum með MDS/MPD</w:t>
      </w:r>
      <w:r w:rsidR="00FA2DC3" w:rsidRPr="006774D3">
        <w:rPr>
          <w:color w:val="000000"/>
          <w:sz w:val="22"/>
          <w:szCs w:val="22"/>
        </w:rPr>
        <w:t xml:space="preserve">, </w:t>
      </w:r>
      <w:r w:rsidRPr="006774D3">
        <w:rPr>
          <w:color w:val="000000"/>
          <w:sz w:val="22"/>
          <w:szCs w:val="22"/>
        </w:rPr>
        <w:t>DFSP</w:t>
      </w:r>
      <w:r w:rsidR="00FA2DC3" w:rsidRPr="006774D3">
        <w:rPr>
          <w:color w:val="000000"/>
          <w:sz w:val="22"/>
          <w:szCs w:val="22"/>
        </w:rPr>
        <w:t>,</w:t>
      </w:r>
      <w:r w:rsidRPr="006774D3">
        <w:rPr>
          <w:color w:val="000000"/>
          <w:sz w:val="22"/>
          <w:szCs w:val="22"/>
        </w:rPr>
        <w:t xml:space="preserve"> GIST og HES/CEL.</w:t>
      </w:r>
    </w:p>
    <w:p w14:paraId="05B8B0B1" w14:textId="77777777" w:rsidR="00F8650A" w:rsidRPr="006774D3" w:rsidRDefault="00F8650A" w:rsidP="00F77C66">
      <w:pPr>
        <w:rPr>
          <w:color w:val="000000"/>
          <w:sz w:val="22"/>
          <w:szCs w:val="22"/>
        </w:rPr>
      </w:pPr>
    </w:p>
    <w:p w14:paraId="05B8B0B2" w14:textId="77777777" w:rsidR="00F8650A" w:rsidRPr="006774D3" w:rsidRDefault="00F8650A" w:rsidP="00F77C66">
      <w:pPr>
        <w:rPr>
          <w:color w:val="000000"/>
          <w:sz w:val="22"/>
          <w:szCs w:val="22"/>
        </w:rPr>
      </w:pPr>
      <w:r w:rsidRPr="006774D3">
        <w:rPr>
          <w:color w:val="000000"/>
          <w:sz w:val="22"/>
          <w:szCs w:val="22"/>
        </w:rPr>
        <w:t xml:space="preserve">Ekki hefur verið sýnt fram á öryggi og verkun imatinibs </w:t>
      </w:r>
      <w:r w:rsidR="00256EDD" w:rsidRPr="006774D3">
        <w:rPr>
          <w:color w:val="000000"/>
          <w:sz w:val="22"/>
          <w:szCs w:val="22"/>
        </w:rPr>
        <w:t>hjá</w:t>
      </w:r>
      <w:r w:rsidRPr="006774D3">
        <w:rPr>
          <w:color w:val="000000"/>
          <w:sz w:val="22"/>
          <w:szCs w:val="22"/>
        </w:rPr>
        <w:t xml:space="preserve"> börnum yngri en 18 ára sem eru með MDS/MPD, DFSP, GIST og HES/CEL</w:t>
      </w:r>
      <w:r w:rsidR="00E8470A" w:rsidRPr="006774D3">
        <w:rPr>
          <w:color w:val="000000"/>
          <w:sz w:val="22"/>
          <w:szCs w:val="22"/>
        </w:rPr>
        <w:t>,</w:t>
      </w:r>
      <w:r w:rsidRPr="006774D3">
        <w:rPr>
          <w:color w:val="000000"/>
          <w:sz w:val="22"/>
          <w:szCs w:val="22"/>
        </w:rPr>
        <w:t xml:space="preserve"> í klínískum rannsóknum. </w:t>
      </w:r>
      <w:r w:rsidR="00E8470A" w:rsidRPr="006774D3">
        <w:rPr>
          <w:color w:val="000000"/>
          <w:sz w:val="22"/>
          <w:szCs w:val="22"/>
        </w:rPr>
        <w:t>Fyrirliggjandi b</w:t>
      </w:r>
      <w:r w:rsidR="004D43A1" w:rsidRPr="006774D3">
        <w:rPr>
          <w:color w:val="000000"/>
          <w:sz w:val="22"/>
          <w:szCs w:val="22"/>
        </w:rPr>
        <w:t>irtar u</w:t>
      </w:r>
      <w:r w:rsidRPr="006774D3">
        <w:rPr>
          <w:color w:val="000000"/>
          <w:sz w:val="22"/>
          <w:szCs w:val="22"/>
        </w:rPr>
        <w:t>pplýsingar</w:t>
      </w:r>
      <w:r w:rsidR="004D43A1" w:rsidRPr="006774D3">
        <w:rPr>
          <w:color w:val="000000"/>
          <w:sz w:val="22"/>
          <w:szCs w:val="22"/>
        </w:rPr>
        <w:t xml:space="preserve"> </w:t>
      </w:r>
      <w:r w:rsidRPr="006774D3">
        <w:rPr>
          <w:color w:val="000000"/>
          <w:sz w:val="22"/>
          <w:szCs w:val="22"/>
        </w:rPr>
        <w:t xml:space="preserve">eru teknar saman í </w:t>
      </w:r>
      <w:r w:rsidR="00E8470A" w:rsidRPr="006774D3">
        <w:rPr>
          <w:color w:val="000000"/>
          <w:sz w:val="22"/>
          <w:szCs w:val="22"/>
        </w:rPr>
        <w:t>kafla</w:t>
      </w:r>
      <w:r w:rsidRPr="006774D3">
        <w:rPr>
          <w:color w:val="000000"/>
          <w:sz w:val="22"/>
          <w:szCs w:val="22"/>
        </w:rPr>
        <w:t xml:space="preserve"> 5.1 en ekki er hægt </w:t>
      </w:r>
      <w:r w:rsidR="00E8470A" w:rsidRPr="006774D3">
        <w:rPr>
          <w:color w:val="000000"/>
          <w:sz w:val="22"/>
          <w:szCs w:val="22"/>
        </w:rPr>
        <w:t>að ráðleggja ákveðna skammta á grundvelli þeirra</w:t>
      </w:r>
      <w:r w:rsidRPr="006774D3">
        <w:rPr>
          <w:color w:val="000000"/>
          <w:sz w:val="22"/>
          <w:szCs w:val="22"/>
        </w:rPr>
        <w:t>.</w:t>
      </w:r>
    </w:p>
    <w:p w14:paraId="05B8B0B3" w14:textId="77777777" w:rsidR="005F57F3" w:rsidRPr="006774D3" w:rsidRDefault="005F57F3" w:rsidP="00F77C66">
      <w:pPr>
        <w:rPr>
          <w:color w:val="000000"/>
          <w:sz w:val="22"/>
          <w:szCs w:val="22"/>
        </w:rPr>
      </w:pPr>
    </w:p>
    <w:p w14:paraId="05B8B0B4" w14:textId="77777777" w:rsidR="005F57F3" w:rsidRPr="006774D3" w:rsidRDefault="005F57F3" w:rsidP="00F77C66">
      <w:pPr>
        <w:rPr>
          <w:color w:val="000000"/>
          <w:sz w:val="22"/>
          <w:szCs w:val="22"/>
        </w:rPr>
      </w:pPr>
      <w:r w:rsidRPr="006774D3">
        <w:rPr>
          <w:i/>
          <w:color w:val="000000"/>
          <w:sz w:val="22"/>
          <w:szCs w:val="22"/>
        </w:rPr>
        <w:t>Skert lifrarstarfsemi:</w:t>
      </w:r>
      <w:r w:rsidRPr="006774D3">
        <w:rPr>
          <w:color w:val="000000"/>
          <w:sz w:val="22"/>
          <w:szCs w:val="22"/>
        </w:rPr>
        <w:t xml:space="preserve"> Imatinib umbrotnar einkum í lifur. Nota á minnsta ráðlagðan skammt, þ.e. 400 mg á sólarhring, handa sjúklingum með vægt, í meðallagi eða alvarlega skerta lifrarstarfsemi. Gefa má minni skammt ef sjúklingurinn þolir ekki skammtinn (sjá kafla 4.4, 4.8 og 5.2).</w:t>
      </w:r>
    </w:p>
    <w:p w14:paraId="05B8B0B5" w14:textId="77777777" w:rsidR="005F57F3" w:rsidRPr="006774D3" w:rsidRDefault="005F57F3" w:rsidP="00F77C66">
      <w:pPr>
        <w:rPr>
          <w:color w:val="000000"/>
          <w:sz w:val="22"/>
          <w:szCs w:val="22"/>
        </w:rPr>
      </w:pPr>
    </w:p>
    <w:p w14:paraId="05B8B0B6" w14:textId="77777777" w:rsidR="005F57F3" w:rsidRPr="006774D3" w:rsidRDefault="005F57F3" w:rsidP="00B739D9">
      <w:pPr>
        <w:keepNext/>
        <w:rPr>
          <w:color w:val="000000"/>
          <w:sz w:val="22"/>
          <w:szCs w:val="22"/>
        </w:rPr>
      </w:pPr>
      <w:r w:rsidRPr="006774D3">
        <w:rPr>
          <w:color w:val="000000"/>
          <w:sz w:val="22"/>
          <w:szCs w:val="22"/>
        </w:rPr>
        <w:t>Flokkun skertrar lifrarstarfsemi:</w:t>
      </w:r>
    </w:p>
    <w:p w14:paraId="05B8B0B7" w14:textId="77777777" w:rsidR="005F57F3" w:rsidRPr="006774D3" w:rsidRDefault="005F57F3" w:rsidP="00B739D9">
      <w:pPr>
        <w:keepNex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5910"/>
      </w:tblGrid>
      <w:tr w:rsidR="005F57F3" w:rsidRPr="006774D3" w14:paraId="05B8B0BA" w14:textId="77777777" w:rsidTr="00B739D9">
        <w:trPr>
          <w:cantSplit/>
        </w:trPr>
        <w:tc>
          <w:tcPr>
            <w:tcW w:w="3369" w:type="dxa"/>
          </w:tcPr>
          <w:p w14:paraId="05B8B0B8" w14:textId="77777777" w:rsidR="005F57F3" w:rsidRPr="006774D3" w:rsidRDefault="005F57F3" w:rsidP="00B739D9">
            <w:pPr>
              <w:keepNext/>
              <w:rPr>
                <w:color w:val="000000"/>
                <w:sz w:val="22"/>
                <w:szCs w:val="22"/>
              </w:rPr>
            </w:pPr>
            <w:r w:rsidRPr="006774D3">
              <w:rPr>
                <w:color w:val="000000"/>
                <w:sz w:val="22"/>
                <w:szCs w:val="22"/>
              </w:rPr>
              <w:t>Skerðing lifrarstarfsemi</w:t>
            </w:r>
          </w:p>
        </w:tc>
        <w:tc>
          <w:tcPr>
            <w:tcW w:w="6459" w:type="dxa"/>
          </w:tcPr>
          <w:p w14:paraId="05B8B0B9" w14:textId="77777777" w:rsidR="005F57F3" w:rsidRPr="006774D3" w:rsidRDefault="005F57F3" w:rsidP="00B739D9">
            <w:pPr>
              <w:keepNext/>
              <w:rPr>
                <w:color w:val="000000"/>
                <w:sz w:val="22"/>
                <w:szCs w:val="22"/>
              </w:rPr>
            </w:pPr>
            <w:r w:rsidRPr="006774D3">
              <w:rPr>
                <w:color w:val="000000"/>
                <w:sz w:val="22"/>
                <w:szCs w:val="22"/>
              </w:rPr>
              <w:t>Lifrarpróf</w:t>
            </w:r>
          </w:p>
        </w:tc>
      </w:tr>
      <w:tr w:rsidR="005F57F3" w:rsidRPr="006774D3" w14:paraId="05B8B0BE" w14:textId="77777777" w:rsidTr="00B739D9">
        <w:trPr>
          <w:cantSplit/>
        </w:trPr>
        <w:tc>
          <w:tcPr>
            <w:tcW w:w="3369" w:type="dxa"/>
          </w:tcPr>
          <w:p w14:paraId="05B8B0BB" w14:textId="77777777" w:rsidR="005F57F3" w:rsidRPr="006774D3" w:rsidRDefault="005F57F3" w:rsidP="00B739D9">
            <w:pPr>
              <w:keepNext/>
              <w:rPr>
                <w:color w:val="000000"/>
                <w:sz w:val="22"/>
                <w:szCs w:val="22"/>
              </w:rPr>
            </w:pPr>
            <w:r w:rsidRPr="006774D3">
              <w:rPr>
                <w:color w:val="000000"/>
                <w:sz w:val="22"/>
                <w:szCs w:val="22"/>
              </w:rPr>
              <w:t>Væg</w:t>
            </w:r>
          </w:p>
        </w:tc>
        <w:tc>
          <w:tcPr>
            <w:tcW w:w="6459" w:type="dxa"/>
          </w:tcPr>
          <w:p w14:paraId="05B8B0BC" w14:textId="77777777" w:rsidR="005F57F3" w:rsidRPr="006774D3" w:rsidRDefault="005F57F3" w:rsidP="00B739D9">
            <w:pPr>
              <w:keepNext/>
              <w:rPr>
                <w:snapToGrid w:val="0"/>
                <w:color w:val="000000"/>
                <w:sz w:val="22"/>
                <w:szCs w:val="22"/>
              </w:rPr>
            </w:pPr>
            <w:r w:rsidRPr="006774D3">
              <w:rPr>
                <w:snapToGrid w:val="0"/>
                <w:color w:val="000000"/>
                <w:sz w:val="22"/>
                <w:szCs w:val="22"/>
              </w:rPr>
              <w:t>Heildarbilirubin: = 1,5 ULN</w:t>
            </w:r>
          </w:p>
          <w:p w14:paraId="05B8B0BD" w14:textId="77777777" w:rsidR="005F57F3" w:rsidRPr="006774D3" w:rsidRDefault="005F57F3" w:rsidP="00B739D9">
            <w:pPr>
              <w:keepNext/>
              <w:rPr>
                <w:color w:val="000000"/>
                <w:sz w:val="22"/>
                <w:szCs w:val="22"/>
              </w:rPr>
            </w:pPr>
            <w:r w:rsidRPr="006774D3">
              <w:rPr>
                <w:snapToGrid w:val="0"/>
                <w:color w:val="000000"/>
                <w:sz w:val="22"/>
                <w:szCs w:val="22"/>
              </w:rPr>
              <w:t>AST: &gt; ULN (getur verið eðlilegt eða &lt; ULN ef heildarbilirubin er &gt; ULN)</w:t>
            </w:r>
          </w:p>
        </w:tc>
      </w:tr>
      <w:tr w:rsidR="005F57F3" w:rsidRPr="006774D3" w14:paraId="05B8B0C2" w14:textId="77777777" w:rsidTr="00B739D9">
        <w:trPr>
          <w:cantSplit/>
        </w:trPr>
        <w:tc>
          <w:tcPr>
            <w:tcW w:w="3369" w:type="dxa"/>
          </w:tcPr>
          <w:p w14:paraId="05B8B0BF" w14:textId="77777777" w:rsidR="005F57F3" w:rsidRPr="006774D3" w:rsidRDefault="005F57F3" w:rsidP="00B739D9">
            <w:pPr>
              <w:keepNext/>
              <w:rPr>
                <w:color w:val="000000"/>
                <w:sz w:val="22"/>
                <w:szCs w:val="22"/>
              </w:rPr>
            </w:pPr>
            <w:r w:rsidRPr="006774D3">
              <w:rPr>
                <w:color w:val="000000"/>
                <w:sz w:val="22"/>
                <w:szCs w:val="22"/>
              </w:rPr>
              <w:t>Í meðallagi</w:t>
            </w:r>
          </w:p>
        </w:tc>
        <w:tc>
          <w:tcPr>
            <w:tcW w:w="6459" w:type="dxa"/>
          </w:tcPr>
          <w:p w14:paraId="05B8B0C0" w14:textId="77777777" w:rsidR="005F57F3" w:rsidRPr="006774D3" w:rsidRDefault="005F57F3" w:rsidP="00B739D9">
            <w:pPr>
              <w:keepNext/>
              <w:rPr>
                <w:snapToGrid w:val="0"/>
                <w:color w:val="000000"/>
                <w:sz w:val="22"/>
                <w:szCs w:val="22"/>
              </w:rPr>
            </w:pPr>
            <w:r w:rsidRPr="006774D3">
              <w:rPr>
                <w:snapToGrid w:val="0"/>
                <w:color w:val="000000"/>
                <w:sz w:val="22"/>
                <w:szCs w:val="22"/>
              </w:rPr>
              <w:t>Heildarbilirubin: &gt; 1,5</w:t>
            </w:r>
            <w:r w:rsidRPr="006774D3">
              <w:rPr>
                <w:snapToGrid w:val="0"/>
                <w:color w:val="000000"/>
                <w:sz w:val="22"/>
                <w:szCs w:val="22"/>
              </w:rPr>
              <w:noBreakHyphen/>
              <w:t>3,0 ULN</w:t>
            </w:r>
          </w:p>
          <w:p w14:paraId="05B8B0C1" w14:textId="77777777" w:rsidR="005F57F3" w:rsidRPr="006774D3" w:rsidRDefault="005F57F3" w:rsidP="00B739D9">
            <w:pPr>
              <w:keepNext/>
              <w:rPr>
                <w:color w:val="000000"/>
                <w:sz w:val="22"/>
                <w:szCs w:val="22"/>
              </w:rPr>
            </w:pPr>
            <w:r w:rsidRPr="006774D3">
              <w:rPr>
                <w:snapToGrid w:val="0"/>
                <w:color w:val="000000"/>
                <w:sz w:val="22"/>
                <w:szCs w:val="22"/>
              </w:rPr>
              <w:t xml:space="preserve">AST: öll gildi </w:t>
            </w:r>
          </w:p>
        </w:tc>
      </w:tr>
      <w:tr w:rsidR="005F57F3" w:rsidRPr="006774D3" w14:paraId="05B8B0C6" w14:textId="77777777" w:rsidTr="00B739D9">
        <w:trPr>
          <w:cantSplit/>
        </w:trPr>
        <w:tc>
          <w:tcPr>
            <w:tcW w:w="3369" w:type="dxa"/>
          </w:tcPr>
          <w:p w14:paraId="05B8B0C3" w14:textId="77777777" w:rsidR="005F57F3" w:rsidRPr="006774D3" w:rsidRDefault="005F57F3" w:rsidP="00B739D9">
            <w:pPr>
              <w:keepNext/>
              <w:rPr>
                <w:color w:val="000000"/>
                <w:sz w:val="22"/>
                <w:szCs w:val="22"/>
              </w:rPr>
            </w:pPr>
            <w:r w:rsidRPr="006774D3">
              <w:rPr>
                <w:color w:val="000000"/>
                <w:sz w:val="22"/>
                <w:szCs w:val="22"/>
              </w:rPr>
              <w:t>Alvarleg</w:t>
            </w:r>
          </w:p>
        </w:tc>
        <w:tc>
          <w:tcPr>
            <w:tcW w:w="6459" w:type="dxa"/>
          </w:tcPr>
          <w:p w14:paraId="05B8B0C4" w14:textId="77777777" w:rsidR="005F57F3" w:rsidRPr="006774D3" w:rsidRDefault="005F57F3" w:rsidP="00B739D9">
            <w:pPr>
              <w:keepNext/>
              <w:rPr>
                <w:snapToGrid w:val="0"/>
                <w:color w:val="000000"/>
                <w:sz w:val="22"/>
                <w:szCs w:val="22"/>
              </w:rPr>
            </w:pPr>
            <w:r w:rsidRPr="006774D3">
              <w:rPr>
                <w:snapToGrid w:val="0"/>
                <w:color w:val="000000"/>
                <w:sz w:val="22"/>
                <w:szCs w:val="22"/>
              </w:rPr>
              <w:t>Heildarbilirubin: &gt; 3</w:t>
            </w:r>
            <w:r w:rsidRPr="006774D3">
              <w:rPr>
                <w:snapToGrid w:val="0"/>
                <w:color w:val="000000"/>
                <w:sz w:val="22"/>
                <w:szCs w:val="22"/>
              </w:rPr>
              <w:noBreakHyphen/>
              <w:t>10 ULN</w:t>
            </w:r>
          </w:p>
          <w:p w14:paraId="05B8B0C5" w14:textId="77777777" w:rsidR="005F57F3" w:rsidRPr="006774D3" w:rsidRDefault="005F57F3" w:rsidP="00B739D9">
            <w:pPr>
              <w:keepNext/>
              <w:rPr>
                <w:color w:val="000000"/>
                <w:sz w:val="22"/>
                <w:szCs w:val="22"/>
              </w:rPr>
            </w:pPr>
            <w:r w:rsidRPr="006774D3">
              <w:rPr>
                <w:snapToGrid w:val="0"/>
                <w:color w:val="000000"/>
                <w:sz w:val="22"/>
                <w:szCs w:val="22"/>
              </w:rPr>
              <w:t>AST: öll gildi</w:t>
            </w:r>
          </w:p>
        </w:tc>
      </w:tr>
    </w:tbl>
    <w:p w14:paraId="05B8B0C7" w14:textId="77777777" w:rsidR="005F57F3" w:rsidRPr="006774D3" w:rsidRDefault="005F57F3" w:rsidP="00B739D9">
      <w:pPr>
        <w:keepNext/>
        <w:rPr>
          <w:color w:val="000000"/>
          <w:sz w:val="22"/>
          <w:szCs w:val="22"/>
        </w:rPr>
      </w:pPr>
      <w:r w:rsidRPr="006774D3">
        <w:rPr>
          <w:color w:val="000000"/>
          <w:sz w:val="22"/>
          <w:szCs w:val="22"/>
        </w:rPr>
        <w:t>ULN = efri eðlileg mörk (upper limit of normal) fyrir viðkomandi stofnun</w:t>
      </w:r>
    </w:p>
    <w:p w14:paraId="05B8B0C8" w14:textId="77777777" w:rsidR="005F57F3" w:rsidRPr="006774D3" w:rsidRDefault="005F57F3" w:rsidP="00B739D9">
      <w:pPr>
        <w:rPr>
          <w:rFonts w:eastAsia="MS Mincho"/>
          <w:bCs/>
          <w:color w:val="000000"/>
          <w:sz w:val="22"/>
          <w:szCs w:val="22"/>
          <w:lang w:eastAsia="ja-JP"/>
        </w:rPr>
      </w:pPr>
      <w:r w:rsidRPr="006774D3">
        <w:rPr>
          <w:rFonts w:eastAsia="MS Mincho"/>
          <w:bCs/>
          <w:color w:val="000000"/>
          <w:sz w:val="22"/>
          <w:szCs w:val="22"/>
          <w:lang w:eastAsia="ja-JP"/>
        </w:rPr>
        <w:t xml:space="preserve">AST = </w:t>
      </w:r>
      <w:r w:rsidRPr="006774D3">
        <w:rPr>
          <w:color w:val="000000"/>
          <w:sz w:val="22"/>
          <w:szCs w:val="22"/>
        </w:rPr>
        <w:t>aspartataminotransferasi</w:t>
      </w:r>
    </w:p>
    <w:p w14:paraId="05B8B0C9" w14:textId="77777777" w:rsidR="005F57F3" w:rsidRPr="006774D3" w:rsidRDefault="005F57F3" w:rsidP="00F77C66">
      <w:pPr>
        <w:rPr>
          <w:color w:val="000000"/>
          <w:sz w:val="22"/>
          <w:szCs w:val="22"/>
        </w:rPr>
      </w:pPr>
    </w:p>
    <w:p w14:paraId="05B8B0CA" w14:textId="77777777" w:rsidR="005F57F3" w:rsidRPr="006774D3" w:rsidRDefault="005F57F3" w:rsidP="00F77C66">
      <w:pPr>
        <w:rPr>
          <w:color w:val="000000"/>
          <w:sz w:val="22"/>
          <w:szCs w:val="22"/>
        </w:rPr>
      </w:pPr>
      <w:r w:rsidRPr="006774D3">
        <w:rPr>
          <w:i/>
          <w:color w:val="000000"/>
          <w:sz w:val="22"/>
          <w:szCs w:val="22"/>
        </w:rPr>
        <w:lastRenderedPageBreak/>
        <w:t>Skert nýrnastarfsemi:</w:t>
      </w:r>
      <w:r w:rsidRPr="006774D3">
        <w:rPr>
          <w:color w:val="000000"/>
          <w:sz w:val="22"/>
          <w:szCs w:val="22"/>
        </w:rPr>
        <w:t xml:space="preserve"> Nota skal minnsta ráðlagðan upphafsskammt, þ.e. 400 mg á sólarhring, handa sjúklingum með skerta nýrnastarfsemi </w:t>
      </w:r>
      <w:r w:rsidR="00D25FC3" w:rsidRPr="006774D3">
        <w:rPr>
          <w:color w:val="000000"/>
          <w:sz w:val="22"/>
          <w:szCs w:val="22"/>
        </w:rPr>
        <w:t>eða í skilunarmeðferð</w:t>
      </w:r>
      <w:r w:rsidRPr="006774D3">
        <w:rPr>
          <w:color w:val="000000"/>
          <w:sz w:val="22"/>
          <w:szCs w:val="22"/>
        </w:rPr>
        <w:t>.</w:t>
      </w:r>
      <w:r w:rsidR="00446704" w:rsidRPr="006774D3">
        <w:rPr>
          <w:color w:val="000000"/>
          <w:sz w:val="22"/>
          <w:szCs w:val="22"/>
        </w:rPr>
        <w:t xml:space="preserve"> </w:t>
      </w:r>
      <w:r w:rsidRPr="006774D3">
        <w:rPr>
          <w:color w:val="000000"/>
          <w:sz w:val="22"/>
          <w:szCs w:val="22"/>
        </w:rPr>
        <w:t>Hins vegar er mælt með að varúðar sé gætt hjá þessum sjúklingum. Ef skammturinn þolist ekki má minnka hann</w:t>
      </w:r>
      <w:r w:rsidR="00D25FC3" w:rsidRPr="006774D3">
        <w:rPr>
          <w:color w:val="000000"/>
          <w:sz w:val="22"/>
          <w:szCs w:val="22"/>
        </w:rPr>
        <w:t>. Ef skammturinn þolist má stækka hann</w:t>
      </w:r>
      <w:r w:rsidRPr="006774D3">
        <w:rPr>
          <w:color w:val="000000"/>
          <w:sz w:val="22"/>
          <w:szCs w:val="22"/>
        </w:rPr>
        <w:t xml:space="preserve"> ef ekki fæst næg verkun (sjá kafla 4.4 og 5.2).</w:t>
      </w:r>
    </w:p>
    <w:p w14:paraId="05B8B0CB" w14:textId="77777777" w:rsidR="00D25FC3" w:rsidRPr="006774D3" w:rsidRDefault="00D25FC3" w:rsidP="00F77C66">
      <w:pPr>
        <w:rPr>
          <w:color w:val="000000"/>
          <w:sz w:val="22"/>
          <w:szCs w:val="22"/>
        </w:rPr>
      </w:pPr>
    </w:p>
    <w:p w14:paraId="05B8B0CC" w14:textId="77777777" w:rsidR="005F57F3" w:rsidRPr="006774D3" w:rsidRDefault="005F57F3" w:rsidP="00F77C66">
      <w:pPr>
        <w:rPr>
          <w:color w:val="000000"/>
          <w:sz w:val="22"/>
          <w:szCs w:val="22"/>
        </w:rPr>
      </w:pPr>
      <w:r w:rsidRPr="006774D3">
        <w:rPr>
          <w:i/>
          <w:color w:val="000000"/>
          <w:sz w:val="22"/>
          <w:szCs w:val="22"/>
        </w:rPr>
        <w:t>Aldraðir:</w:t>
      </w:r>
      <w:r w:rsidRPr="006774D3">
        <w:rPr>
          <w:color w:val="000000"/>
          <w:sz w:val="22"/>
          <w:szCs w:val="22"/>
        </w:rPr>
        <w:t xml:space="preserve"> Lyfjahvörf imatinibs hafa ekki verið rannsökuð sérstaklega hjá öldruðum. Enginn marktækur aldurstengdur munur á lyfjahvörfum hefur komið fram hjá fullorðnum sjúklingum í klínískum rannsóknum þar sem yfir 20% sjúklinga voru 65 ára eða eldri. Engar sértækar ráðleggingar um skammta eru nauðsynlegar fyrir aldraða.</w:t>
      </w:r>
    </w:p>
    <w:p w14:paraId="05B8B0CD"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0CE" w14:textId="77777777" w:rsidR="005F57F3" w:rsidRPr="006774D3" w:rsidRDefault="005F57F3" w:rsidP="00F77C66">
      <w:pPr>
        <w:keepNext/>
        <w:rPr>
          <w:color w:val="000000"/>
          <w:sz w:val="22"/>
          <w:szCs w:val="22"/>
        </w:rPr>
      </w:pPr>
      <w:r w:rsidRPr="006774D3">
        <w:rPr>
          <w:b/>
          <w:color w:val="000000"/>
          <w:sz w:val="22"/>
          <w:szCs w:val="22"/>
        </w:rPr>
        <w:t>4.3</w:t>
      </w:r>
      <w:r w:rsidRPr="006774D3">
        <w:rPr>
          <w:b/>
          <w:color w:val="000000"/>
          <w:sz w:val="22"/>
          <w:szCs w:val="22"/>
        </w:rPr>
        <w:tab/>
        <w:t>Frábendingar</w:t>
      </w:r>
    </w:p>
    <w:p w14:paraId="05B8B0CF" w14:textId="77777777" w:rsidR="005F57F3" w:rsidRPr="006774D3" w:rsidRDefault="005F57F3" w:rsidP="00F77C66">
      <w:pPr>
        <w:pStyle w:val="Authors"/>
        <w:spacing w:before="0"/>
        <w:rPr>
          <w:rFonts w:ascii="Times New Roman" w:hAnsi="Times New Roman"/>
          <w:color w:val="000000"/>
          <w:szCs w:val="22"/>
          <w:lang w:val="is-IS"/>
        </w:rPr>
      </w:pPr>
    </w:p>
    <w:p w14:paraId="05B8B0D0" w14:textId="77777777" w:rsidR="005F57F3" w:rsidRPr="006774D3" w:rsidRDefault="005F57F3" w:rsidP="00B739D9">
      <w:pPr>
        <w:rPr>
          <w:color w:val="000000"/>
          <w:sz w:val="22"/>
          <w:szCs w:val="22"/>
        </w:rPr>
      </w:pPr>
      <w:r w:rsidRPr="006774D3">
        <w:rPr>
          <w:color w:val="000000"/>
          <w:sz w:val="22"/>
          <w:szCs w:val="22"/>
        </w:rPr>
        <w:t>Ofnæmi fyrir virka efninu eða einhverju hjálparefnanna</w:t>
      </w:r>
      <w:r w:rsidR="00616FF9" w:rsidRPr="006774D3">
        <w:rPr>
          <w:color w:val="000000"/>
          <w:sz w:val="22"/>
          <w:szCs w:val="22"/>
        </w:rPr>
        <w:t xml:space="preserve"> sem talin eru upp í kafla 6.1</w:t>
      </w:r>
      <w:r w:rsidRPr="006774D3">
        <w:rPr>
          <w:color w:val="000000"/>
          <w:sz w:val="22"/>
          <w:szCs w:val="22"/>
        </w:rPr>
        <w:t>.</w:t>
      </w:r>
    </w:p>
    <w:p w14:paraId="05B8B0D1" w14:textId="77777777" w:rsidR="005F57F3" w:rsidRPr="006774D3" w:rsidRDefault="005F57F3" w:rsidP="00F77C66">
      <w:pPr>
        <w:rPr>
          <w:color w:val="000000"/>
          <w:sz w:val="22"/>
          <w:szCs w:val="22"/>
        </w:rPr>
      </w:pPr>
    </w:p>
    <w:p w14:paraId="05B8B0D2" w14:textId="77777777" w:rsidR="005F57F3" w:rsidRPr="006774D3" w:rsidRDefault="005F57F3" w:rsidP="00F77C66">
      <w:pPr>
        <w:keepNext/>
        <w:rPr>
          <w:color w:val="000000"/>
          <w:sz w:val="22"/>
          <w:szCs w:val="22"/>
        </w:rPr>
      </w:pPr>
      <w:r w:rsidRPr="006774D3">
        <w:rPr>
          <w:b/>
          <w:color w:val="000000"/>
          <w:sz w:val="22"/>
          <w:szCs w:val="22"/>
        </w:rPr>
        <w:t>4.4</w:t>
      </w:r>
      <w:r w:rsidRPr="006774D3">
        <w:rPr>
          <w:b/>
          <w:color w:val="000000"/>
          <w:sz w:val="22"/>
          <w:szCs w:val="22"/>
        </w:rPr>
        <w:tab/>
        <w:t>Sérstök varnaðarorð og varúðarreglur við notkun</w:t>
      </w:r>
    </w:p>
    <w:p w14:paraId="05B8B0D3" w14:textId="77777777" w:rsidR="005F57F3" w:rsidRPr="006774D3" w:rsidRDefault="005F57F3" w:rsidP="00F77C66">
      <w:pPr>
        <w:keepNext/>
        <w:rPr>
          <w:color w:val="000000"/>
          <w:sz w:val="22"/>
          <w:szCs w:val="22"/>
        </w:rPr>
      </w:pPr>
    </w:p>
    <w:p w14:paraId="05B8B0D4" w14:textId="77777777" w:rsidR="005F57F3" w:rsidRPr="006774D3" w:rsidRDefault="005F57F3" w:rsidP="00B739D9">
      <w:pPr>
        <w:rPr>
          <w:color w:val="000000"/>
          <w:sz w:val="22"/>
          <w:szCs w:val="22"/>
        </w:rPr>
      </w:pPr>
      <w:r w:rsidRPr="006774D3">
        <w:rPr>
          <w:color w:val="000000"/>
          <w:sz w:val="22"/>
          <w:szCs w:val="22"/>
        </w:rPr>
        <w:t>Þegar Glivec er notað samhliða öðrum lyfjum geta komið fram lyfjamilliverkanir.</w:t>
      </w:r>
      <w:r w:rsidR="00326AF2" w:rsidRPr="006774D3">
        <w:rPr>
          <w:color w:val="000000"/>
          <w:sz w:val="22"/>
          <w:szCs w:val="22"/>
        </w:rPr>
        <w:t xml:space="preserve"> Gæta skal varúðar þegar Glivec er notað samhliða </w:t>
      </w:r>
      <w:r w:rsidR="003B7065" w:rsidRPr="006774D3">
        <w:rPr>
          <w:color w:val="000000"/>
          <w:sz w:val="22"/>
          <w:szCs w:val="22"/>
        </w:rPr>
        <w:t xml:space="preserve">próteasahemlum, azól sveppalyfjum, ákveðnum makrólíðum (sjá kafla 4.5), </w:t>
      </w:r>
      <w:r w:rsidR="00326AF2" w:rsidRPr="006774D3">
        <w:rPr>
          <w:color w:val="000000"/>
          <w:sz w:val="22"/>
          <w:szCs w:val="22"/>
        </w:rPr>
        <w:t>CYP3A4 hvarfefnum með þröngt meðferðarbil (t.d. ciclosporin</w:t>
      </w:r>
      <w:r w:rsidR="003B7065" w:rsidRPr="006774D3">
        <w:rPr>
          <w:color w:val="000000"/>
          <w:sz w:val="22"/>
          <w:szCs w:val="22"/>
        </w:rPr>
        <w:t>,</w:t>
      </w:r>
      <w:r w:rsidR="00326AF2" w:rsidRPr="006774D3">
        <w:rPr>
          <w:color w:val="000000"/>
          <w:sz w:val="22"/>
          <w:szCs w:val="22"/>
        </w:rPr>
        <w:t xml:space="preserve"> pimozid</w:t>
      </w:r>
      <w:r w:rsidR="003B7065" w:rsidRPr="006774D3">
        <w:rPr>
          <w:color w:val="000000"/>
          <w:sz w:val="22"/>
          <w:szCs w:val="22"/>
        </w:rPr>
        <w:t>, ta</w:t>
      </w:r>
      <w:r w:rsidR="009148BD" w:rsidRPr="006774D3">
        <w:rPr>
          <w:color w:val="000000"/>
          <w:sz w:val="22"/>
          <w:szCs w:val="22"/>
        </w:rPr>
        <w:t>c</w:t>
      </w:r>
      <w:r w:rsidR="003B7065" w:rsidRPr="006774D3">
        <w:rPr>
          <w:color w:val="000000"/>
          <w:sz w:val="22"/>
          <w:szCs w:val="22"/>
        </w:rPr>
        <w:t>rolimus, sirolimus, ergotamin, diergotamin, fentanyl, alfentanil, terfenadin, bortezomib, docetaxel, quinidin</w:t>
      </w:r>
      <w:r w:rsidR="00326AF2" w:rsidRPr="006774D3">
        <w:rPr>
          <w:color w:val="000000"/>
          <w:sz w:val="22"/>
          <w:szCs w:val="22"/>
        </w:rPr>
        <w:t xml:space="preserve">) eða warfarin og </w:t>
      </w:r>
      <w:r w:rsidR="006A4AFD" w:rsidRPr="006774D3">
        <w:rPr>
          <w:color w:val="000000"/>
          <w:sz w:val="22"/>
          <w:szCs w:val="22"/>
        </w:rPr>
        <w:t xml:space="preserve">öðrum </w:t>
      </w:r>
      <w:r w:rsidR="00326AF2" w:rsidRPr="006774D3">
        <w:rPr>
          <w:color w:val="000000"/>
          <w:sz w:val="22"/>
          <w:szCs w:val="22"/>
        </w:rPr>
        <w:t>coumarin afleiðu</w:t>
      </w:r>
      <w:r w:rsidR="006A4AFD" w:rsidRPr="006774D3">
        <w:rPr>
          <w:color w:val="000000"/>
          <w:sz w:val="22"/>
          <w:szCs w:val="22"/>
        </w:rPr>
        <w:t>m</w:t>
      </w:r>
      <w:r w:rsidR="00326AF2" w:rsidRPr="006774D3">
        <w:rPr>
          <w:color w:val="000000"/>
          <w:sz w:val="22"/>
          <w:szCs w:val="22"/>
        </w:rPr>
        <w:t xml:space="preserve"> (sjá kafla 4.5).</w:t>
      </w:r>
    </w:p>
    <w:p w14:paraId="05B8B0D5" w14:textId="77777777" w:rsidR="005F57F3" w:rsidRPr="006774D3" w:rsidRDefault="005F57F3" w:rsidP="00F77C66">
      <w:pPr>
        <w:rPr>
          <w:color w:val="000000"/>
          <w:sz w:val="22"/>
          <w:szCs w:val="22"/>
        </w:rPr>
      </w:pPr>
    </w:p>
    <w:p w14:paraId="05B8B0D6" w14:textId="77777777" w:rsidR="005F57F3" w:rsidRPr="006774D3" w:rsidRDefault="005F57F3" w:rsidP="00F77C66">
      <w:pPr>
        <w:rPr>
          <w:color w:val="000000"/>
          <w:sz w:val="22"/>
          <w:szCs w:val="22"/>
        </w:rPr>
      </w:pPr>
      <w:r w:rsidRPr="006774D3">
        <w:rPr>
          <w:color w:val="000000"/>
          <w:sz w:val="22"/>
          <w:szCs w:val="22"/>
        </w:rPr>
        <w:t xml:space="preserve">Samhliða notkun imatinibs og lyfja sem </w:t>
      </w:r>
      <w:r w:rsidR="00363D28" w:rsidRPr="006774D3">
        <w:rPr>
          <w:color w:val="000000"/>
          <w:sz w:val="22"/>
          <w:szCs w:val="22"/>
        </w:rPr>
        <w:t xml:space="preserve">virkja </w:t>
      </w:r>
      <w:r w:rsidRPr="006774D3">
        <w:rPr>
          <w:color w:val="000000"/>
          <w:sz w:val="22"/>
          <w:szCs w:val="22"/>
        </w:rPr>
        <w:t xml:space="preserve">CYP3A4 (t.d. dexametason, fenytoin, carbamazepin, rifampicin, fenobarbital eða </w:t>
      </w:r>
      <w:r w:rsidRPr="006774D3">
        <w:rPr>
          <w:i/>
          <w:iCs/>
          <w:color w:val="000000"/>
          <w:sz w:val="22"/>
          <w:szCs w:val="22"/>
        </w:rPr>
        <w:t>Hypericum perforatum</w:t>
      </w:r>
      <w:r w:rsidRPr="006774D3">
        <w:rPr>
          <w:color w:val="000000"/>
          <w:sz w:val="22"/>
          <w:szCs w:val="22"/>
        </w:rPr>
        <w:t>, einnig þekkt sem jóhannesarjurt [jónsmessu</w:t>
      </w:r>
      <w:r w:rsidRPr="006774D3">
        <w:rPr>
          <w:color w:val="000000"/>
          <w:sz w:val="22"/>
          <w:szCs w:val="22"/>
        </w:rPr>
        <w:softHyphen/>
        <w:t>runni. St. John’s wort]) getur dregið marktækt úr útsetningu fyrir Glivec, sem hugsanlega eykur hættu á meðferðar</w:t>
      </w:r>
      <w:r w:rsidRPr="006774D3">
        <w:rPr>
          <w:color w:val="000000"/>
          <w:sz w:val="22"/>
          <w:szCs w:val="22"/>
        </w:rPr>
        <w:softHyphen/>
        <w:t xml:space="preserve">bresti. Því ætti að forðast samhliða notkun öflugra CYP3A4 </w:t>
      </w:r>
      <w:r w:rsidR="00363D28" w:rsidRPr="006774D3">
        <w:rPr>
          <w:color w:val="000000"/>
          <w:sz w:val="22"/>
          <w:szCs w:val="22"/>
        </w:rPr>
        <w:t xml:space="preserve">virkja </w:t>
      </w:r>
      <w:r w:rsidRPr="006774D3">
        <w:rPr>
          <w:color w:val="000000"/>
          <w:sz w:val="22"/>
          <w:szCs w:val="22"/>
        </w:rPr>
        <w:t>og imatinibs (sjá kafla 4.5).</w:t>
      </w:r>
    </w:p>
    <w:p w14:paraId="05B8B0D7" w14:textId="77777777" w:rsidR="005F57F3" w:rsidRPr="006774D3" w:rsidRDefault="005F57F3" w:rsidP="00F77C66">
      <w:pPr>
        <w:rPr>
          <w:color w:val="000000"/>
          <w:sz w:val="22"/>
          <w:szCs w:val="22"/>
        </w:rPr>
      </w:pPr>
    </w:p>
    <w:p w14:paraId="05B8B0D8" w14:textId="77777777" w:rsidR="00616FF9" w:rsidRPr="006774D3" w:rsidRDefault="00616FF9" w:rsidP="00F77C66">
      <w:pPr>
        <w:keepNext/>
        <w:rPr>
          <w:color w:val="000000"/>
          <w:sz w:val="22"/>
          <w:szCs w:val="22"/>
          <w:u w:val="single"/>
        </w:rPr>
      </w:pPr>
      <w:r w:rsidRPr="006774D3">
        <w:rPr>
          <w:color w:val="000000"/>
          <w:sz w:val="22"/>
          <w:szCs w:val="22"/>
          <w:u w:val="single"/>
        </w:rPr>
        <w:t>Skjaldvakabrestur</w:t>
      </w:r>
    </w:p>
    <w:p w14:paraId="05B8B0D9" w14:textId="77777777" w:rsidR="005F57F3" w:rsidRPr="006774D3" w:rsidRDefault="005F57F3" w:rsidP="00F77C66">
      <w:pPr>
        <w:rPr>
          <w:color w:val="000000"/>
          <w:sz w:val="22"/>
          <w:szCs w:val="22"/>
        </w:rPr>
      </w:pPr>
      <w:r w:rsidRPr="006774D3">
        <w:rPr>
          <w:color w:val="000000"/>
          <w:sz w:val="22"/>
          <w:szCs w:val="22"/>
        </w:rPr>
        <w:t>Greint hefur verið frá klínískum tilvikum um skjaldvakabrest hjá sjúklingum sem gengist hafa undir skjald</w:t>
      </w:r>
      <w:r w:rsidRPr="006774D3">
        <w:rPr>
          <w:color w:val="000000"/>
          <w:sz w:val="22"/>
          <w:szCs w:val="22"/>
        </w:rPr>
        <w:softHyphen/>
        <w:t xml:space="preserve">kirtilsbrottnám og eru í uppbótarmeðferð með levotyroxini samhliða meðferð með Glivec (sjá kafla 4.5). Fylgjast skal náið með þéttni </w:t>
      </w:r>
      <w:r w:rsidR="00326AF2" w:rsidRPr="006774D3">
        <w:rPr>
          <w:color w:val="000000"/>
          <w:sz w:val="22"/>
          <w:szCs w:val="22"/>
        </w:rPr>
        <w:t>skjaldvakahormóns (</w:t>
      </w:r>
      <w:r w:rsidRPr="006774D3">
        <w:rPr>
          <w:color w:val="000000"/>
          <w:sz w:val="22"/>
          <w:szCs w:val="22"/>
        </w:rPr>
        <w:t>TSH</w:t>
      </w:r>
      <w:r w:rsidR="00326AF2" w:rsidRPr="006774D3">
        <w:rPr>
          <w:color w:val="000000"/>
          <w:sz w:val="22"/>
          <w:szCs w:val="22"/>
        </w:rPr>
        <w:t>)</w:t>
      </w:r>
      <w:r w:rsidRPr="006774D3">
        <w:rPr>
          <w:color w:val="000000"/>
          <w:sz w:val="22"/>
          <w:szCs w:val="22"/>
        </w:rPr>
        <w:t xml:space="preserve"> hjá þessum sjúklingum.</w:t>
      </w:r>
    </w:p>
    <w:p w14:paraId="05B8B0DA" w14:textId="77777777" w:rsidR="005F57F3" w:rsidRPr="006774D3" w:rsidRDefault="005F57F3" w:rsidP="00F77C66">
      <w:pPr>
        <w:rPr>
          <w:color w:val="000000"/>
          <w:sz w:val="22"/>
          <w:szCs w:val="22"/>
        </w:rPr>
      </w:pPr>
    </w:p>
    <w:p w14:paraId="05B8B0DB" w14:textId="77777777" w:rsidR="00616FF9" w:rsidRPr="006774D3" w:rsidRDefault="00616FF9" w:rsidP="00F77C66">
      <w:pPr>
        <w:keepNext/>
        <w:rPr>
          <w:color w:val="000000"/>
          <w:sz w:val="22"/>
          <w:szCs w:val="22"/>
          <w:u w:val="single"/>
        </w:rPr>
      </w:pPr>
      <w:r w:rsidRPr="006774D3">
        <w:rPr>
          <w:color w:val="000000"/>
          <w:sz w:val="22"/>
          <w:szCs w:val="22"/>
          <w:u w:val="single"/>
        </w:rPr>
        <w:t>Eiturverkanir á lifur</w:t>
      </w:r>
    </w:p>
    <w:p w14:paraId="05B8B0DC" w14:textId="77777777" w:rsidR="005F57F3" w:rsidRPr="006774D3" w:rsidRDefault="005F57F3" w:rsidP="00F77C66">
      <w:pPr>
        <w:rPr>
          <w:color w:val="000000"/>
          <w:sz w:val="22"/>
          <w:szCs w:val="22"/>
        </w:rPr>
      </w:pPr>
      <w:r w:rsidRPr="006774D3">
        <w:rPr>
          <w:color w:val="000000"/>
          <w:sz w:val="22"/>
          <w:szCs w:val="22"/>
        </w:rPr>
        <w:t>Glivec umbrotnar fyrst og fremst í lifur og einungis 13% skiljast út um nýrun. Fylgjast skal vandlega með blóðhag og lifrarensímum (sjá kafla 4.2, 4.8 og 5.2) hjá sjúklingum með skerta lifrarstarfsemi (vægt, í meðallagi eða alvarlega skerta). Hafa ber í huga að GIST sjúklingar geta verið með meinvörp í lifur sem leitt gætu til skertrar lifrarstarfsemi.</w:t>
      </w:r>
    </w:p>
    <w:p w14:paraId="05B8B0DD" w14:textId="77777777" w:rsidR="005F57F3" w:rsidRPr="006774D3" w:rsidRDefault="005F57F3" w:rsidP="00F77C66">
      <w:pPr>
        <w:rPr>
          <w:color w:val="000000"/>
          <w:sz w:val="22"/>
          <w:szCs w:val="22"/>
        </w:rPr>
      </w:pPr>
    </w:p>
    <w:p w14:paraId="05B8B0DE" w14:textId="77777777" w:rsidR="005F57F3" w:rsidRPr="006774D3" w:rsidRDefault="005802B1" w:rsidP="00F77C66">
      <w:pPr>
        <w:rPr>
          <w:color w:val="000000"/>
          <w:sz w:val="22"/>
          <w:szCs w:val="22"/>
        </w:rPr>
      </w:pPr>
      <w:r w:rsidRPr="006774D3">
        <w:rPr>
          <w:color w:val="000000"/>
          <w:sz w:val="22"/>
          <w:szCs w:val="22"/>
        </w:rPr>
        <w:t>Komið hafa fram tilvik lifrarsk</w:t>
      </w:r>
      <w:r w:rsidR="00C31FFF" w:rsidRPr="006774D3">
        <w:rPr>
          <w:color w:val="000000"/>
          <w:sz w:val="22"/>
          <w:szCs w:val="22"/>
        </w:rPr>
        <w:t>emmda</w:t>
      </w:r>
      <w:r w:rsidRPr="006774D3">
        <w:rPr>
          <w:color w:val="000000"/>
          <w:sz w:val="22"/>
          <w:szCs w:val="22"/>
        </w:rPr>
        <w:t>, þar með talið lifrarbilunar og lifrardreps í tengslum við notkun imat</w:t>
      </w:r>
      <w:r w:rsidR="00C31FFF" w:rsidRPr="006774D3">
        <w:rPr>
          <w:color w:val="000000"/>
          <w:sz w:val="22"/>
          <w:szCs w:val="22"/>
        </w:rPr>
        <w:t>i</w:t>
      </w:r>
      <w:r w:rsidRPr="006774D3">
        <w:rPr>
          <w:color w:val="000000"/>
          <w:sz w:val="22"/>
          <w:szCs w:val="22"/>
        </w:rPr>
        <w:t xml:space="preserve">nibs. </w:t>
      </w:r>
      <w:r w:rsidR="005F57F3" w:rsidRPr="006774D3">
        <w:rPr>
          <w:color w:val="000000"/>
          <w:sz w:val="22"/>
          <w:szCs w:val="22"/>
        </w:rPr>
        <w:t>Þegar imatinib er notað ásamt háskammta krabbameinslyfjameðferð</w:t>
      </w:r>
      <w:r w:rsidRPr="006774D3">
        <w:rPr>
          <w:color w:val="000000"/>
          <w:sz w:val="22"/>
          <w:szCs w:val="22"/>
        </w:rPr>
        <w:t>, hefur komið fram aukning á alvarlegum viðbrögðum í lifur. Hafa skal náið</w:t>
      </w:r>
      <w:r w:rsidR="005F57F3" w:rsidRPr="006774D3">
        <w:rPr>
          <w:color w:val="000000"/>
          <w:sz w:val="22"/>
          <w:szCs w:val="22"/>
        </w:rPr>
        <w:t xml:space="preserve"> eftirlit með lifrarstarfsemi þegar imatinib er notað ásamt krabbameins</w:t>
      </w:r>
      <w:r w:rsidRPr="006774D3">
        <w:rPr>
          <w:color w:val="000000"/>
          <w:sz w:val="22"/>
          <w:szCs w:val="22"/>
        </w:rPr>
        <w:softHyphen/>
      </w:r>
      <w:r w:rsidR="005F57F3" w:rsidRPr="006774D3">
        <w:rPr>
          <w:color w:val="000000"/>
          <w:sz w:val="22"/>
          <w:szCs w:val="22"/>
        </w:rPr>
        <w:t>lyfjum sem þekkt er að tengjast vanstarfsemi lifrar (sjá kafla 4.5 og 4.8).</w:t>
      </w:r>
    </w:p>
    <w:p w14:paraId="05B8B0DF" w14:textId="77777777" w:rsidR="005F57F3" w:rsidRPr="006774D3" w:rsidRDefault="005F57F3" w:rsidP="00F77C66">
      <w:pPr>
        <w:rPr>
          <w:color w:val="000000"/>
          <w:sz w:val="22"/>
          <w:szCs w:val="22"/>
        </w:rPr>
      </w:pPr>
    </w:p>
    <w:p w14:paraId="05B8B0E0" w14:textId="77777777" w:rsidR="00616FF9" w:rsidRPr="006774D3" w:rsidRDefault="00616FF9" w:rsidP="00F77C66">
      <w:pPr>
        <w:keepNext/>
        <w:rPr>
          <w:color w:val="000000"/>
          <w:sz w:val="22"/>
          <w:szCs w:val="22"/>
          <w:u w:val="single"/>
        </w:rPr>
      </w:pPr>
      <w:r w:rsidRPr="006774D3">
        <w:rPr>
          <w:color w:val="000000"/>
          <w:sz w:val="22"/>
          <w:szCs w:val="22"/>
          <w:u w:val="single"/>
        </w:rPr>
        <w:t>Vökvasöfnun</w:t>
      </w:r>
    </w:p>
    <w:p w14:paraId="05B8B0E1" w14:textId="77777777" w:rsidR="005F57F3" w:rsidRPr="006774D3" w:rsidRDefault="005F57F3" w:rsidP="00F77C66">
      <w:pPr>
        <w:rPr>
          <w:color w:val="000000"/>
          <w:sz w:val="22"/>
          <w:szCs w:val="22"/>
        </w:rPr>
      </w:pPr>
      <w:r w:rsidRPr="006774D3">
        <w:rPr>
          <w:color w:val="000000"/>
          <w:sz w:val="22"/>
          <w:szCs w:val="22"/>
        </w:rPr>
        <w:t>Greint hefur verið frá alvarlegri vökvasöfnun (fleiðruvökvi, bjúgur, lungnabjúgur, kviðarholsvökvi, yfirborðs</w:t>
      </w:r>
      <w:r w:rsidRPr="006774D3">
        <w:rPr>
          <w:color w:val="000000"/>
          <w:sz w:val="22"/>
          <w:szCs w:val="22"/>
        </w:rPr>
        <w:softHyphen/>
        <w:t>lægur bjúgur) hjá um 2,5% sjúklinga með nýgreint CML sem nota Glivec. Því er eindregið mælt með að sjúklingar séu vigtaðir reglulega. Óvænta, hraða þyngdaraukningu á að rannsaka vandlega og ef þess gerist þörf skal veita viðeigandi stuðningsmeðferð og önnur meðferðarúrræði. Í klínískum rannsóknum kom fram aukin tíðni þessara atvika hjá öldruðum og hjá þeim sem höfðu sögu um hjartasjúkdóma. Því skal gæta varúðar hjá sjúklingum með skerta hjartastarfsemi.</w:t>
      </w:r>
    </w:p>
    <w:p w14:paraId="05B8B0E2" w14:textId="77777777" w:rsidR="005F57F3" w:rsidRPr="006774D3" w:rsidRDefault="005F57F3" w:rsidP="00F77C66">
      <w:pPr>
        <w:rPr>
          <w:color w:val="000000"/>
          <w:sz w:val="22"/>
          <w:szCs w:val="22"/>
        </w:rPr>
      </w:pPr>
    </w:p>
    <w:p w14:paraId="05B8B0E3" w14:textId="77777777" w:rsidR="00616FF9" w:rsidRPr="006774D3" w:rsidRDefault="00616FF9" w:rsidP="00F77C66">
      <w:pPr>
        <w:keepNext/>
        <w:rPr>
          <w:color w:val="000000"/>
          <w:sz w:val="22"/>
          <w:szCs w:val="22"/>
          <w:u w:val="single"/>
        </w:rPr>
      </w:pPr>
      <w:r w:rsidRPr="006774D3">
        <w:rPr>
          <w:color w:val="000000"/>
          <w:sz w:val="22"/>
          <w:szCs w:val="22"/>
          <w:u w:val="single"/>
        </w:rPr>
        <w:t>Sjúklingar með hjartasjúkdóm</w:t>
      </w:r>
    </w:p>
    <w:p w14:paraId="05B8B0E4" w14:textId="77777777" w:rsidR="005F57F3" w:rsidRPr="006774D3" w:rsidRDefault="005F57F3" w:rsidP="00F77C66">
      <w:pPr>
        <w:rPr>
          <w:color w:val="000000"/>
          <w:sz w:val="22"/>
          <w:szCs w:val="22"/>
        </w:rPr>
      </w:pPr>
      <w:r w:rsidRPr="006774D3">
        <w:rPr>
          <w:color w:val="000000"/>
          <w:sz w:val="22"/>
          <w:szCs w:val="22"/>
        </w:rPr>
        <w:t>Fylgjast skal náið með sjúklingum með hjartasjúkdóm</w:t>
      </w:r>
      <w:r w:rsidR="00553DF5" w:rsidRPr="006774D3">
        <w:rPr>
          <w:color w:val="000000"/>
          <w:sz w:val="22"/>
          <w:szCs w:val="22"/>
        </w:rPr>
        <w:t>,</w:t>
      </w:r>
      <w:r w:rsidRPr="006774D3">
        <w:rPr>
          <w:color w:val="000000"/>
          <w:sz w:val="22"/>
          <w:szCs w:val="22"/>
        </w:rPr>
        <w:t xml:space="preserve"> áhættuþætti hjartabilunar </w:t>
      </w:r>
      <w:r w:rsidR="00553DF5" w:rsidRPr="006774D3">
        <w:rPr>
          <w:color w:val="000000"/>
          <w:sz w:val="22"/>
          <w:szCs w:val="22"/>
        </w:rPr>
        <w:t xml:space="preserve">eða sögu um nýrnabilun </w:t>
      </w:r>
      <w:r w:rsidRPr="006774D3">
        <w:rPr>
          <w:color w:val="000000"/>
          <w:sz w:val="22"/>
          <w:szCs w:val="22"/>
        </w:rPr>
        <w:t>og leggja skal mat á sérhvern sjúkling sem fær einkenni sem tengst gætu hjartabilun</w:t>
      </w:r>
      <w:r w:rsidR="007A26EA" w:rsidRPr="006774D3">
        <w:rPr>
          <w:color w:val="000000"/>
          <w:sz w:val="22"/>
          <w:szCs w:val="22"/>
        </w:rPr>
        <w:t xml:space="preserve"> eða nýrnabilun</w:t>
      </w:r>
      <w:r w:rsidRPr="006774D3">
        <w:rPr>
          <w:color w:val="000000"/>
          <w:sz w:val="22"/>
          <w:szCs w:val="22"/>
        </w:rPr>
        <w:t xml:space="preserve"> og veita viðeigandi meðferð.</w:t>
      </w:r>
    </w:p>
    <w:p w14:paraId="05B8B0E5" w14:textId="77777777" w:rsidR="005F57F3" w:rsidRPr="006774D3" w:rsidRDefault="005F57F3" w:rsidP="00F77C66">
      <w:pPr>
        <w:rPr>
          <w:color w:val="000000"/>
          <w:sz w:val="22"/>
          <w:szCs w:val="22"/>
        </w:rPr>
      </w:pPr>
    </w:p>
    <w:p w14:paraId="05B8B0E6" w14:textId="77777777" w:rsidR="001E463A" w:rsidRPr="006774D3" w:rsidRDefault="005F57F3" w:rsidP="00F77C66">
      <w:pPr>
        <w:rPr>
          <w:color w:val="000000"/>
          <w:sz w:val="22"/>
          <w:szCs w:val="22"/>
        </w:rPr>
      </w:pPr>
      <w:r w:rsidRPr="006774D3">
        <w:rPr>
          <w:color w:val="000000"/>
          <w:sz w:val="22"/>
          <w:szCs w:val="22"/>
        </w:rPr>
        <w:lastRenderedPageBreak/>
        <w:t xml:space="preserve">Hjá sjúklingum með rauðkyrningagersheilkenni (hypereosinophilic syndrome [HES]) </w:t>
      </w:r>
      <w:r w:rsidR="00912A35" w:rsidRPr="006774D3">
        <w:rPr>
          <w:color w:val="000000"/>
          <w:sz w:val="22"/>
          <w:szCs w:val="22"/>
        </w:rPr>
        <w:t>með dulda íferð HES frum</w:t>
      </w:r>
      <w:r w:rsidR="00F37BD5" w:rsidRPr="006774D3">
        <w:rPr>
          <w:color w:val="000000"/>
          <w:sz w:val="22"/>
          <w:szCs w:val="22"/>
        </w:rPr>
        <w:t>n</w:t>
      </w:r>
      <w:r w:rsidR="00912A35" w:rsidRPr="006774D3">
        <w:rPr>
          <w:color w:val="000000"/>
          <w:sz w:val="22"/>
          <w:szCs w:val="22"/>
        </w:rPr>
        <w:t>a í hjartavöðva</w:t>
      </w:r>
      <w:r w:rsidRPr="006774D3">
        <w:rPr>
          <w:color w:val="000000"/>
          <w:sz w:val="22"/>
          <w:szCs w:val="22"/>
        </w:rPr>
        <w:t xml:space="preserve">, hafa einstök tilvik um hjartalost/vanstarfsemi vinstri slegils verið tengd við </w:t>
      </w:r>
      <w:r w:rsidR="00912A35" w:rsidRPr="006774D3">
        <w:rPr>
          <w:color w:val="000000"/>
          <w:sz w:val="22"/>
          <w:szCs w:val="22"/>
        </w:rPr>
        <w:t xml:space="preserve">losun úr kornum (degranulation) </w:t>
      </w:r>
      <w:r w:rsidR="006A4AFD" w:rsidRPr="006774D3">
        <w:rPr>
          <w:color w:val="000000"/>
          <w:sz w:val="22"/>
          <w:szCs w:val="22"/>
        </w:rPr>
        <w:t>í</w:t>
      </w:r>
      <w:r w:rsidR="00912A35" w:rsidRPr="006774D3">
        <w:rPr>
          <w:color w:val="000000"/>
          <w:sz w:val="22"/>
          <w:szCs w:val="22"/>
        </w:rPr>
        <w:t xml:space="preserve"> HES frumum við </w:t>
      </w:r>
      <w:r w:rsidRPr="006774D3">
        <w:rPr>
          <w:color w:val="000000"/>
          <w:sz w:val="22"/>
          <w:szCs w:val="22"/>
        </w:rPr>
        <w:t>upphaf imatinib meðferðar. Greint var frá því að þetta ástand gengi til baka þegar gefnir voru sterar til almennrar (systemic) verkunar, veitt var meðferð til að tryggja blóðrás og notkun imatinibs hætt tímabundið. Vegna þess að greint hefur verið frá sjaldgæfum tilvikum um aukaverkanir á hjarta, í tengslum við imatinib, skal leggja ítarlegt mat á hlutfall áhættu og ávinnings hvað varðar sjúklinga með HES/CEL, áður en meðferð með imatinibi hefst.</w:t>
      </w:r>
    </w:p>
    <w:p w14:paraId="05B8B0E7" w14:textId="77777777" w:rsidR="001E463A" w:rsidRPr="006774D3" w:rsidRDefault="001E463A" w:rsidP="00F77C66">
      <w:pPr>
        <w:rPr>
          <w:color w:val="000000"/>
          <w:sz w:val="22"/>
          <w:szCs w:val="22"/>
        </w:rPr>
      </w:pPr>
    </w:p>
    <w:p w14:paraId="05B8B0E8" w14:textId="77777777" w:rsidR="005F57F3" w:rsidRPr="006774D3" w:rsidRDefault="005F57F3" w:rsidP="00F77C66">
      <w:pPr>
        <w:rPr>
          <w:color w:val="000000"/>
          <w:sz w:val="22"/>
          <w:szCs w:val="22"/>
        </w:rPr>
      </w:pPr>
      <w:r w:rsidRPr="006774D3">
        <w:rPr>
          <w:color w:val="000000"/>
          <w:sz w:val="22"/>
          <w:szCs w:val="22"/>
        </w:rPr>
        <w:t>Vera má að mergrangvaxtarsjúkdómar/mergfrumnafjölgunarsjúkdómar (MDS/MPD) með PDGFR endurröðun erfðavísa tengist miklum fjölda rauðkyrninga. Því skal íhuga að fá mat hjartasérfræðings, hjartaómun og mælingu á troponini í sermi hjá sjúklingum með HES/CEL og hjá sjúklingum með MDS/MPD sem tengjast miklum fjölda rauðkyrninga, áður en meðferð með imatinibi hefst. Ef önnur hvor rannsóknin leiðir eitthvað óeðlilegt í ljós skal íhuga eftirfylgni í samráði við hjartasérfræðing og fyrir</w:t>
      </w:r>
      <w:r w:rsidRPr="006774D3">
        <w:rPr>
          <w:color w:val="000000"/>
          <w:sz w:val="22"/>
          <w:szCs w:val="22"/>
        </w:rPr>
        <w:softHyphen/>
        <w:t>byggjandi meðferð með sterum til almennrar verkunar (1</w:t>
      </w:r>
      <w:r w:rsidRPr="006774D3">
        <w:rPr>
          <w:color w:val="000000"/>
          <w:sz w:val="22"/>
          <w:szCs w:val="22"/>
        </w:rPr>
        <w:noBreakHyphen/>
        <w:t>2 mg/kg) í eina til tvær vikur samhliða imatinibi, í upphafi meðferðar.</w:t>
      </w:r>
    </w:p>
    <w:p w14:paraId="05B8B0E9" w14:textId="77777777" w:rsidR="005F57F3" w:rsidRPr="006774D3" w:rsidRDefault="005F57F3" w:rsidP="00F77C66">
      <w:pPr>
        <w:rPr>
          <w:color w:val="000000"/>
          <w:sz w:val="22"/>
          <w:szCs w:val="22"/>
        </w:rPr>
      </w:pPr>
    </w:p>
    <w:p w14:paraId="05B8B0EA" w14:textId="77777777" w:rsidR="00616FF9" w:rsidRPr="006774D3" w:rsidRDefault="00616FF9" w:rsidP="00F77C66">
      <w:pPr>
        <w:keepNext/>
        <w:rPr>
          <w:color w:val="000000"/>
          <w:sz w:val="22"/>
          <w:szCs w:val="22"/>
          <w:u w:val="single"/>
        </w:rPr>
      </w:pPr>
      <w:r w:rsidRPr="006774D3">
        <w:rPr>
          <w:color w:val="000000"/>
          <w:sz w:val="22"/>
          <w:szCs w:val="22"/>
          <w:u w:val="single"/>
        </w:rPr>
        <w:t>Maga- og þarmablæðingar</w:t>
      </w:r>
    </w:p>
    <w:p w14:paraId="05B8B0EB" w14:textId="77777777" w:rsidR="005F57F3" w:rsidRPr="006774D3" w:rsidRDefault="00AB3B45" w:rsidP="00F77C66">
      <w:pPr>
        <w:rPr>
          <w:color w:val="000000"/>
          <w:sz w:val="22"/>
          <w:szCs w:val="22"/>
        </w:rPr>
      </w:pPr>
      <w:r w:rsidRPr="006774D3">
        <w:rPr>
          <w:color w:val="000000"/>
          <w:sz w:val="22"/>
          <w:szCs w:val="22"/>
        </w:rPr>
        <w:t>Í rannsókninni hjá sjúklingum með óskurðtækt GIST og/eða GIST með meinvörpum var</w:t>
      </w:r>
      <w:r w:rsidR="005F57F3" w:rsidRPr="006774D3">
        <w:rPr>
          <w:color w:val="000000"/>
          <w:sz w:val="22"/>
          <w:szCs w:val="22"/>
        </w:rPr>
        <w:t xml:space="preserve"> greint frá bæði maga- og þarma- og innanæxlisblæðingum (sjá kafla 4.8). Á grundvelli fyrirliggjandi upplýsinga hafa ekki greinst neinir þættir (t.d. æxlisstærð, staðsetning æxlis, storkuraskanir) sem auka hættu GIST sjúklinga fyrir annarri hvorri blæðingunni. Vegna þess að fjölgun æða (increased vascularity) og blæðingartilhneiging er hluti af eðli og klínískum framgangi GIST, skal beita hefðbundnum aðferðum sem við eiga um eftirlit og meðferð blæðinga hjá öllum sjúklingum.</w:t>
      </w:r>
    </w:p>
    <w:p w14:paraId="05B8B0EC" w14:textId="77777777" w:rsidR="00C426C6" w:rsidRPr="006774D3" w:rsidRDefault="00C426C6" w:rsidP="00F77C66">
      <w:pPr>
        <w:rPr>
          <w:color w:val="000000"/>
          <w:sz w:val="22"/>
          <w:szCs w:val="22"/>
        </w:rPr>
      </w:pPr>
    </w:p>
    <w:p w14:paraId="05B8B0ED" w14:textId="77777777" w:rsidR="007038B3" w:rsidRPr="006774D3" w:rsidRDefault="00A35AB1" w:rsidP="00F77C66">
      <w:pPr>
        <w:rPr>
          <w:color w:val="000000"/>
          <w:sz w:val="22"/>
          <w:szCs w:val="22"/>
        </w:rPr>
      </w:pPr>
      <w:r w:rsidRPr="006774D3">
        <w:rPr>
          <w:color w:val="000000"/>
          <w:sz w:val="22"/>
          <w:szCs w:val="22"/>
        </w:rPr>
        <w:t>Að auki hefur verið greint frá GAVE (víkkun lítilla blóðæða í neðsta hluta magans [</w:t>
      </w:r>
      <w:r w:rsidRPr="006774D3">
        <w:rPr>
          <w:sz w:val="22"/>
          <w:szCs w:val="22"/>
        </w:rPr>
        <w:t>gastric antral vascular ectasia]), sem er mjög sjal</w:t>
      </w:r>
      <w:r w:rsidR="00D940B6" w:rsidRPr="006774D3">
        <w:rPr>
          <w:sz w:val="22"/>
          <w:szCs w:val="22"/>
        </w:rPr>
        <w:t>d</w:t>
      </w:r>
      <w:r w:rsidRPr="006774D3">
        <w:rPr>
          <w:sz w:val="22"/>
          <w:szCs w:val="22"/>
        </w:rPr>
        <w:t>gæf orsök maga- og þarmablæðinga, eftir markaðssetningu lyfsins hjá sjúklingum með CML, ALL og aðra sjúkdóma (sjá kafla 4.8). Þegar þörf er á má íhuga að stöðva meðferð með Glivec.</w:t>
      </w:r>
    </w:p>
    <w:p w14:paraId="05B8B0EE" w14:textId="77777777" w:rsidR="007038B3" w:rsidRPr="006774D3" w:rsidRDefault="007038B3" w:rsidP="00F77C66">
      <w:pPr>
        <w:rPr>
          <w:color w:val="000000"/>
          <w:sz w:val="22"/>
          <w:szCs w:val="22"/>
        </w:rPr>
      </w:pPr>
    </w:p>
    <w:p w14:paraId="05B8B0EF" w14:textId="77777777" w:rsidR="00616FF9" w:rsidRPr="006774D3" w:rsidRDefault="00616FF9" w:rsidP="00F77C66">
      <w:pPr>
        <w:keepNext/>
        <w:rPr>
          <w:color w:val="000000"/>
          <w:sz w:val="22"/>
          <w:szCs w:val="22"/>
          <w:u w:val="single"/>
        </w:rPr>
      </w:pPr>
      <w:r w:rsidRPr="006774D3">
        <w:rPr>
          <w:color w:val="000000"/>
          <w:sz w:val="22"/>
          <w:szCs w:val="22"/>
          <w:u w:val="single"/>
        </w:rPr>
        <w:t>Æxlislýsuheilkenni</w:t>
      </w:r>
    </w:p>
    <w:p w14:paraId="05B8B0F0" w14:textId="77777777" w:rsidR="00C426C6" w:rsidRPr="006774D3" w:rsidRDefault="00C426C6" w:rsidP="00F77C66">
      <w:pPr>
        <w:rPr>
          <w:color w:val="000000"/>
          <w:sz w:val="22"/>
          <w:szCs w:val="22"/>
        </w:rPr>
      </w:pPr>
      <w:r w:rsidRPr="006774D3">
        <w:rPr>
          <w:color w:val="000000"/>
          <w:sz w:val="22"/>
          <w:szCs w:val="22"/>
        </w:rPr>
        <w:t>Mælt er með að bætt sé úr klínískt marktækum vökvaskorti og að há þvagsýra sé meðhöndluð áður en meðferð er hafin með Glivec vegna hugsanlegrar myndunar æxlislýsuheilkennis (tumour lysis syndrome) (sjá kafla 4.8).</w:t>
      </w:r>
    </w:p>
    <w:p w14:paraId="05B8B0F1" w14:textId="77777777" w:rsidR="00831252" w:rsidRPr="006774D3" w:rsidRDefault="00831252" w:rsidP="00F77C66">
      <w:pPr>
        <w:tabs>
          <w:tab w:val="left" w:pos="567"/>
        </w:tabs>
        <w:rPr>
          <w:color w:val="000000"/>
          <w:sz w:val="22"/>
          <w:szCs w:val="20"/>
        </w:rPr>
      </w:pPr>
    </w:p>
    <w:p w14:paraId="05B8B0F2" w14:textId="77777777" w:rsidR="00831252" w:rsidRPr="006774D3" w:rsidRDefault="00831252" w:rsidP="00F77C66">
      <w:pPr>
        <w:keepNext/>
        <w:tabs>
          <w:tab w:val="left" w:pos="567"/>
        </w:tabs>
        <w:rPr>
          <w:color w:val="000000"/>
          <w:sz w:val="22"/>
          <w:szCs w:val="20"/>
          <w:u w:val="single"/>
        </w:rPr>
      </w:pPr>
      <w:r w:rsidRPr="006774D3">
        <w:rPr>
          <w:color w:val="000000"/>
          <w:sz w:val="22"/>
          <w:szCs w:val="20"/>
          <w:u w:val="single"/>
        </w:rPr>
        <w:t>Endurvirkjun á lifrarbólgu B</w:t>
      </w:r>
    </w:p>
    <w:p w14:paraId="05B8B0F3" w14:textId="77777777" w:rsidR="00831252" w:rsidRPr="006774D3" w:rsidRDefault="00831252" w:rsidP="00F77C66">
      <w:pPr>
        <w:tabs>
          <w:tab w:val="left" w:pos="567"/>
        </w:tabs>
        <w:rPr>
          <w:color w:val="000000"/>
          <w:sz w:val="22"/>
          <w:szCs w:val="20"/>
        </w:rPr>
      </w:pPr>
      <w:r w:rsidRPr="006774D3">
        <w:rPr>
          <w:color w:val="000000"/>
          <w:sz w:val="22"/>
          <w:szCs w:val="20"/>
        </w:rPr>
        <w:t>Endurvirkjun lifrarbólgu B veirusýkingar (HBV) hefur komið fyrir hjá sjúklingum sem bera í sér veiruna þegar þeim hafa verið gefnir BCR-ABL týrosínkínasahemlar. Sum tilvik enduðu með bráðri lifrarbilun eða svæsinni lifrarbólgu sem leiddi til lifrarígræðslu eða dauða.</w:t>
      </w:r>
    </w:p>
    <w:p w14:paraId="05B8B0F4" w14:textId="77777777" w:rsidR="00831252" w:rsidRPr="006774D3" w:rsidRDefault="00831252" w:rsidP="00F77C66">
      <w:pPr>
        <w:tabs>
          <w:tab w:val="left" w:pos="567"/>
        </w:tabs>
        <w:rPr>
          <w:color w:val="000000"/>
          <w:sz w:val="22"/>
          <w:szCs w:val="20"/>
        </w:rPr>
      </w:pPr>
    </w:p>
    <w:p w14:paraId="05B8B0F5" w14:textId="77777777" w:rsidR="00831252" w:rsidRPr="006774D3" w:rsidRDefault="00831252" w:rsidP="00F77C66">
      <w:pPr>
        <w:tabs>
          <w:tab w:val="left" w:pos="567"/>
        </w:tabs>
        <w:rPr>
          <w:color w:val="000000"/>
          <w:sz w:val="22"/>
          <w:szCs w:val="20"/>
        </w:rPr>
      </w:pPr>
      <w:r w:rsidRPr="006774D3">
        <w:rPr>
          <w:color w:val="000000"/>
          <w:sz w:val="22"/>
          <w:szCs w:val="20"/>
        </w:rPr>
        <w:t>Prófa á fyrir lifrarbólgu B veirusýkingu áður en meðferð með Glivec er hafin. Leita skal álits sérfræðings í lifrarsjúkdómum og meðferð lifrarbólgu B áður en meðferð er hafin hjá sjúklingum sem greinast sermisjákvæðir við lifrarbólgu B (að meðtöldum þeim sem eru með virkan sjúkdóm) og hjá þeim sem greinast með lifrarbólgu B veirusýkingu meðan á meðferð stendur. Hjá sjúklingum sem bera lifrarbólgu B veiru og þurfa á meðferð með Glivec að halda skal fylgjast náið með einkennum virkrar lifrabólgu B sýkingar yfir allt meðferðartímabilið og í nokkra mánuði eftir að meðferð lýkur (sjá kafla 4.8).</w:t>
      </w:r>
    </w:p>
    <w:p w14:paraId="05B8B0F6" w14:textId="77777777" w:rsidR="00DF5C7F" w:rsidRPr="006774D3" w:rsidRDefault="00DF5C7F" w:rsidP="00F77C66">
      <w:pPr>
        <w:tabs>
          <w:tab w:val="left" w:pos="567"/>
        </w:tabs>
        <w:rPr>
          <w:color w:val="000000"/>
          <w:sz w:val="22"/>
          <w:szCs w:val="20"/>
        </w:rPr>
      </w:pPr>
    </w:p>
    <w:p w14:paraId="05B8B0F7" w14:textId="77777777" w:rsidR="00DF5C7F" w:rsidRPr="006774D3" w:rsidRDefault="00DF5C7F" w:rsidP="00F77C66">
      <w:pPr>
        <w:keepNext/>
        <w:tabs>
          <w:tab w:val="left" w:pos="567"/>
        </w:tabs>
        <w:rPr>
          <w:color w:val="000000"/>
          <w:sz w:val="22"/>
          <w:szCs w:val="20"/>
          <w:u w:val="single"/>
        </w:rPr>
      </w:pPr>
      <w:r w:rsidRPr="006774D3">
        <w:rPr>
          <w:color w:val="000000"/>
          <w:sz w:val="22"/>
          <w:szCs w:val="20"/>
          <w:u w:val="single"/>
        </w:rPr>
        <w:t>Ljóseitrun</w:t>
      </w:r>
    </w:p>
    <w:p w14:paraId="05B8B0F8" w14:textId="77777777" w:rsidR="00DF5C7F" w:rsidRPr="006774D3" w:rsidRDefault="00DF5C7F" w:rsidP="00F77C66">
      <w:pPr>
        <w:tabs>
          <w:tab w:val="left" w:pos="567"/>
        </w:tabs>
        <w:rPr>
          <w:color w:val="000000"/>
          <w:sz w:val="22"/>
          <w:szCs w:val="20"/>
        </w:rPr>
      </w:pPr>
      <w:r w:rsidRPr="006774D3">
        <w:rPr>
          <w:color w:val="000000"/>
          <w:sz w:val="22"/>
          <w:szCs w:val="20"/>
        </w:rPr>
        <w:t xml:space="preserve">Forðast eða lágmarka skal útsetningu fyrir beinu sólarljósi vegna hættu á ljóseitrun í tengslum við meðferð með imatinibi. Leiðbeina skal sjúklingum um notkun aðferða eins og </w:t>
      </w:r>
      <w:r w:rsidR="005B3754" w:rsidRPr="006774D3">
        <w:rPr>
          <w:color w:val="000000"/>
          <w:sz w:val="22"/>
          <w:szCs w:val="20"/>
        </w:rPr>
        <w:t>að klæðast fatnaði til varnar sólarljósi</w:t>
      </w:r>
      <w:r w:rsidR="00EF2546" w:rsidRPr="006774D3">
        <w:rPr>
          <w:color w:val="000000"/>
          <w:sz w:val="22"/>
          <w:szCs w:val="20"/>
        </w:rPr>
        <w:t xml:space="preserve"> og </w:t>
      </w:r>
      <w:r w:rsidR="00351A4D" w:rsidRPr="006774D3">
        <w:rPr>
          <w:color w:val="000000"/>
          <w:sz w:val="22"/>
          <w:szCs w:val="20"/>
        </w:rPr>
        <w:t xml:space="preserve">notkun </w:t>
      </w:r>
      <w:r w:rsidR="00EF2546" w:rsidRPr="006774D3">
        <w:rPr>
          <w:color w:val="000000"/>
          <w:sz w:val="22"/>
          <w:szCs w:val="20"/>
        </w:rPr>
        <w:t>sólarvarnar með háum sólvarnarstuðli (SPF).</w:t>
      </w:r>
    </w:p>
    <w:p w14:paraId="05B8B0F9" w14:textId="77777777" w:rsidR="005F57F3" w:rsidRPr="006774D3" w:rsidRDefault="005F57F3" w:rsidP="00F77C66">
      <w:pPr>
        <w:rPr>
          <w:color w:val="000000"/>
          <w:sz w:val="22"/>
          <w:szCs w:val="22"/>
        </w:rPr>
      </w:pPr>
    </w:p>
    <w:p w14:paraId="05B8B0FA" w14:textId="77777777" w:rsidR="00D35D89" w:rsidRPr="006774D3" w:rsidRDefault="00FF4ED5" w:rsidP="00F77C66">
      <w:pPr>
        <w:keepNext/>
        <w:ind w:left="567" w:hanging="567"/>
        <w:rPr>
          <w:color w:val="000000"/>
          <w:sz w:val="22"/>
          <w:szCs w:val="22"/>
          <w:u w:val="single"/>
        </w:rPr>
      </w:pPr>
      <w:r w:rsidRPr="006774D3">
        <w:rPr>
          <w:color w:val="000000"/>
          <w:sz w:val="22"/>
          <w:szCs w:val="22"/>
          <w:u w:val="single"/>
        </w:rPr>
        <w:t>Segaöræðakvilli</w:t>
      </w:r>
    </w:p>
    <w:p w14:paraId="05B8B0FB" w14:textId="77777777" w:rsidR="00D35D89" w:rsidRPr="006774D3" w:rsidRDefault="00D35D89" w:rsidP="00F77C66">
      <w:pPr>
        <w:rPr>
          <w:color w:val="000000"/>
          <w:sz w:val="22"/>
          <w:szCs w:val="22"/>
        </w:rPr>
      </w:pPr>
      <w:r w:rsidRPr="006774D3">
        <w:rPr>
          <w:color w:val="000000"/>
          <w:sz w:val="22"/>
          <w:szCs w:val="22"/>
        </w:rPr>
        <w:t>BCR</w:t>
      </w:r>
      <w:r w:rsidRPr="006774D3">
        <w:rPr>
          <w:color w:val="000000"/>
          <w:sz w:val="22"/>
          <w:szCs w:val="22"/>
        </w:rPr>
        <w:noBreakHyphen/>
        <w:t xml:space="preserve">ABL týrosínkínasahemlar (TKI) hafa verið tengdir </w:t>
      </w:r>
      <w:r w:rsidR="00FF4ED5" w:rsidRPr="006774D3">
        <w:rPr>
          <w:color w:val="000000"/>
          <w:sz w:val="22"/>
          <w:szCs w:val="22"/>
        </w:rPr>
        <w:t>segaöræðakvilla</w:t>
      </w:r>
      <w:r w:rsidRPr="006774D3">
        <w:rPr>
          <w:color w:val="000000"/>
          <w:sz w:val="22"/>
          <w:szCs w:val="22"/>
        </w:rPr>
        <w:t xml:space="preserve"> (thrombotic microangiopathy), </w:t>
      </w:r>
      <w:r w:rsidR="00267187" w:rsidRPr="006774D3">
        <w:rPr>
          <w:color w:val="000000"/>
          <w:sz w:val="22"/>
          <w:szCs w:val="22"/>
        </w:rPr>
        <w:t xml:space="preserve">meðtaldar eru </w:t>
      </w:r>
      <w:r w:rsidRPr="006774D3">
        <w:rPr>
          <w:color w:val="000000"/>
          <w:sz w:val="22"/>
          <w:szCs w:val="22"/>
        </w:rPr>
        <w:t>tilkynningar um einstaklingsbundin tilvik</w:t>
      </w:r>
      <w:r w:rsidR="00267187" w:rsidRPr="006774D3">
        <w:rPr>
          <w:color w:val="000000"/>
          <w:sz w:val="22"/>
          <w:szCs w:val="22"/>
        </w:rPr>
        <w:t xml:space="preserve"> vegna Glivec</w:t>
      </w:r>
      <w:r w:rsidRPr="006774D3">
        <w:rPr>
          <w:color w:val="000000"/>
          <w:sz w:val="22"/>
          <w:szCs w:val="22"/>
        </w:rPr>
        <w:t xml:space="preserve"> (sjá kafla 4.8). Ef </w:t>
      </w:r>
      <w:r w:rsidR="00746BCD" w:rsidRPr="006774D3">
        <w:rPr>
          <w:color w:val="000000"/>
          <w:sz w:val="22"/>
          <w:szCs w:val="22"/>
        </w:rPr>
        <w:t>niðurstöður úr ranns</w:t>
      </w:r>
      <w:r w:rsidR="00267187" w:rsidRPr="006774D3">
        <w:rPr>
          <w:color w:val="000000"/>
          <w:sz w:val="22"/>
          <w:szCs w:val="22"/>
        </w:rPr>
        <w:t>óknarstofuprófum og klínísku mati benda til</w:t>
      </w:r>
      <w:r w:rsidR="00746BCD" w:rsidRPr="006774D3">
        <w:rPr>
          <w:color w:val="000000"/>
          <w:sz w:val="22"/>
          <w:szCs w:val="22"/>
        </w:rPr>
        <w:t xml:space="preserve"> </w:t>
      </w:r>
      <w:r w:rsidR="00E60DB3" w:rsidRPr="006774D3">
        <w:rPr>
          <w:color w:val="000000"/>
          <w:sz w:val="22"/>
          <w:szCs w:val="22"/>
        </w:rPr>
        <w:t>segaöræðakvilla</w:t>
      </w:r>
      <w:r w:rsidR="00746BCD" w:rsidRPr="006774D3">
        <w:rPr>
          <w:color w:val="000000"/>
          <w:sz w:val="22"/>
          <w:szCs w:val="22"/>
        </w:rPr>
        <w:t xml:space="preserve"> hjá </w:t>
      </w:r>
      <w:r w:rsidR="00746BCD" w:rsidRPr="006774D3">
        <w:rPr>
          <w:color w:val="000000"/>
          <w:sz w:val="22"/>
          <w:szCs w:val="22"/>
        </w:rPr>
        <w:lastRenderedPageBreak/>
        <w:t xml:space="preserve">sjúklingi sem fær Glivec skal meðferð stöðvuð </w:t>
      </w:r>
      <w:r w:rsidR="00584A48" w:rsidRPr="006774D3">
        <w:rPr>
          <w:color w:val="000000"/>
          <w:sz w:val="22"/>
          <w:szCs w:val="22"/>
        </w:rPr>
        <w:t xml:space="preserve">og </w:t>
      </w:r>
      <w:r w:rsidR="00AB2CBF" w:rsidRPr="006774D3">
        <w:rPr>
          <w:color w:val="000000"/>
          <w:sz w:val="22"/>
          <w:szCs w:val="22"/>
        </w:rPr>
        <w:t xml:space="preserve">gert </w:t>
      </w:r>
      <w:r w:rsidR="00584A48" w:rsidRPr="006774D3">
        <w:rPr>
          <w:color w:val="000000"/>
          <w:sz w:val="22"/>
          <w:szCs w:val="22"/>
        </w:rPr>
        <w:t>ítarleg</w:t>
      </w:r>
      <w:r w:rsidR="00E60DB3" w:rsidRPr="006774D3">
        <w:rPr>
          <w:color w:val="000000"/>
          <w:sz w:val="22"/>
          <w:szCs w:val="22"/>
        </w:rPr>
        <w:t>t</w:t>
      </w:r>
      <w:r w:rsidR="00584A48" w:rsidRPr="006774D3">
        <w:rPr>
          <w:color w:val="000000"/>
          <w:sz w:val="22"/>
          <w:szCs w:val="22"/>
        </w:rPr>
        <w:t xml:space="preserve"> mat</w:t>
      </w:r>
      <w:r w:rsidR="00E60DB3" w:rsidRPr="006774D3">
        <w:rPr>
          <w:color w:val="000000"/>
          <w:sz w:val="22"/>
          <w:szCs w:val="22"/>
        </w:rPr>
        <w:t xml:space="preserve"> á</w:t>
      </w:r>
      <w:r w:rsidR="00746BCD" w:rsidRPr="006774D3">
        <w:rPr>
          <w:color w:val="000000"/>
          <w:sz w:val="22"/>
          <w:szCs w:val="22"/>
        </w:rPr>
        <w:t xml:space="preserve"> </w:t>
      </w:r>
      <w:r w:rsidR="00AB2CBF" w:rsidRPr="006774D3">
        <w:rPr>
          <w:color w:val="000000"/>
          <w:sz w:val="22"/>
          <w:szCs w:val="22"/>
        </w:rPr>
        <w:t xml:space="preserve">því hvort um sé að ræða </w:t>
      </w:r>
      <w:r w:rsidR="00E60DB3" w:rsidRPr="006774D3">
        <w:rPr>
          <w:color w:val="000000"/>
          <w:sz w:val="22"/>
          <w:szCs w:val="22"/>
        </w:rPr>
        <w:t>segaöræðakvilla</w:t>
      </w:r>
      <w:r w:rsidR="00BD78C4" w:rsidRPr="006774D3">
        <w:rPr>
          <w:color w:val="000000"/>
          <w:sz w:val="22"/>
          <w:szCs w:val="22"/>
        </w:rPr>
        <w:t>, þar með tali</w:t>
      </w:r>
      <w:r w:rsidR="00E60DB3" w:rsidRPr="006774D3">
        <w:rPr>
          <w:color w:val="000000"/>
          <w:sz w:val="22"/>
          <w:szCs w:val="22"/>
        </w:rPr>
        <w:t>ð</w:t>
      </w:r>
      <w:r w:rsidR="00BD78C4" w:rsidRPr="006774D3">
        <w:rPr>
          <w:color w:val="000000"/>
          <w:sz w:val="22"/>
          <w:szCs w:val="22"/>
        </w:rPr>
        <w:t xml:space="preserve"> ákvörðun á </w:t>
      </w:r>
      <w:r w:rsidR="00584A48" w:rsidRPr="006774D3">
        <w:rPr>
          <w:color w:val="000000"/>
          <w:sz w:val="22"/>
          <w:szCs w:val="22"/>
        </w:rPr>
        <w:t xml:space="preserve">virkni ADAMTS13 </w:t>
      </w:r>
      <w:r w:rsidR="00584A48" w:rsidRPr="006774D3">
        <w:rPr>
          <w:rStyle w:val="content"/>
          <w:sz w:val="22"/>
          <w:szCs w:val="22"/>
        </w:rPr>
        <w:t xml:space="preserve">og </w:t>
      </w:r>
      <w:r w:rsidR="00033B3A" w:rsidRPr="006774D3">
        <w:rPr>
          <w:rStyle w:val="content"/>
          <w:sz w:val="22"/>
          <w:szCs w:val="22"/>
        </w:rPr>
        <w:t xml:space="preserve">mótefni gegn </w:t>
      </w:r>
      <w:r w:rsidR="00584A48" w:rsidRPr="006774D3">
        <w:rPr>
          <w:rStyle w:val="content"/>
          <w:sz w:val="22"/>
          <w:szCs w:val="22"/>
        </w:rPr>
        <w:t xml:space="preserve">ADAMTS13. Ef gildi </w:t>
      </w:r>
      <w:r w:rsidR="00033B3A" w:rsidRPr="006774D3">
        <w:rPr>
          <w:rStyle w:val="content"/>
          <w:sz w:val="22"/>
          <w:szCs w:val="22"/>
        </w:rPr>
        <w:t xml:space="preserve">mótefnis gegn </w:t>
      </w:r>
      <w:r w:rsidR="00584A48" w:rsidRPr="006774D3">
        <w:rPr>
          <w:rStyle w:val="content"/>
          <w:sz w:val="22"/>
          <w:szCs w:val="22"/>
        </w:rPr>
        <w:t>ADAMTS13 er hækkað í tengslum við litla virkni ADAMTS13 skal ekki hefja meðferð með Glivec að nýju.</w:t>
      </w:r>
    </w:p>
    <w:p w14:paraId="05B8B0FC" w14:textId="77777777" w:rsidR="00223364" w:rsidRPr="006774D3" w:rsidRDefault="00223364" w:rsidP="00F77C66">
      <w:pPr>
        <w:rPr>
          <w:color w:val="000000"/>
          <w:sz w:val="22"/>
          <w:szCs w:val="22"/>
        </w:rPr>
      </w:pPr>
    </w:p>
    <w:p w14:paraId="05B8B0FD"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Rannsóknastofupróf</w:t>
      </w:r>
    </w:p>
    <w:p w14:paraId="05B8B0FE" w14:textId="77777777" w:rsidR="005F57F3" w:rsidRPr="006774D3" w:rsidRDefault="005F57F3" w:rsidP="00F77C66">
      <w:pPr>
        <w:rPr>
          <w:color w:val="000000"/>
          <w:sz w:val="22"/>
          <w:szCs w:val="22"/>
        </w:rPr>
      </w:pPr>
      <w:r w:rsidRPr="006774D3">
        <w:rPr>
          <w:color w:val="000000"/>
          <w:sz w:val="22"/>
          <w:szCs w:val="22"/>
        </w:rPr>
        <w:t>Gera þarf heildar blóðkornatalningu reglulega meðan á meðferð með Glivec stendur. Meðferð CML sjúklinga með Glivec hefur verið tengd daufkyrningafæð og blóðflagnafæð. Hins vegar er líklegt að þessi frumufæð tengist stigi sjúkdómsins sem verið er að meðhöndla, og hún var algengari hjá sjúklingum með hröðunarfasa CML eða bráðafasa samanborið við sjúklinga með CML í stöðugum fasa. Rjúfa má meðferð með Glivec eða minnka skammt, eins og fram kemur í kafla 4.2.</w:t>
      </w:r>
    </w:p>
    <w:p w14:paraId="05B8B0FF" w14:textId="77777777" w:rsidR="005F57F3" w:rsidRPr="006774D3" w:rsidRDefault="005F57F3" w:rsidP="00F77C66">
      <w:pPr>
        <w:rPr>
          <w:color w:val="000000"/>
          <w:sz w:val="22"/>
          <w:szCs w:val="22"/>
        </w:rPr>
      </w:pPr>
    </w:p>
    <w:p w14:paraId="05B8B100" w14:textId="77777777" w:rsidR="005F57F3" w:rsidRPr="006774D3" w:rsidRDefault="005F57F3" w:rsidP="00F77C66">
      <w:pPr>
        <w:rPr>
          <w:color w:val="000000"/>
          <w:sz w:val="22"/>
          <w:szCs w:val="22"/>
        </w:rPr>
      </w:pPr>
      <w:r w:rsidRPr="006774D3">
        <w:rPr>
          <w:color w:val="000000"/>
          <w:sz w:val="22"/>
          <w:szCs w:val="22"/>
        </w:rPr>
        <w:t>Fylgjast skal reglulega með lifrarstarfsemi (transaminasar, bilirubin, alkaliskur fosfatasi) hjá sjúklingum sem nota Glivec.</w:t>
      </w:r>
    </w:p>
    <w:p w14:paraId="05B8B101" w14:textId="77777777" w:rsidR="005F57F3" w:rsidRPr="006774D3" w:rsidRDefault="005F57F3" w:rsidP="00F77C66">
      <w:pPr>
        <w:rPr>
          <w:color w:val="000000"/>
          <w:sz w:val="22"/>
          <w:szCs w:val="22"/>
        </w:rPr>
      </w:pPr>
    </w:p>
    <w:p w14:paraId="05B8B102" w14:textId="77777777" w:rsidR="005F57F3" w:rsidRPr="006774D3" w:rsidRDefault="005F57F3" w:rsidP="00F77C66">
      <w:pPr>
        <w:rPr>
          <w:color w:val="000000"/>
          <w:sz w:val="22"/>
          <w:szCs w:val="22"/>
        </w:rPr>
      </w:pPr>
      <w:r w:rsidRPr="006774D3">
        <w:rPr>
          <w:color w:val="000000"/>
          <w:sz w:val="22"/>
          <w:szCs w:val="22"/>
        </w:rPr>
        <w:t>Hjá sjúklingum með skerta nýrnastarfsemi virðist útsetning fyrir imatinibi í plasma vera meiri en hjá sjúklingum með eðlilega nýrnastarfsemi, líklega vegna aukinnar plasmaþéttni alfa</w:t>
      </w:r>
      <w:r w:rsidRPr="006774D3">
        <w:rPr>
          <w:color w:val="000000"/>
          <w:sz w:val="22"/>
          <w:szCs w:val="22"/>
        </w:rPr>
        <w:noBreakHyphen/>
        <w:t>sýruglýkópróteins (AGP), en það prótein bindur imatinib hjá þessum sjúklingum. Nota á minnsta upphafsskammt handa sjúklingum með skerta nýrnastarfsemi. Gæta skal varúðar við meðferð sjúklinga með alvarlega skerta nýrnastarfsemi. Minnka má skammtinn ef hann þolist ekki (sjá kafla 4.2 og 5.2).</w:t>
      </w:r>
    </w:p>
    <w:p w14:paraId="05B8B103" w14:textId="77777777" w:rsidR="00285BB2" w:rsidRPr="006774D3" w:rsidRDefault="00285BB2" w:rsidP="00F77C66">
      <w:pPr>
        <w:rPr>
          <w:color w:val="000000"/>
          <w:sz w:val="22"/>
          <w:szCs w:val="22"/>
        </w:rPr>
      </w:pPr>
    </w:p>
    <w:p w14:paraId="05B8B104" w14:textId="77777777" w:rsidR="005B3E55" w:rsidRPr="006774D3" w:rsidRDefault="005B3E55" w:rsidP="00F77C66">
      <w:pPr>
        <w:rPr>
          <w:color w:val="000000"/>
          <w:sz w:val="22"/>
          <w:szCs w:val="22"/>
        </w:rPr>
      </w:pPr>
      <w:r w:rsidRPr="006774D3">
        <w:rPr>
          <w:color w:val="000000"/>
          <w:sz w:val="22"/>
          <w:szCs w:val="22"/>
        </w:rPr>
        <w:t xml:space="preserve">Langtímameðferð með imatinibi getur tengst klínískt mikilvægri skerðingu á nýrnastarfsemi. Því skal leggja mat á nýrnastarfsemi áður en meðferð með imatinibi er hafin og hafa náið eftirlit með henni meðan á meðferð stendur og beina sérstakri athygli að þeim sjúklingum sem eru með áhættuþætti fyrir truflun á starfsemi nýrna. Ef truflun á starfsemi nýrna kemur fram skal </w:t>
      </w:r>
      <w:r w:rsidR="00337EF9" w:rsidRPr="006774D3">
        <w:rPr>
          <w:color w:val="000000"/>
          <w:sz w:val="22"/>
          <w:szCs w:val="22"/>
        </w:rPr>
        <w:t>veita</w:t>
      </w:r>
      <w:r w:rsidRPr="006774D3">
        <w:rPr>
          <w:color w:val="000000"/>
          <w:sz w:val="22"/>
          <w:szCs w:val="22"/>
        </w:rPr>
        <w:t xml:space="preserve"> viðeigandi meðferð í samræmi við </w:t>
      </w:r>
      <w:r w:rsidR="00337EF9" w:rsidRPr="006774D3">
        <w:rPr>
          <w:color w:val="000000"/>
          <w:sz w:val="22"/>
          <w:szCs w:val="22"/>
        </w:rPr>
        <w:t>hefðbundnar</w:t>
      </w:r>
      <w:r w:rsidRPr="006774D3">
        <w:rPr>
          <w:color w:val="000000"/>
          <w:sz w:val="22"/>
          <w:szCs w:val="22"/>
        </w:rPr>
        <w:t xml:space="preserve"> leiðbeiningar</w:t>
      </w:r>
      <w:r w:rsidR="00337EF9" w:rsidRPr="006774D3">
        <w:rPr>
          <w:color w:val="000000"/>
          <w:sz w:val="22"/>
          <w:szCs w:val="22"/>
        </w:rPr>
        <w:t xml:space="preserve"> um meðferð</w:t>
      </w:r>
      <w:r w:rsidRPr="006774D3">
        <w:rPr>
          <w:color w:val="000000"/>
          <w:sz w:val="22"/>
          <w:szCs w:val="22"/>
        </w:rPr>
        <w:t>.</w:t>
      </w:r>
    </w:p>
    <w:p w14:paraId="05B8B105" w14:textId="77777777" w:rsidR="005B3E55" w:rsidRPr="006774D3" w:rsidRDefault="005B3E55" w:rsidP="00F77C66">
      <w:pPr>
        <w:rPr>
          <w:color w:val="000000"/>
          <w:sz w:val="22"/>
          <w:szCs w:val="22"/>
        </w:rPr>
      </w:pPr>
    </w:p>
    <w:p w14:paraId="05B8B106" w14:textId="77777777" w:rsidR="00285BB2" w:rsidRPr="006774D3" w:rsidRDefault="00285BB2" w:rsidP="00F77C66">
      <w:pPr>
        <w:keepNext/>
        <w:rPr>
          <w:color w:val="000000"/>
          <w:sz w:val="22"/>
          <w:szCs w:val="22"/>
          <w:u w:val="single"/>
        </w:rPr>
      </w:pPr>
      <w:r w:rsidRPr="006774D3">
        <w:rPr>
          <w:color w:val="000000"/>
          <w:sz w:val="22"/>
          <w:szCs w:val="22"/>
          <w:u w:val="single"/>
        </w:rPr>
        <w:t>Börn</w:t>
      </w:r>
    </w:p>
    <w:p w14:paraId="05B8B107" w14:textId="77777777" w:rsidR="00285BB2" w:rsidRPr="006774D3" w:rsidRDefault="00285BB2" w:rsidP="00F77C66">
      <w:pPr>
        <w:rPr>
          <w:color w:val="000000"/>
          <w:sz w:val="22"/>
          <w:szCs w:val="22"/>
        </w:rPr>
      </w:pPr>
      <w:r w:rsidRPr="006774D3">
        <w:rPr>
          <w:color w:val="000000"/>
          <w:sz w:val="22"/>
          <w:szCs w:val="22"/>
        </w:rPr>
        <w:t xml:space="preserve">Greint hefur verið frá </w:t>
      </w:r>
      <w:r w:rsidR="00BD21FA" w:rsidRPr="006774D3">
        <w:rPr>
          <w:color w:val="000000"/>
          <w:sz w:val="22"/>
          <w:szCs w:val="22"/>
        </w:rPr>
        <w:t>vaxtarskerðingu</w:t>
      </w:r>
      <w:r w:rsidRPr="006774D3">
        <w:rPr>
          <w:color w:val="000000"/>
          <w:sz w:val="22"/>
          <w:szCs w:val="22"/>
        </w:rPr>
        <w:t xml:space="preserve"> hjá börnum og </w:t>
      </w:r>
      <w:r w:rsidR="00E220ED" w:rsidRPr="006774D3">
        <w:rPr>
          <w:color w:val="000000"/>
          <w:sz w:val="22"/>
          <w:szCs w:val="22"/>
        </w:rPr>
        <w:t>stálpuðum börnum (preadolecents) á meðferð með imatinibi.</w:t>
      </w:r>
      <w:r w:rsidR="0042552E" w:rsidRPr="006774D3">
        <w:rPr>
          <w:color w:val="000000"/>
          <w:sz w:val="22"/>
          <w:szCs w:val="22"/>
        </w:rPr>
        <w:t xml:space="preserve"> Í áhorfsrannsókn hjá börnum með CML var greint frá </w:t>
      </w:r>
      <w:r w:rsidR="006A6C58" w:rsidRPr="006774D3">
        <w:rPr>
          <w:color w:val="000000"/>
          <w:sz w:val="22"/>
          <w:szCs w:val="22"/>
        </w:rPr>
        <w:t>tölfræðilega marktækri lækkun (en klínískt mikilvægi er óþekkt)</w:t>
      </w:r>
      <w:r w:rsidR="0042552E" w:rsidRPr="006774D3">
        <w:rPr>
          <w:color w:val="000000"/>
          <w:sz w:val="22"/>
          <w:szCs w:val="22"/>
        </w:rPr>
        <w:t xml:space="preserve"> staðalfrávik</w:t>
      </w:r>
      <w:r w:rsidR="00BF0986" w:rsidRPr="006774D3">
        <w:rPr>
          <w:color w:val="000000"/>
          <w:sz w:val="22"/>
          <w:szCs w:val="22"/>
        </w:rPr>
        <w:t>sstigs á</w:t>
      </w:r>
      <w:r w:rsidR="0042552E" w:rsidRPr="006774D3">
        <w:rPr>
          <w:color w:val="000000"/>
          <w:sz w:val="22"/>
          <w:szCs w:val="22"/>
        </w:rPr>
        <w:t xml:space="preserve"> miðgildi</w:t>
      </w:r>
      <w:r w:rsidR="00BF0986" w:rsidRPr="006774D3">
        <w:rPr>
          <w:color w:val="000000"/>
          <w:sz w:val="22"/>
          <w:szCs w:val="22"/>
        </w:rPr>
        <w:t xml:space="preserve"> </w:t>
      </w:r>
      <w:r w:rsidR="0042552E" w:rsidRPr="006774D3">
        <w:rPr>
          <w:color w:val="000000"/>
          <w:sz w:val="22"/>
          <w:szCs w:val="22"/>
        </w:rPr>
        <w:t>hæðar eftir 12 og 24 mánaða meðferð í tveimur litlum undirhópum óháð kynþroska og kyni.</w:t>
      </w:r>
      <w:r w:rsidR="00E220ED" w:rsidRPr="006774D3">
        <w:rPr>
          <w:color w:val="000000"/>
          <w:sz w:val="22"/>
          <w:szCs w:val="22"/>
        </w:rPr>
        <w:t xml:space="preserve"> </w:t>
      </w:r>
      <w:r w:rsidR="0042552E" w:rsidRPr="006774D3">
        <w:rPr>
          <w:color w:val="000000"/>
          <w:sz w:val="22"/>
          <w:szCs w:val="22"/>
        </w:rPr>
        <w:t>M</w:t>
      </w:r>
      <w:r w:rsidR="00E220ED" w:rsidRPr="006774D3">
        <w:rPr>
          <w:color w:val="000000"/>
          <w:sz w:val="22"/>
          <w:szCs w:val="22"/>
        </w:rPr>
        <w:t>ælt</w:t>
      </w:r>
      <w:r w:rsidR="0042552E" w:rsidRPr="006774D3">
        <w:rPr>
          <w:color w:val="000000"/>
          <w:sz w:val="22"/>
          <w:szCs w:val="22"/>
        </w:rPr>
        <w:t xml:space="preserve"> er</w:t>
      </w:r>
      <w:r w:rsidR="00E220ED" w:rsidRPr="006774D3">
        <w:rPr>
          <w:color w:val="000000"/>
          <w:sz w:val="22"/>
          <w:szCs w:val="22"/>
        </w:rPr>
        <w:t xml:space="preserve"> með </w:t>
      </w:r>
      <w:r w:rsidR="0042552E" w:rsidRPr="006774D3">
        <w:rPr>
          <w:color w:val="000000"/>
          <w:sz w:val="22"/>
          <w:szCs w:val="22"/>
        </w:rPr>
        <w:t xml:space="preserve">því </w:t>
      </w:r>
      <w:r w:rsidR="00E220ED" w:rsidRPr="006774D3">
        <w:rPr>
          <w:color w:val="000000"/>
          <w:sz w:val="22"/>
          <w:szCs w:val="22"/>
        </w:rPr>
        <w:t>að haft sé náið eftirlit m</w:t>
      </w:r>
      <w:r w:rsidR="002A24A1" w:rsidRPr="006774D3">
        <w:rPr>
          <w:color w:val="000000"/>
          <w:sz w:val="22"/>
          <w:szCs w:val="22"/>
        </w:rPr>
        <w:t>eð vexti barna á meðferð með ima</w:t>
      </w:r>
      <w:r w:rsidR="00E220ED" w:rsidRPr="006774D3">
        <w:rPr>
          <w:color w:val="000000"/>
          <w:sz w:val="22"/>
          <w:szCs w:val="22"/>
        </w:rPr>
        <w:t>t</w:t>
      </w:r>
      <w:r w:rsidR="002A24A1" w:rsidRPr="006774D3">
        <w:rPr>
          <w:color w:val="000000"/>
          <w:sz w:val="22"/>
          <w:szCs w:val="22"/>
        </w:rPr>
        <w:t>i</w:t>
      </w:r>
      <w:r w:rsidR="00E220ED" w:rsidRPr="006774D3">
        <w:rPr>
          <w:color w:val="000000"/>
          <w:sz w:val="22"/>
          <w:szCs w:val="22"/>
        </w:rPr>
        <w:t>nibi (sjá kafla 4.8).</w:t>
      </w:r>
    </w:p>
    <w:p w14:paraId="05B8B108" w14:textId="77777777" w:rsidR="005F57F3" w:rsidRPr="006774D3" w:rsidRDefault="005F57F3" w:rsidP="00F77C66">
      <w:pPr>
        <w:rPr>
          <w:color w:val="000000"/>
          <w:sz w:val="22"/>
          <w:szCs w:val="22"/>
        </w:rPr>
      </w:pPr>
    </w:p>
    <w:p w14:paraId="05B8B109" w14:textId="77777777" w:rsidR="005F57F3" w:rsidRPr="006774D3" w:rsidRDefault="005F57F3" w:rsidP="00F77C66">
      <w:pPr>
        <w:keepNext/>
        <w:rPr>
          <w:color w:val="000000"/>
          <w:sz w:val="22"/>
          <w:szCs w:val="22"/>
        </w:rPr>
      </w:pPr>
      <w:r w:rsidRPr="006774D3">
        <w:rPr>
          <w:b/>
          <w:color w:val="000000"/>
          <w:sz w:val="22"/>
          <w:szCs w:val="22"/>
        </w:rPr>
        <w:t>4.5</w:t>
      </w:r>
      <w:r w:rsidRPr="006774D3">
        <w:rPr>
          <w:b/>
          <w:color w:val="000000"/>
          <w:sz w:val="22"/>
          <w:szCs w:val="22"/>
        </w:rPr>
        <w:tab/>
        <w:t>Milliverkanir við önnur lyf og aðrar milliverkanir</w:t>
      </w:r>
    </w:p>
    <w:p w14:paraId="05B8B10A"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p>
    <w:p w14:paraId="05B8B10B" w14:textId="77777777" w:rsidR="005F57F3" w:rsidRPr="006774D3" w:rsidRDefault="005F57F3" w:rsidP="00F77C66">
      <w:pPr>
        <w:keepNext/>
        <w:rPr>
          <w:color w:val="000000"/>
          <w:sz w:val="22"/>
          <w:szCs w:val="22"/>
          <w:u w:val="single"/>
        </w:rPr>
      </w:pPr>
      <w:r w:rsidRPr="006774D3">
        <w:rPr>
          <w:bCs/>
          <w:color w:val="000000"/>
          <w:sz w:val="22"/>
          <w:szCs w:val="22"/>
          <w:u w:val="single"/>
        </w:rPr>
        <w:t>Virk efni</w:t>
      </w:r>
      <w:r w:rsidRPr="006774D3">
        <w:rPr>
          <w:color w:val="000000"/>
          <w:sz w:val="22"/>
          <w:szCs w:val="22"/>
          <w:u w:val="single"/>
        </w:rPr>
        <w:t xml:space="preserve"> sem geta </w:t>
      </w:r>
      <w:r w:rsidRPr="006774D3">
        <w:rPr>
          <w:b/>
          <w:bCs/>
          <w:color w:val="000000"/>
          <w:sz w:val="22"/>
          <w:szCs w:val="22"/>
          <w:u w:val="single"/>
        </w:rPr>
        <w:t>aukið</w:t>
      </w:r>
      <w:r w:rsidRPr="006774D3">
        <w:rPr>
          <w:color w:val="000000"/>
          <w:sz w:val="22"/>
          <w:szCs w:val="22"/>
          <w:u w:val="single"/>
        </w:rPr>
        <w:t xml:space="preserve"> plasmaþéttni imatinibs:</w:t>
      </w:r>
    </w:p>
    <w:p w14:paraId="05B8B10C" w14:textId="77777777" w:rsidR="005F57F3" w:rsidRPr="006774D3" w:rsidRDefault="005F57F3" w:rsidP="00F77C66">
      <w:pPr>
        <w:rPr>
          <w:color w:val="000000"/>
          <w:sz w:val="22"/>
          <w:szCs w:val="22"/>
        </w:rPr>
      </w:pPr>
      <w:r w:rsidRPr="006774D3">
        <w:rPr>
          <w:color w:val="000000"/>
          <w:sz w:val="22"/>
          <w:szCs w:val="22"/>
        </w:rPr>
        <w:t xml:space="preserve">Efni sem hamla virkni </w:t>
      </w:r>
      <w:r w:rsidR="00BB6FC3" w:rsidRPr="006774D3">
        <w:rPr>
          <w:rStyle w:val="searchresultinfo1"/>
          <w:rFonts w:ascii="Times New Roman" w:hAnsi="Times New Roman"/>
          <w:color w:val="auto"/>
          <w:sz w:val="22"/>
          <w:szCs w:val="22"/>
        </w:rPr>
        <w:t>sýtókróm</w:t>
      </w:r>
      <w:r w:rsidR="00673DE6" w:rsidRPr="006774D3">
        <w:rPr>
          <w:sz w:val="22"/>
          <w:szCs w:val="22"/>
        </w:rPr>
        <w:t xml:space="preserve"> </w:t>
      </w:r>
      <w:r w:rsidRPr="006774D3">
        <w:rPr>
          <w:sz w:val="22"/>
          <w:szCs w:val="22"/>
        </w:rPr>
        <w:t>P</w:t>
      </w:r>
      <w:r w:rsidRPr="006774D3">
        <w:rPr>
          <w:color w:val="000000"/>
          <w:sz w:val="22"/>
          <w:szCs w:val="22"/>
        </w:rPr>
        <w:t xml:space="preserve">450 ísóensímsins CYP3A4 (t.d. </w:t>
      </w:r>
      <w:r w:rsidR="00A0484D" w:rsidRPr="006774D3">
        <w:rPr>
          <w:color w:val="000000"/>
          <w:sz w:val="22"/>
          <w:szCs w:val="22"/>
        </w:rPr>
        <w:t>próteasahemlar eins og t.d. indinavir, lopinavir/ritonavir, ritonavir, saq</w:t>
      </w:r>
      <w:r w:rsidR="004418C2" w:rsidRPr="006774D3">
        <w:rPr>
          <w:color w:val="000000"/>
          <w:sz w:val="22"/>
          <w:szCs w:val="22"/>
        </w:rPr>
        <w:t>uinavir, telaprevir, nelfinavir og</w:t>
      </w:r>
      <w:r w:rsidR="00A0484D" w:rsidRPr="006774D3">
        <w:rPr>
          <w:color w:val="000000"/>
          <w:sz w:val="22"/>
          <w:szCs w:val="22"/>
        </w:rPr>
        <w:t xml:space="preserve"> boceprevir; azól</w:t>
      </w:r>
      <w:r w:rsidR="004418C2" w:rsidRPr="006774D3">
        <w:rPr>
          <w:color w:val="000000"/>
          <w:sz w:val="22"/>
          <w:szCs w:val="22"/>
        </w:rPr>
        <w:t xml:space="preserve"> </w:t>
      </w:r>
      <w:r w:rsidR="00A0484D" w:rsidRPr="006774D3">
        <w:rPr>
          <w:color w:val="000000"/>
          <w:sz w:val="22"/>
          <w:szCs w:val="22"/>
        </w:rPr>
        <w:t xml:space="preserve">sveppalyf þ.m.t. </w:t>
      </w:r>
      <w:r w:rsidRPr="006774D3">
        <w:rPr>
          <w:color w:val="000000"/>
          <w:sz w:val="22"/>
          <w:szCs w:val="22"/>
        </w:rPr>
        <w:t xml:space="preserve">ketoconazol, itraconazol, </w:t>
      </w:r>
      <w:r w:rsidR="004418C2" w:rsidRPr="006774D3">
        <w:rPr>
          <w:color w:val="000000"/>
          <w:sz w:val="22"/>
          <w:szCs w:val="22"/>
        </w:rPr>
        <w:t>posaconazol og</w:t>
      </w:r>
      <w:r w:rsidR="00A0484D" w:rsidRPr="006774D3">
        <w:rPr>
          <w:color w:val="000000"/>
          <w:sz w:val="22"/>
          <w:szCs w:val="22"/>
        </w:rPr>
        <w:t xml:space="preserve"> voriconazol; ákveðnir makrólíðar eins og t.d. </w:t>
      </w:r>
      <w:r w:rsidRPr="006774D3">
        <w:rPr>
          <w:color w:val="000000"/>
          <w:sz w:val="22"/>
          <w:szCs w:val="22"/>
        </w:rPr>
        <w:t>erytro</w:t>
      </w:r>
      <w:r w:rsidRPr="006774D3">
        <w:rPr>
          <w:color w:val="000000"/>
          <w:sz w:val="22"/>
          <w:szCs w:val="22"/>
        </w:rPr>
        <w:softHyphen/>
        <w:t>mycin, claritromycin</w:t>
      </w:r>
      <w:r w:rsidR="00A0484D" w:rsidRPr="006774D3">
        <w:rPr>
          <w:color w:val="000000"/>
          <w:sz w:val="22"/>
          <w:szCs w:val="22"/>
        </w:rPr>
        <w:t xml:space="preserve"> og telithromycin</w:t>
      </w:r>
      <w:r w:rsidRPr="006774D3">
        <w:rPr>
          <w:color w:val="000000"/>
          <w:sz w:val="22"/>
          <w:szCs w:val="22"/>
        </w:rPr>
        <w:t>) geta dregið úr umbrotum og aukið þéttni imatinibs. Marktæk aukning í útsetningu fyrir imatinibi (meðalgildi C</w:t>
      </w:r>
      <w:r w:rsidRPr="006774D3">
        <w:rPr>
          <w:color w:val="000000"/>
          <w:sz w:val="22"/>
          <w:szCs w:val="22"/>
          <w:vertAlign w:val="subscript"/>
        </w:rPr>
        <w:t>max</w:t>
      </w:r>
      <w:r w:rsidRPr="006774D3">
        <w:rPr>
          <w:color w:val="000000"/>
          <w:sz w:val="22"/>
          <w:szCs w:val="22"/>
        </w:rPr>
        <w:t xml:space="preserve"> og AUC fyrir imatinib jukust um 26% og 40%, tilgreint í sömu röð) kom fram hjá heilbrigðum einstaklingum þegar það var gefið samtímis einum skammti af ketoconazoli (CYP3A4 hemill). Gæta skal varúðar þegar Glivec er notað samhliða lyfjum sem hamla CYP3A4 ensímunum.</w:t>
      </w:r>
    </w:p>
    <w:p w14:paraId="05B8B10D" w14:textId="77777777" w:rsidR="005F57F3" w:rsidRPr="006774D3" w:rsidRDefault="005F57F3" w:rsidP="00F77C66">
      <w:pPr>
        <w:rPr>
          <w:color w:val="000000"/>
          <w:sz w:val="22"/>
          <w:szCs w:val="22"/>
        </w:rPr>
      </w:pPr>
    </w:p>
    <w:p w14:paraId="05B8B10E" w14:textId="77777777" w:rsidR="005F57F3" w:rsidRPr="006774D3" w:rsidRDefault="005F57F3" w:rsidP="00F77C66">
      <w:pPr>
        <w:keepNext/>
        <w:rPr>
          <w:color w:val="000000"/>
          <w:sz w:val="22"/>
          <w:szCs w:val="22"/>
          <w:u w:val="single"/>
        </w:rPr>
      </w:pPr>
      <w:r w:rsidRPr="006774D3">
        <w:rPr>
          <w:color w:val="000000"/>
          <w:sz w:val="22"/>
          <w:szCs w:val="22"/>
          <w:u w:val="single"/>
        </w:rPr>
        <w:t xml:space="preserve">Virk efni sem geta </w:t>
      </w:r>
      <w:r w:rsidRPr="006774D3">
        <w:rPr>
          <w:b/>
          <w:color w:val="000000"/>
          <w:sz w:val="22"/>
          <w:szCs w:val="22"/>
          <w:u w:val="single"/>
        </w:rPr>
        <w:t>minnkað</w:t>
      </w:r>
      <w:r w:rsidRPr="006774D3">
        <w:rPr>
          <w:color w:val="000000"/>
          <w:sz w:val="22"/>
          <w:szCs w:val="22"/>
          <w:u w:val="single"/>
        </w:rPr>
        <w:t xml:space="preserve"> plasmaþéttni imatinibs:</w:t>
      </w:r>
    </w:p>
    <w:p w14:paraId="05B8B10F" w14:textId="77777777" w:rsidR="005F57F3" w:rsidRPr="006774D3" w:rsidRDefault="005F57F3" w:rsidP="00F77C66">
      <w:pPr>
        <w:rPr>
          <w:color w:val="000000"/>
          <w:sz w:val="22"/>
          <w:szCs w:val="22"/>
        </w:rPr>
      </w:pPr>
      <w:r w:rsidRPr="006774D3">
        <w:rPr>
          <w:color w:val="000000"/>
          <w:sz w:val="22"/>
          <w:szCs w:val="22"/>
        </w:rPr>
        <w:t xml:space="preserve">Efni sem </w:t>
      </w:r>
      <w:r w:rsidR="00EF6C89" w:rsidRPr="006774D3">
        <w:rPr>
          <w:color w:val="000000"/>
          <w:sz w:val="22"/>
          <w:szCs w:val="22"/>
        </w:rPr>
        <w:t>virkja</w:t>
      </w:r>
      <w:r w:rsidRPr="006774D3">
        <w:rPr>
          <w:color w:val="000000"/>
          <w:sz w:val="22"/>
          <w:szCs w:val="22"/>
        </w:rPr>
        <w:t xml:space="preserve"> CYP3A4 (t.d. dexametason, fenytoin, carbamazepin, rifampicin, fenobarbital, fosfenytoin, primidon eða </w:t>
      </w:r>
      <w:r w:rsidRPr="006774D3">
        <w:rPr>
          <w:i/>
          <w:iCs/>
          <w:color w:val="000000"/>
          <w:sz w:val="22"/>
          <w:szCs w:val="22"/>
        </w:rPr>
        <w:t>Hypericum perforatum</w:t>
      </w:r>
      <w:r w:rsidRPr="006774D3">
        <w:rPr>
          <w:color w:val="000000"/>
          <w:sz w:val="22"/>
          <w:szCs w:val="22"/>
        </w:rPr>
        <w:t>, einnig þekkt sem jóhannesarjurt [jónsmessurunni. St. John’s wort]) get</w:t>
      </w:r>
      <w:r w:rsidR="009154BB" w:rsidRPr="006774D3">
        <w:rPr>
          <w:color w:val="000000"/>
          <w:sz w:val="22"/>
          <w:szCs w:val="22"/>
        </w:rPr>
        <w:t>a</w:t>
      </w:r>
      <w:r w:rsidRPr="006774D3">
        <w:rPr>
          <w:color w:val="000000"/>
          <w:sz w:val="22"/>
          <w:szCs w:val="22"/>
        </w:rPr>
        <w:t xml:space="preserve"> dregið marktækt úr útsetningu fyrir Glivec, sem hugsanlega eykur líkur á meðferðarbresti. Formeðferð með endurteknum skömmtum af rifampicini, 600 mg, fylgt eftir með einum 400 mg skammti af Glivec leiddi til minnkunar C</w:t>
      </w:r>
      <w:r w:rsidRPr="006774D3">
        <w:rPr>
          <w:color w:val="000000"/>
          <w:sz w:val="22"/>
          <w:szCs w:val="22"/>
          <w:vertAlign w:val="subscript"/>
        </w:rPr>
        <w:t>max</w:t>
      </w:r>
      <w:r w:rsidRPr="006774D3">
        <w:rPr>
          <w:color w:val="000000"/>
          <w:sz w:val="22"/>
          <w:szCs w:val="22"/>
        </w:rPr>
        <w:t xml:space="preserve"> og AUC</w:t>
      </w:r>
      <w:r w:rsidRPr="006774D3">
        <w:rPr>
          <w:color w:val="000000"/>
          <w:sz w:val="22"/>
          <w:szCs w:val="22"/>
          <w:vertAlign w:val="subscript"/>
        </w:rPr>
        <w:t>(0-∞)</w:t>
      </w:r>
      <w:r w:rsidRPr="006774D3">
        <w:rPr>
          <w:color w:val="000000"/>
          <w:sz w:val="22"/>
          <w:szCs w:val="22"/>
        </w:rPr>
        <w:t xml:space="preserve"> um að minnsta kosti 54% og 74% fyrir samsvarandi gildi án meðferðar með rifampicin. Svipaðar niðurstöður komu fram hjá sjúklingum með illkynja tróðæxli (gliomas) sem fengu meðferð með Glivec á sama tíma og þeir notuðu ensímhvetjandi flogaveikilyf, t.d. carbamazepin, </w:t>
      </w:r>
      <w:r w:rsidR="00AB3B45" w:rsidRPr="006774D3">
        <w:rPr>
          <w:color w:val="000000"/>
          <w:sz w:val="22"/>
          <w:szCs w:val="22"/>
        </w:rPr>
        <w:t>oxcarbazepin</w:t>
      </w:r>
      <w:r w:rsidRPr="006774D3">
        <w:rPr>
          <w:color w:val="000000"/>
          <w:sz w:val="22"/>
          <w:szCs w:val="22"/>
        </w:rPr>
        <w:t xml:space="preserve"> og fenytoin. AUC gildi imatinibs í plasma minnkaði um 73% samanborið við sjúklinga sem ekki notuðu ensímhvetjandi </w:t>
      </w:r>
      <w:r w:rsidRPr="006774D3">
        <w:rPr>
          <w:color w:val="000000"/>
          <w:sz w:val="22"/>
          <w:szCs w:val="22"/>
        </w:rPr>
        <w:lastRenderedPageBreak/>
        <w:t xml:space="preserve">flogaveikilyf. Forðast skal samhliða notkun imatinibs með rifampicini eða öðrum öflugum </w:t>
      </w:r>
      <w:r w:rsidR="00EF6C89" w:rsidRPr="006774D3">
        <w:rPr>
          <w:color w:val="000000"/>
          <w:sz w:val="22"/>
          <w:szCs w:val="22"/>
        </w:rPr>
        <w:t xml:space="preserve">virkjum </w:t>
      </w:r>
      <w:r w:rsidRPr="006774D3">
        <w:rPr>
          <w:color w:val="000000"/>
          <w:sz w:val="22"/>
          <w:szCs w:val="22"/>
        </w:rPr>
        <w:t>CYP3A4.</w:t>
      </w:r>
    </w:p>
    <w:p w14:paraId="05B8B110" w14:textId="77777777" w:rsidR="005F57F3" w:rsidRPr="006774D3" w:rsidRDefault="005F57F3" w:rsidP="00F77C66">
      <w:pPr>
        <w:rPr>
          <w:color w:val="000000"/>
          <w:sz w:val="22"/>
          <w:szCs w:val="22"/>
        </w:rPr>
      </w:pPr>
    </w:p>
    <w:p w14:paraId="05B8B111" w14:textId="77777777" w:rsidR="005F57F3" w:rsidRPr="006774D3" w:rsidRDefault="005F57F3" w:rsidP="00F77C66">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t>Virk efni sem Glivec getur breytt plasmaþéttni fyrir</w:t>
      </w:r>
    </w:p>
    <w:p w14:paraId="05B8B112" w14:textId="77777777" w:rsidR="005F57F3" w:rsidRPr="006774D3" w:rsidRDefault="005F57F3" w:rsidP="00F77C66">
      <w:pPr>
        <w:rPr>
          <w:color w:val="000000"/>
          <w:sz w:val="22"/>
          <w:szCs w:val="22"/>
        </w:rPr>
      </w:pPr>
      <w:r w:rsidRPr="006774D3">
        <w:rPr>
          <w:color w:val="000000"/>
          <w:sz w:val="22"/>
          <w:szCs w:val="22"/>
        </w:rPr>
        <w:t>Imatinib eykur meðaltalsgildi C</w:t>
      </w:r>
      <w:r w:rsidRPr="006774D3">
        <w:rPr>
          <w:color w:val="000000"/>
          <w:sz w:val="22"/>
          <w:szCs w:val="22"/>
          <w:vertAlign w:val="subscript"/>
        </w:rPr>
        <w:t>max</w:t>
      </w:r>
      <w:r w:rsidRPr="006774D3">
        <w:rPr>
          <w:color w:val="000000"/>
          <w:sz w:val="22"/>
          <w:szCs w:val="22"/>
        </w:rPr>
        <w:t xml:space="preserve"> og AUC fyrir simvastatin (hvarfefni CYP3A4) 2 falt og 3,5 falt, tilgreint í sömu röð, sem gefur til kynna að imatinib hamli CYP3A4. Því er mælt með að varúðar sé gætt þegar Glivec er notað með CYP3A4 hvarfefnum sem hafa þröngt skammtabil (t.d. ciclosporin</w:t>
      </w:r>
      <w:r w:rsidR="00A0484D" w:rsidRPr="006774D3">
        <w:rPr>
          <w:color w:val="000000"/>
          <w:sz w:val="22"/>
          <w:szCs w:val="22"/>
        </w:rPr>
        <w:t>,</w:t>
      </w:r>
      <w:r w:rsidRPr="006774D3">
        <w:rPr>
          <w:color w:val="000000"/>
          <w:sz w:val="22"/>
          <w:szCs w:val="22"/>
        </w:rPr>
        <w:t xml:space="preserve"> pimozid</w:t>
      </w:r>
      <w:r w:rsidR="00A0484D" w:rsidRPr="006774D3">
        <w:rPr>
          <w:color w:val="000000"/>
          <w:sz w:val="22"/>
          <w:szCs w:val="22"/>
        </w:rPr>
        <w:t>, tacrolimus, sirolimus, ergotamin, diergotamin, fentanyl, alfentanil, terfenadin, bortezomib, docetaxel og quinidin</w:t>
      </w:r>
      <w:r w:rsidRPr="006774D3">
        <w:rPr>
          <w:color w:val="000000"/>
          <w:sz w:val="22"/>
          <w:szCs w:val="22"/>
        </w:rPr>
        <w:t>). Glivec getur aukið plasmaþéttni annarra lyfja sem umbrotna fyrir tilstilli CYP3A4 (t.d. triazolo</w:t>
      </w:r>
      <w:r w:rsidRPr="006774D3">
        <w:rPr>
          <w:color w:val="000000"/>
          <w:sz w:val="22"/>
          <w:szCs w:val="22"/>
        </w:rPr>
        <w:noBreakHyphen/>
        <w:t>benzodiazepin, kalsíum</w:t>
      </w:r>
      <w:r w:rsidRPr="006774D3">
        <w:rPr>
          <w:color w:val="000000"/>
          <w:sz w:val="22"/>
          <w:szCs w:val="22"/>
        </w:rPr>
        <w:softHyphen/>
        <w:t>gangalokar af flokki dihydropyridina, ákveðnir HMG</w:t>
      </w:r>
      <w:r w:rsidRPr="006774D3">
        <w:rPr>
          <w:color w:val="000000"/>
          <w:sz w:val="22"/>
          <w:szCs w:val="22"/>
        </w:rPr>
        <w:noBreakHyphen/>
        <w:t>CoA reductasablokkar, þ.e. statín, o.s.frv.).</w:t>
      </w:r>
    </w:p>
    <w:p w14:paraId="05B8B113" w14:textId="77777777" w:rsidR="005F57F3" w:rsidRPr="006774D3" w:rsidRDefault="005F57F3" w:rsidP="00F77C66">
      <w:pPr>
        <w:rPr>
          <w:color w:val="000000"/>
          <w:sz w:val="22"/>
          <w:szCs w:val="22"/>
        </w:rPr>
      </w:pPr>
    </w:p>
    <w:p w14:paraId="05B8B114" w14:textId="77777777" w:rsidR="005F57F3" w:rsidRPr="006774D3" w:rsidRDefault="00A0484D" w:rsidP="00F77C66">
      <w:pPr>
        <w:rPr>
          <w:color w:val="000000"/>
          <w:sz w:val="22"/>
          <w:szCs w:val="22"/>
        </w:rPr>
      </w:pPr>
      <w:r w:rsidRPr="006774D3">
        <w:rPr>
          <w:color w:val="000000"/>
          <w:sz w:val="22"/>
          <w:szCs w:val="22"/>
        </w:rPr>
        <w:t>Vegna þekktrar aukinnar hættu á blæðingu</w:t>
      </w:r>
      <w:r w:rsidR="004418C2" w:rsidRPr="006774D3">
        <w:rPr>
          <w:color w:val="000000"/>
          <w:sz w:val="22"/>
          <w:szCs w:val="22"/>
        </w:rPr>
        <w:t>m</w:t>
      </w:r>
      <w:r w:rsidRPr="006774D3">
        <w:rPr>
          <w:color w:val="000000"/>
          <w:sz w:val="22"/>
          <w:szCs w:val="22"/>
        </w:rPr>
        <w:t xml:space="preserve"> í tengslum við notkun imatinibs (t.d. </w:t>
      </w:r>
      <w:r w:rsidR="004418C2" w:rsidRPr="006774D3">
        <w:rPr>
          <w:color w:val="000000"/>
          <w:sz w:val="22"/>
          <w:szCs w:val="22"/>
        </w:rPr>
        <w:t>mikilli</w:t>
      </w:r>
      <w:r w:rsidRPr="006774D3">
        <w:rPr>
          <w:color w:val="000000"/>
          <w:sz w:val="22"/>
          <w:szCs w:val="22"/>
        </w:rPr>
        <w:t xml:space="preserve"> blæðing</w:t>
      </w:r>
      <w:r w:rsidR="004418C2" w:rsidRPr="006774D3">
        <w:rPr>
          <w:color w:val="000000"/>
          <w:sz w:val="22"/>
          <w:szCs w:val="22"/>
        </w:rPr>
        <w:t>u</w:t>
      </w:r>
      <w:r w:rsidRPr="006774D3">
        <w:rPr>
          <w:color w:val="000000"/>
          <w:sz w:val="22"/>
          <w:szCs w:val="22"/>
        </w:rPr>
        <w:t xml:space="preserve"> (haemorrhage)) </w:t>
      </w:r>
      <w:r w:rsidR="005F57F3" w:rsidRPr="006774D3">
        <w:rPr>
          <w:color w:val="000000"/>
          <w:sz w:val="22"/>
          <w:szCs w:val="22"/>
        </w:rPr>
        <w:t>eiga sjúklingar sem þurfa segavörn að nota heparin með lágri sameindarþyngd eða venjulegt heparin</w:t>
      </w:r>
      <w:r w:rsidR="00FB2473" w:rsidRPr="006774D3">
        <w:rPr>
          <w:color w:val="000000"/>
          <w:sz w:val="22"/>
          <w:szCs w:val="22"/>
        </w:rPr>
        <w:t xml:space="preserve">, í staðinn fyrir coumarin afleiður </w:t>
      </w:r>
      <w:r w:rsidR="004418C2" w:rsidRPr="006774D3">
        <w:rPr>
          <w:color w:val="000000"/>
          <w:sz w:val="22"/>
          <w:szCs w:val="22"/>
        </w:rPr>
        <w:t>svo sem</w:t>
      </w:r>
      <w:r w:rsidR="00FB2473" w:rsidRPr="006774D3">
        <w:rPr>
          <w:color w:val="000000"/>
          <w:sz w:val="22"/>
          <w:szCs w:val="22"/>
        </w:rPr>
        <w:t xml:space="preserve"> warfarin</w:t>
      </w:r>
      <w:r w:rsidR="005F57F3" w:rsidRPr="006774D3">
        <w:rPr>
          <w:color w:val="000000"/>
          <w:sz w:val="22"/>
          <w:szCs w:val="22"/>
        </w:rPr>
        <w:t>.</w:t>
      </w:r>
    </w:p>
    <w:p w14:paraId="05B8B115"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116" w14:textId="77777777" w:rsidR="005F57F3" w:rsidRPr="006774D3" w:rsidRDefault="005F57F3" w:rsidP="00F77C66">
      <w:pPr>
        <w:rPr>
          <w:color w:val="000000"/>
          <w:sz w:val="22"/>
          <w:szCs w:val="22"/>
        </w:rPr>
      </w:pPr>
      <w:r w:rsidRPr="006774D3">
        <w:rPr>
          <w:i/>
          <w:color w:val="000000"/>
          <w:sz w:val="22"/>
          <w:szCs w:val="22"/>
        </w:rPr>
        <w:t>In vitro</w:t>
      </w:r>
      <w:r w:rsidRPr="006774D3">
        <w:rPr>
          <w:color w:val="000000"/>
          <w:sz w:val="22"/>
          <w:szCs w:val="22"/>
        </w:rPr>
        <w:t xml:space="preserve"> hamlar Glivec </w:t>
      </w:r>
      <w:r w:rsidRPr="006774D3">
        <w:rPr>
          <w:sz w:val="22"/>
          <w:szCs w:val="22"/>
        </w:rPr>
        <w:t xml:space="preserve">virkni </w:t>
      </w:r>
      <w:r w:rsidR="00BB6FC3" w:rsidRPr="006774D3">
        <w:rPr>
          <w:rStyle w:val="searchresultinfo1"/>
          <w:rFonts w:ascii="Times New Roman" w:hAnsi="Times New Roman"/>
          <w:color w:val="auto"/>
          <w:sz w:val="22"/>
          <w:szCs w:val="22"/>
        </w:rPr>
        <w:t>sýtókróm</w:t>
      </w:r>
      <w:r w:rsidR="00673DE6" w:rsidRPr="006774D3">
        <w:rPr>
          <w:sz w:val="22"/>
          <w:szCs w:val="22"/>
        </w:rPr>
        <w:t xml:space="preserve"> </w:t>
      </w:r>
      <w:r w:rsidRPr="006774D3">
        <w:rPr>
          <w:sz w:val="22"/>
          <w:szCs w:val="22"/>
        </w:rPr>
        <w:t>P450 ísóensímsins</w:t>
      </w:r>
      <w:r w:rsidRPr="006774D3">
        <w:rPr>
          <w:color w:val="000000"/>
          <w:sz w:val="22"/>
          <w:szCs w:val="22"/>
        </w:rPr>
        <w:t xml:space="preserve"> CYP2D6 við þéttni svipaða þeirri sem hefur áhrif á virkni CYP3A4. Imatinib, í skammtinum 400 mg tvisvar sinnum á sólarhring, hafði hamlandi áhrif á CYP2D6 miðluð umbrot metoprolols með þeirri afleiðingu að gildi C</w:t>
      </w:r>
      <w:r w:rsidRPr="006774D3">
        <w:rPr>
          <w:color w:val="000000"/>
          <w:sz w:val="22"/>
          <w:szCs w:val="22"/>
          <w:vertAlign w:val="subscript"/>
        </w:rPr>
        <w:t>max</w:t>
      </w:r>
      <w:r w:rsidRPr="006774D3">
        <w:rPr>
          <w:color w:val="000000"/>
          <w:sz w:val="22"/>
          <w:szCs w:val="22"/>
        </w:rPr>
        <w:t xml:space="preserve"> og AUC fyrir metoprolol hækkuðu um u.þ.b. 23% (90%CI [1,16</w:t>
      </w:r>
      <w:r w:rsidRPr="006774D3">
        <w:rPr>
          <w:color w:val="000000"/>
          <w:sz w:val="22"/>
          <w:szCs w:val="22"/>
        </w:rPr>
        <w:noBreakHyphen/>
        <w:t>1,30]). Ekki virðist nauðsynlegt að breyta skömmtum þegar imatinib er notað samhliða hvarfefnum CYP2D6, en gæta skal varúðar þegar um er að ræða CYP2D6 hvarfefni með þröngt lækningalegt bil, t.d. metoprolol. Íhuga skal klínískt eftirlit með sjúklingum sem eru í meðferð með metoprololi.</w:t>
      </w:r>
    </w:p>
    <w:p w14:paraId="05B8B117" w14:textId="77777777" w:rsidR="006439AF" w:rsidRPr="006774D3" w:rsidRDefault="006439AF" w:rsidP="00F77C66">
      <w:pPr>
        <w:rPr>
          <w:color w:val="000000"/>
          <w:sz w:val="22"/>
          <w:szCs w:val="22"/>
        </w:rPr>
      </w:pPr>
    </w:p>
    <w:p w14:paraId="05B8B118" w14:textId="77777777" w:rsidR="006439AF" w:rsidRPr="006774D3" w:rsidRDefault="006439AF" w:rsidP="00F77C66">
      <w:pPr>
        <w:rPr>
          <w:color w:val="000000"/>
          <w:sz w:val="22"/>
          <w:szCs w:val="22"/>
        </w:rPr>
      </w:pPr>
      <w:r w:rsidRPr="006774D3">
        <w:rPr>
          <w:i/>
          <w:color w:val="000000"/>
          <w:sz w:val="22"/>
          <w:szCs w:val="22"/>
        </w:rPr>
        <w:t>In vitro</w:t>
      </w:r>
      <w:r w:rsidRPr="006774D3">
        <w:rPr>
          <w:color w:val="000000"/>
          <w:sz w:val="22"/>
          <w:szCs w:val="22"/>
        </w:rPr>
        <w:t xml:space="preserve"> hamlar Glivec O</w:t>
      </w:r>
      <w:r w:rsidRPr="006774D3">
        <w:rPr>
          <w:color w:val="000000"/>
          <w:sz w:val="22"/>
          <w:szCs w:val="22"/>
        </w:rPr>
        <w:noBreakHyphen/>
        <w:t xml:space="preserve">glucurontengingu paracetamols </w:t>
      </w:r>
      <w:r w:rsidR="006F58AA" w:rsidRPr="006774D3">
        <w:rPr>
          <w:color w:val="000000"/>
          <w:sz w:val="22"/>
          <w:szCs w:val="22"/>
        </w:rPr>
        <w:t xml:space="preserve">með </w:t>
      </w:r>
      <w:r w:rsidRPr="006774D3">
        <w:rPr>
          <w:color w:val="000000"/>
          <w:sz w:val="22"/>
          <w:szCs w:val="22"/>
        </w:rPr>
        <w:t>Ki gildi</w:t>
      </w:r>
      <w:r w:rsidR="006F58AA" w:rsidRPr="006774D3">
        <w:rPr>
          <w:color w:val="000000"/>
          <w:sz w:val="22"/>
          <w:szCs w:val="22"/>
        </w:rPr>
        <w:t xml:space="preserve"> sem er</w:t>
      </w:r>
      <w:r w:rsidRPr="006774D3">
        <w:rPr>
          <w:color w:val="000000"/>
          <w:sz w:val="22"/>
          <w:szCs w:val="22"/>
        </w:rPr>
        <w:t xml:space="preserve"> 58,5 míkrómól/l.</w:t>
      </w:r>
      <w:r w:rsidR="006F58AA" w:rsidRPr="006774D3">
        <w:rPr>
          <w:color w:val="000000"/>
          <w:sz w:val="22"/>
          <w:szCs w:val="22"/>
        </w:rPr>
        <w:t xml:space="preserve"> Þessi hömlun hefur ekki komið fram </w:t>
      </w:r>
      <w:r w:rsidR="006F58AA" w:rsidRPr="006774D3">
        <w:rPr>
          <w:i/>
          <w:color w:val="000000"/>
          <w:sz w:val="22"/>
          <w:szCs w:val="22"/>
        </w:rPr>
        <w:t>in vivo</w:t>
      </w:r>
      <w:r w:rsidR="006F58AA" w:rsidRPr="006774D3">
        <w:rPr>
          <w:color w:val="000000"/>
          <w:sz w:val="22"/>
          <w:szCs w:val="22"/>
        </w:rPr>
        <w:t xml:space="preserve"> eftir notkun Glivec 400 mg og paracetamols 1000 mg. Stærri skammtar af Glivec og paracetamoli hafa ekki verið rannsakaðir.</w:t>
      </w:r>
    </w:p>
    <w:p w14:paraId="05B8B119" w14:textId="77777777" w:rsidR="006439AF" w:rsidRPr="006774D3" w:rsidRDefault="006439AF" w:rsidP="00F77C66">
      <w:pPr>
        <w:rPr>
          <w:color w:val="000000"/>
          <w:sz w:val="22"/>
          <w:szCs w:val="22"/>
        </w:rPr>
      </w:pPr>
    </w:p>
    <w:p w14:paraId="05B8B11A" w14:textId="77777777" w:rsidR="006439AF" w:rsidRPr="006774D3" w:rsidRDefault="006439AF" w:rsidP="00F77C66">
      <w:pPr>
        <w:rPr>
          <w:color w:val="000000"/>
          <w:sz w:val="22"/>
          <w:szCs w:val="22"/>
        </w:rPr>
      </w:pPr>
      <w:r w:rsidRPr="006774D3">
        <w:rPr>
          <w:color w:val="000000"/>
          <w:sz w:val="22"/>
          <w:szCs w:val="22"/>
        </w:rPr>
        <w:t xml:space="preserve">Því skal gæta varúðar þegar </w:t>
      </w:r>
      <w:r w:rsidR="006F58AA" w:rsidRPr="006774D3">
        <w:rPr>
          <w:color w:val="000000"/>
          <w:sz w:val="22"/>
          <w:szCs w:val="22"/>
        </w:rPr>
        <w:t xml:space="preserve">stórir skammtar af </w:t>
      </w:r>
      <w:r w:rsidRPr="006774D3">
        <w:rPr>
          <w:color w:val="000000"/>
          <w:sz w:val="22"/>
          <w:szCs w:val="22"/>
        </w:rPr>
        <w:t xml:space="preserve">Glivec </w:t>
      </w:r>
      <w:r w:rsidR="006F58AA" w:rsidRPr="006774D3">
        <w:rPr>
          <w:color w:val="000000"/>
          <w:sz w:val="22"/>
          <w:szCs w:val="22"/>
        </w:rPr>
        <w:t xml:space="preserve">og </w:t>
      </w:r>
      <w:r w:rsidRPr="006774D3">
        <w:rPr>
          <w:color w:val="000000"/>
          <w:sz w:val="22"/>
          <w:szCs w:val="22"/>
        </w:rPr>
        <w:t>paracetamoli</w:t>
      </w:r>
      <w:r w:rsidR="006F58AA" w:rsidRPr="006774D3">
        <w:rPr>
          <w:color w:val="000000"/>
          <w:sz w:val="22"/>
          <w:szCs w:val="22"/>
        </w:rPr>
        <w:t xml:space="preserve"> eru notaðir samhliða</w:t>
      </w:r>
      <w:r w:rsidRPr="006774D3">
        <w:rPr>
          <w:color w:val="000000"/>
          <w:sz w:val="22"/>
          <w:szCs w:val="22"/>
        </w:rPr>
        <w:t>.</w:t>
      </w:r>
    </w:p>
    <w:p w14:paraId="05B8B11B" w14:textId="77777777" w:rsidR="006439AF" w:rsidRPr="006774D3" w:rsidRDefault="006439AF" w:rsidP="00F77C66">
      <w:pPr>
        <w:rPr>
          <w:color w:val="000000"/>
          <w:sz w:val="22"/>
          <w:szCs w:val="22"/>
        </w:rPr>
      </w:pPr>
    </w:p>
    <w:p w14:paraId="05B8B11C" w14:textId="77777777" w:rsidR="005F57F3" w:rsidRPr="006774D3" w:rsidRDefault="006439AF" w:rsidP="00F77C66">
      <w:pPr>
        <w:rPr>
          <w:color w:val="000000"/>
          <w:sz w:val="22"/>
          <w:szCs w:val="22"/>
        </w:rPr>
      </w:pPr>
      <w:r w:rsidRPr="006774D3">
        <w:rPr>
          <w:color w:val="000000"/>
          <w:sz w:val="22"/>
          <w:szCs w:val="22"/>
        </w:rPr>
        <w:t xml:space="preserve">Hjá </w:t>
      </w:r>
      <w:r w:rsidR="005F57F3" w:rsidRPr="006774D3">
        <w:rPr>
          <w:color w:val="000000"/>
          <w:sz w:val="22"/>
          <w:szCs w:val="22"/>
        </w:rPr>
        <w:t>sjúklingum sem gengist hafa undir skjaldkirtilsbrottnám og eru í meðferð með levotyroxini má vera að útsetning í plasma fyrir levotyroxini minnki við samhliða meðferð með Glivec (sjá kafla 4.4). Því er mælt með að varúðar sé gætt. Hins vegar er orsök þessarar milliverkunar ekki enn þekkt.</w:t>
      </w:r>
    </w:p>
    <w:p w14:paraId="05B8B11D" w14:textId="77777777" w:rsidR="005F57F3" w:rsidRPr="006774D3" w:rsidRDefault="005F57F3" w:rsidP="00F77C66">
      <w:pPr>
        <w:rPr>
          <w:color w:val="000000"/>
          <w:sz w:val="22"/>
          <w:szCs w:val="22"/>
        </w:rPr>
      </w:pPr>
    </w:p>
    <w:p w14:paraId="05B8B11E" w14:textId="77777777" w:rsidR="005F57F3" w:rsidRPr="006774D3" w:rsidRDefault="005F57F3" w:rsidP="00F77C66">
      <w:pPr>
        <w:rPr>
          <w:color w:val="000000"/>
          <w:sz w:val="22"/>
          <w:szCs w:val="22"/>
        </w:rPr>
      </w:pPr>
      <w:r w:rsidRPr="006774D3">
        <w:rPr>
          <w:color w:val="000000"/>
          <w:sz w:val="22"/>
          <w:szCs w:val="22"/>
        </w:rPr>
        <w:t>Klínísk reynsla er af samhliða meðferð með Glivec og krabbameinslyfjum hjá sjúklingum með Ph+ ALL (sjá kafla 5.1) en milliverkanir imatinibs og krabbameinslyfja eru ekki vel þekktar. Vera má að aukaverkanir imatinibs, þ.e. eiturverkanir á lifur, mergbæling og aðrar aukaverkanir, aukist og greint hefur verið frá því að samhliða notkun með L</w:t>
      </w:r>
      <w:r w:rsidRPr="006774D3">
        <w:rPr>
          <w:color w:val="000000"/>
          <w:sz w:val="22"/>
          <w:szCs w:val="22"/>
        </w:rPr>
        <w:noBreakHyphen/>
        <w:t>asparaginasa gæti tengst auknum eiturverkunum á lifur (sjá kafla 4.8). Samhliða notkun Glivec með öðrum lyfjum þarfnast því sérstakrar varúðar.</w:t>
      </w:r>
    </w:p>
    <w:p w14:paraId="05B8B11F" w14:textId="77777777" w:rsidR="005F57F3" w:rsidRPr="006774D3" w:rsidRDefault="005F57F3" w:rsidP="00F77C66">
      <w:pPr>
        <w:rPr>
          <w:color w:val="000000"/>
          <w:sz w:val="22"/>
          <w:szCs w:val="22"/>
        </w:rPr>
      </w:pPr>
    </w:p>
    <w:p w14:paraId="05B8B120" w14:textId="77777777" w:rsidR="005F57F3" w:rsidRPr="006774D3" w:rsidRDefault="005F57F3" w:rsidP="00F77C66">
      <w:pPr>
        <w:keepNext/>
        <w:rPr>
          <w:b/>
          <w:color w:val="000000"/>
          <w:sz w:val="22"/>
          <w:szCs w:val="22"/>
        </w:rPr>
      </w:pPr>
      <w:r w:rsidRPr="006774D3">
        <w:rPr>
          <w:b/>
          <w:color w:val="000000"/>
          <w:sz w:val="22"/>
          <w:szCs w:val="22"/>
        </w:rPr>
        <w:t>4.6</w:t>
      </w:r>
      <w:r w:rsidRPr="006774D3">
        <w:rPr>
          <w:b/>
          <w:color w:val="000000"/>
          <w:sz w:val="22"/>
          <w:szCs w:val="22"/>
        </w:rPr>
        <w:tab/>
      </w:r>
      <w:r w:rsidR="00886CE5" w:rsidRPr="006774D3">
        <w:rPr>
          <w:b/>
          <w:color w:val="000000"/>
          <w:sz w:val="22"/>
          <w:szCs w:val="22"/>
        </w:rPr>
        <w:t>Frjósemi, m</w:t>
      </w:r>
      <w:r w:rsidRPr="006774D3">
        <w:rPr>
          <w:b/>
          <w:color w:val="000000"/>
          <w:sz w:val="22"/>
          <w:szCs w:val="22"/>
        </w:rPr>
        <w:t>eðganga og brjóstagjöf</w:t>
      </w:r>
    </w:p>
    <w:p w14:paraId="05B8B121" w14:textId="77777777" w:rsidR="005F57F3" w:rsidRPr="006774D3" w:rsidRDefault="005F57F3" w:rsidP="00F77C66">
      <w:pPr>
        <w:pStyle w:val="Authors"/>
        <w:spacing w:before="0"/>
        <w:rPr>
          <w:rFonts w:ascii="Times New Roman" w:hAnsi="Times New Roman"/>
          <w:bCs/>
          <w:color w:val="000000"/>
          <w:szCs w:val="22"/>
          <w:lang w:val="is-IS"/>
        </w:rPr>
      </w:pPr>
    </w:p>
    <w:p w14:paraId="05B8B122" w14:textId="77777777" w:rsidR="00524D17" w:rsidRPr="006774D3" w:rsidRDefault="00524D17" w:rsidP="00F77C66">
      <w:pPr>
        <w:pStyle w:val="Authors"/>
        <w:spacing w:before="0"/>
        <w:rPr>
          <w:rFonts w:ascii="Times New Roman" w:hAnsi="Times New Roman"/>
          <w:bCs/>
          <w:color w:val="000000"/>
          <w:szCs w:val="22"/>
          <w:u w:val="single"/>
          <w:lang w:val="is-IS"/>
        </w:rPr>
      </w:pPr>
      <w:r w:rsidRPr="006774D3">
        <w:rPr>
          <w:rFonts w:ascii="Times New Roman" w:hAnsi="Times New Roman"/>
          <w:bCs/>
          <w:color w:val="000000"/>
          <w:szCs w:val="22"/>
          <w:u w:val="single"/>
          <w:lang w:val="is-IS"/>
        </w:rPr>
        <w:t>Konur á barneignaraldri</w:t>
      </w:r>
    </w:p>
    <w:p w14:paraId="05B8B123" w14:textId="77777777" w:rsidR="00524D17" w:rsidRPr="006774D3" w:rsidRDefault="00524D17" w:rsidP="00F77C66">
      <w:pPr>
        <w:rPr>
          <w:color w:val="000000"/>
          <w:sz w:val="22"/>
          <w:szCs w:val="22"/>
        </w:rPr>
      </w:pPr>
      <w:r w:rsidRPr="006774D3">
        <w:rPr>
          <w:color w:val="000000"/>
          <w:sz w:val="22"/>
          <w:szCs w:val="22"/>
        </w:rPr>
        <w:t xml:space="preserve">Ráðleggja </w:t>
      </w:r>
      <w:r w:rsidR="00BF7D22" w:rsidRPr="006774D3">
        <w:rPr>
          <w:color w:val="000000"/>
          <w:sz w:val="22"/>
          <w:szCs w:val="22"/>
        </w:rPr>
        <w:t>verður</w:t>
      </w:r>
      <w:r w:rsidRPr="006774D3">
        <w:rPr>
          <w:color w:val="000000"/>
          <w:sz w:val="22"/>
          <w:szCs w:val="22"/>
        </w:rPr>
        <w:t xml:space="preserve"> konum á barneignaraldri að nota örugga getnaðarvörn meðan á meðferð stendur</w:t>
      </w:r>
      <w:r w:rsidR="00127078" w:rsidRPr="006774D3">
        <w:rPr>
          <w:color w:val="000000"/>
          <w:sz w:val="22"/>
          <w:szCs w:val="22"/>
        </w:rPr>
        <w:t xml:space="preserve"> og í að minnsta kosti 15 daga eftir að meðferð með Glivec hefur verið hætt</w:t>
      </w:r>
      <w:r w:rsidRPr="006774D3">
        <w:rPr>
          <w:color w:val="000000"/>
          <w:sz w:val="22"/>
          <w:szCs w:val="22"/>
        </w:rPr>
        <w:t>.</w:t>
      </w:r>
    </w:p>
    <w:p w14:paraId="05B8B124" w14:textId="77777777" w:rsidR="00524D17" w:rsidRPr="006774D3" w:rsidRDefault="00524D17" w:rsidP="00F77C66">
      <w:pPr>
        <w:pStyle w:val="Authors"/>
        <w:keepNext w:val="0"/>
        <w:spacing w:before="0"/>
        <w:rPr>
          <w:rFonts w:ascii="Times New Roman" w:hAnsi="Times New Roman"/>
          <w:bCs/>
          <w:color w:val="000000"/>
          <w:szCs w:val="22"/>
          <w:lang w:val="is-IS"/>
        </w:rPr>
      </w:pPr>
    </w:p>
    <w:p w14:paraId="05B8B125"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u w:val="single"/>
          <w:lang w:val="is-IS"/>
        </w:rPr>
      </w:pPr>
      <w:r w:rsidRPr="006774D3">
        <w:rPr>
          <w:color w:val="000000"/>
          <w:sz w:val="22"/>
          <w:szCs w:val="22"/>
          <w:u w:val="single"/>
          <w:lang w:val="is-IS"/>
        </w:rPr>
        <w:t>Meðganga</w:t>
      </w:r>
    </w:p>
    <w:p w14:paraId="05B8B126" w14:textId="77777777" w:rsidR="007A26EA" w:rsidRPr="006774D3" w:rsidRDefault="007A26EA" w:rsidP="00F77C66">
      <w:pPr>
        <w:rPr>
          <w:color w:val="000000"/>
          <w:sz w:val="22"/>
          <w:szCs w:val="22"/>
        </w:rPr>
      </w:pPr>
      <w:r w:rsidRPr="006774D3">
        <w:rPr>
          <w:color w:val="000000"/>
          <w:sz w:val="22"/>
          <w:szCs w:val="22"/>
        </w:rPr>
        <w:t>Takmarkaðar upplýsingar liggja fyrir</w:t>
      </w:r>
      <w:r w:rsidR="005F57F3" w:rsidRPr="006774D3">
        <w:rPr>
          <w:color w:val="000000"/>
          <w:sz w:val="22"/>
          <w:szCs w:val="22"/>
        </w:rPr>
        <w:t xml:space="preserve"> um notkun imatinibs á meðgöngu. </w:t>
      </w:r>
      <w:r w:rsidR="00A90235" w:rsidRPr="006774D3">
        <w:rPr>
          <w:color w:val="000000"/>
          <w:sz w:val="22"/>
          <w:szCs w:val="22"/>
        </w:rPr>
        <w:t xml:space="preserve">Eftir markaðssetningu lyfsins hefur verið greint frá fósturlátum án þekktrar ástæðu (spontaneous abortion) og meðfæddum vansköpunum hjá konum á meðferð með Glivec. </w:t>
      </w:r>
      <w:r w:rsidR="00553DF5" w:rsidRPr="006774D3">
        <w:rPr>
          <w:color w:val="000000"/>
          <w:sz w:val="22"/>
          <w:szCs w:val="22"/>
        </w:rPr>
        <w:t>Dýrar</w:t>
      </w:r>
      <w:r w:rsidR="005F57F3" w:rsidRPr="006774D3">
        <w:rPr>
          <w:color w:val="000000"/>
          <w:sz w:val="22"/>
          <w:szCs w:val="22"/>
        </w:rPr>
        <w:t xml:space="preserve">annsóknir hafa hins vegar sýnt </w:t>
      </w:r>
      <w:r w:rsidR="00553DF5" w:rsidRPr="006774D3">
        <w:rPr>
          <w:color w:val="000000"/>
          <w:sz w:val="22"/>
          <w:szCs w:val="22"/>
        </w:rPr>
        <w:t>eiturverkanir á æxlun</w:t>
      </w:r>
      <w:r w:rsidR="005F57F3" w:rsidRPr="006774D3">
        <w:rPr>
          <w:color w:val="000000"/>
          <w:sz w:val="22"/>
          <w:szCs w:val="22"/>
        </w:rPr>
        <w:t xml:space="preserve"> (sjá kafla 5.3) og hugsanleg áhætta fyrir fóstur er ekki þekkt. Ekki </w:t>
      </w:r>
      <w:r w:rsidR="00553DF5" w:rsidRPr="006774D3">
        <w:rPr>
          <w:color w:val="000000"/>
          <w:sz w:val="22"/>
          <w:szCs w:val="22"/>
        </w:rPr>
        <w:t xml:space="preserve">má </w:t>
      </w:r>
      <w:r w:rsidR="005F57F3" w:rsidRPr="006774D3">
        <w:rPr>
          <w:color w:val="000000"/>
          <w:sz w:val="22"/>
          <w:szCs w:val="22"/>
        </w:rPr>
        <w:t xml:space="preserve">nota Glivec </w:t>
      </w:r>
      <w:r w:rsidR="00553DF5" w:rsidRPr="006774D3">
        <w:rPr>
          <w:color w:val="000000"/>
          <w:sz w:val="22"/>
          <w:szCs w:val="22"/>
        </w:rPr>
        <w:t>á meðgöngu</w:t>
      </w:r>
      <w:r w:rsidR="005F57F3" w:rsidRPr="006774D3">
        <w:rPr>
          <w:color w:val="000000"/>
          <w:sz w:val="22"/>
          <w:szCs w:val="22"/>
        </w:rPr>
        <w:t xml:space="preserve"> nema brýna nauðsyn beri til. Ef lyfið er notað handa þunguðum konum verður að upplýsa þær um hugsanlega áhættu fyrir fóstrið.</w:t>
      </w:r>
    </w:p>
    <w:p w14:paraId="05B8B127" w14:textId="77777777" w:rsidR="00553DF5" w:rsidRPr="006774D3" w:rsidRDefault="00553DF5" w:rsidP="00F77C66">
      <w:pPr>
        <w:rPr>
          <w:color w:val="000000"/>
          <w:sz w:val="22"/>
          <w:szCs w:val="22"/>
        </w:rPr>
      </w:pPr>
    </w:p>
    <w:p w14:paraId="05B8B128"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Brjóstagjöf</w:t>
      </w:r>
    </w:p>
    <w:p w14:paraId="05B8B129" w14:textId="05C15FD8" w:rsidR="005F57F3" w:rsidRPr="006774D3" w:rsidRDefault="00640CC0" w:rsidP="00F77C66">
      <w:pPr>
        <w:rPr>
          <w:color w:val="000000"/>
          <w:sz w:val="22"/>
          <w:szCs w:val="22"/>
        </w:rPr>
      </w:pPr>
      <w:r w:rsidRPr="006774D3">
        <w:rPr>
          <w:color w:val="000000"/>
          <w:sz w:val="22"/>
          <w:szCs w:val="22"/>
        </w:rPr>
        <w:t>Takmarkaðar upplýsingar liggja fyrir um hvort imatinib berst í brjóstamjólk. Rannsóknir hjá tveimur konum með barn á brjósti sýndu að b</w:t>
      </w:r>
      <w:r w:rsidR="007B377D" w:rsidRPr="006774D3">
        <w:rPr>
          <w:color w:val="000000"/>
          <w:sz w:val="22"/>
          <w:szCs w:val="22"/>
        </w:rPr>
        <w:t>æði imatinib og virkt</w:t>
      </w:r>
      <w:r w:rsidR="003E7297" w:rsidRPr="006774D3">
        <w:rPr>
          <w:color w:val="000000"/>
          <w:sz w:val="22"/>
          <w:szCs w:val="22"/>
        </w:rPr>
        <w:t xml:space="preserve"> umbrotsefni þess geta borist í brjóstamjólk. </w:t>
      </w:r>
      <w:r w:rsidR="003E7297" w:rsidRPr="006774D3">
        <w:rPr>
          <w:color w:val="000000"/>
          <w:sz w:val="22"/>
          <w:szCs w:val="22"/>
        </w:rPr>
        <w:lastRenderedPageBreak/>
        <w:t>Reiknað hlutfall milli mjólkur og plasma</w:t>
      </w:r>
      <w:r w:rsidRPr="006774D3">
        <w:rPr>
          <w:color w:val="000000"/>
          <w:sz w:val="22"/>
          <w:szCs w:val="22"/>
        </w:rPr>
        <w:t>, rannsakað hjá einum sjúklingi,</w:t>
      </w:r>
      <w:r w:rsidR="003E7297" w:rsidRPr="006774D3">
        <w:rPr>
          <w:color w:val="000000"/>
          <w:sz w:val="22"/>
          <w:szCs w:val="22"/>
        </w:rPr>
        <w:t xml:space="preserve"> </w:t>
      </w:r>
      <w:r w:rsidR="007B377D" w:rsidRPr="006774D3">
        <w:rPr>
          <w:color w:val="000000"/>
          <w:sz w:val="22"/>
          <w:szCs w:val="22"/>
        </w:rPr>
        <w:t>var</w:t>
      </w:r>
      <w:r w:rsidR="003E7297" w:rsidRPr="006774D3">
        <w:rPr>
          <w:color w:val="000000"/>
          <w:sz w:val="22"/>
          <w:szCs w:val="22"/>
        </w:rPr>
        <w:t xml:space="preserve"> 0,5 fyrir imatinib og 0,9 fyrir umbrotsefnið, sem bendir til meiri dreifingar umbrotsefnisins </w:t>
      </w:r>
      <w:r w:rsidR="007B377D" w:rsidRPr="006774D3">
        <w:rPr>
          <w:color w:val="000000"/>
          <w:sz w:val="22"/>
          <w:szCs w:val="22"/>
        </w:rPr>
        <w:t xml:space="preserve">yfir </w:t>
      </w:r>
      <w:r w:rsidR="003E7297" w:rsidRPr="006774D3">
        <w:rPr>
          <w:color w:val="000000"/>
          <w:sz w:val="22"/>
          <w:szCs w:val="22"/>
        </w:rPr>
        <w:t xml:space="preserve">í mjólk. Þegar tekið er tillit til samanlagðrar þéttni imatinibs og umbrotsefnisins og hámarks </w:t>
      </w:r>
      <w:r w:rsidR="00F91CA8" w:rsidRPr="006774D3">
        <w:rPr>
          <w:color w:val="000000"/>
          <w:sz w:val="22"/>
          <w:szCs w:val="22"/>
        </w:rPr>
        <w:t xml:space="preserve">mjólkurneyslu ungbarnsins </w:t>
      </w:r>
      <w:r w:rsidR="007B377D" w:rsidRPr="006774D3">
        <w:rPr>
          <w:color w:val="000000"/>
          <w:sz w:val="22"/>
          <w:szCs w:val="22"/>
        </w:rPr>
        <w:t>má gera ráð fyrir að</w:t>
      </w:r>
      <w:r w:rsidR="00F91CA8" w:rsidRPr="006774D3">
        <w:rPr>
          <w:color w:val="000000"/>
          <w:sz w:val="22"/>
          <w:szCs w:val="22"/>
        </w:rPr>
        <w:t xml:space="preserve"> heildarútsetning</w:t>
      </w:r>
      <w:r w:rsidR="007B377D" w:rsidRPr="006774D3">
        <w:rPr>
          <w:color w:val="000000"/>
          <w:sz w:val="22"/>
          <w:szCs w:val="22"/>
        </w:rPr>
        <w:t xml:space="preserve"> sé</w:t>
      </w:r>
      <w:r w:rsidR="00F91CA8" w:rsidRPr="006774D3">
        <w:rPr>
          <w:color w:val="000000"/>
          <w:sz w:val="22"/>
          <w:szCs w:val="22"/>
        </w:rPr>
        <w:t xml:space="preserve"> </w:t>
      </w:r>
      <w:r w:rsidR="007B377D" w:rsidRPr="006774D3">
        <w:rPr>
          <w:color w:val="000000"/>
          <w:sz w:val="22"/>
          <w:szCs w:val="22"/>
        </w:rPr>
        <w:t>lítil</w:t>
      </w:r>
      <w:r w:rsidR="00F91CA8" w:rsidRPr="006774D3">
        <w:rPr>
          <w:color w:val="000000"/>
          <w:sz w:val="22"/>
          <w:szCs w:val="22"/>
        </w:rPr>
        <w:t xml:space="preserve"> (~10% af ráðlögðum skammti). </w:t>
      </w:r>
      <w:r w:rsidR="007B377D" w:rsidRPr="006774D3">
        <w:rPr>
          <w:color w:val="000000"/>
          <w:sz w:val="22"/>
          <w:szCs w:val="22"/>
        </w:rPr>
        <w:t>Hins vegar, í ljósi þess að áhrif útsetningar fyrir litlum skammti af imatinibi á ungbarnið eru</w:t>
      </w:r>
      <w:r w:rsidR="00F91CA8" w:rsidRPr="006774D3">
        <w:rPr>
          <w:color w:val="000000"/>
          <w:sz w:val="22"/>
          <w:szCs w:val="22"/>
        </w:rPr>
        <w:t xml:space="preserve"> ekki þekkt, eiga konur ekki að hafa barn á brjósti</w:t>
      </w:r>
      <w:r w:rsidR="00127078" w:rsidRPr="006774D3">
        <w:rPr>
          <w:color w:val="000000"/>
          <w:sz w:val="22"/>
          <w:szCs w:val="22"/>
        </w:rPr>
        <w:t xml:space="preserve"> meðan á meðferðinni stendur og í að minnsta kosti 15 daga eftir að meðferð með Glivec hefur verið hætt</w:t>
      </w:r>
      <w:r w:rsidR="00F91CA8" w:rsidRPr="006774D3">
        <w:rPr>
          <w:color w:val="000000"/>
          <w:sz w:val="22"/>
          <w:szCs w:val="22"/>
        </w:rPr>
        <w:t>.</w:t>
      </w:r>
    </w:p>
    <w:p w14:paraId="05B8B12A" w14:textId="77777777" w:rsidR="00553DF5" w:rsidRPr="006774D3" w:rsidRDefault="00553DF5" w:rsidP="00F77C66">
      <w:pPr>
        <w:rPr>
          <w:color w:val="000000"/>
          <w:sz w:val="22"/>
          <w:szCs w:val="22"/>
        </w:rPr>
      </w:pPr>
    </w:p>
    <w:p w14:paraId="05B8B12B" w14:textId="77777777" w:rsidR="00553DF5" w:rsidRPr="006774D3" w:rsidRDefault="00553DF5" w:rsidP="00F77C66">
      <w:pPr>
        <w:keepNext/>
        <w:rPr>
          <w:color w:val="000000"/>
          <w:sz w:val="22"/>
          <w:szCs w:val="22"/>
          <w:u w:val="single"/>
        </w:rPr>
      </w:pPr>
      <w:r w:rsidRPr="006774D3">
        <w:rPr>
          <w:color w:val="000000"/>
          <w:sz w:val="22"/>
          <w:szCs w:val="22"/>
          <w:u w:val="single"/>
        </w:rPr>
        <w:t>Frjósemi</w:t>
      </w:r>
    </w:p>
    <w:p w14:paraId="05B8B12C" w14:textId="77777777" w:rsidR="00553DF5" w:rsidRPr="006774D3" w:rsidRDefault="007A26EA" w:rsidP="00F77C66">
      <w:pPr>
        <w:rPr>
          <w:color w:val="000000"/>
          <w:sz w:val="22"/>
          <w:szCs w:val="22"/>
        </w:rPr>
      </w:pPr>
      <w:r w:rsidRPr="006774D3">
        <w:rPr>
          <w:color w:val="000000"/>
          <w:sz w:val="22"/>
          <w:szCs w:val="22"/>
        </w:rPr>
        <w:t>Engin áhrif á frjósemi karlkyns og kvenkyns rotta komu fram í forklínískum rannsóknum</w:t>
      </w:r>
      <w:r w:rsidR="00127078" w:rsidRPr="006774D3">
        <w:rPr>
          <w:color w:val="000000"/>
          <w:sz w:val="22"/>
          <w:szCs w:val="22"/>
        </w:rPr>
        <w:t xml:space="preserve"> </w:t>
      </w:r>
      <w:r w:rsidR="001E723B" w:rsidRPr="006774D3">
        <w:rPr>
          <w:color w:val="000000"/>
          <w:sz w:val="22"/>
          <w:szCs w:val="22"/>
        </w:rPr>
        <w:t xml:space="preserve">þrátt fyrir að áhrif á </w:t>
      </w:r>
      <w:r w:rsidR="00946B1B" w:rsidRPr="006774D3">
        <w:rPr>
          <w:color w:val="000000"/>
          <w:sz w:val="22"/>
          <w:szCs w:val="22"/>
        </w:rPr>
        <w:t>þætti æxlunar (reproductive parameters) kæmu fram</w:t>
      </w:r>
      <w:r w:rsidRPr="006774D3">
        <w:rPr>
          <w:color w:val="000000"/>
          <w:sz w:val="22"/>
          <w:szCs w:val="22"/>
        </w:rPr>
        <w:t xml:space="preserve"> (sjá kafla 5.3). </w:t>
      </w:r>
      <w:r w:rsidR="00553DF5" w:rsidRPr="006774D3">
        <w:rPr>
          <w:color w:val="000000"/>
          <w:sz w:val="22"/>
          <w:szCs w:val="22"/>
        </w:rPr>
        <w:t xml:space="preserve">Rannsóknir á </w:t>
      </w:r>
      <w:r w:rsidRPr="006774D3">
        <w:rPr>
          <w:color w:val="000000"/>
          <w:sz w:val="22"/>
          <w:szCs w:val="22"/>
        </w:rPr>
        <w:t>sjúklingum</w:t>
      </w:r>
      <w:r w:rsidR="00553DF5" w:rsidRPr="006774D3">
        <w:rPr>
          <w:color w:val="000000"/>
          <w:sz w:val="22"/>
          <w:szCs w:val="22"/>
        </w:rPr>
        <w:t xml:space="preserve"> sem fá meðferð með Glivec og áhr</w:t>
      </w:r>
      <w:r w:rsidRPr="006774D3">
        <w:rPr>
          <w:color w:val="000000"/>
          <w:sz w:val="22"/>
          <w:szCs w:val="22"/>
        </w:rPr>
        <w:t>ifum þess á frjósemi þeirra og kyn</w:t>
      </w:r>
      <w:r w:rsidR="00553DF5" w:rsidRPr="006774D3">
        <w:rPr>
          <w:color w:val="000000"/>
          <w:sz w:val="22"/>
          <w:szCs w:val="22"/>
        </w:rPr>
        <w:t xml:space="preserve">frumumyndun hafa ekki verið gerðar. </w:t>
      </w:r>
      <w:r w:rsidRPr="006774D3">
        <w:rPr>
          <w:color w:val="000000"/>
          <w:sz w:val="22"/>
          <w:szCs w:val="22"/>
        </w:rPr>
        <w:t>Sjúklingar</w:t>
      </w:r>
      <w:r w:rsidR="00553DF5" w:rsidRPr="006774D3">
        <w:rPr>
          <w:color w:val="000000"/>
          <w:sz w:val="22"/>
          <w:szCs w:val="22"/>
        </w:rPr>
        <w:t>, sem er umhugað um frjósemi sína meðan á meðferð með Glivec stendur, ættu að ráðfæra sig við lækninn</w:t>
      </w:r>
      <w:r w:rsidR="001806D0" w:rsidRPr="006774D3">
        <w:rPr>
          <w:color w:val="000000"/>
          <w:sz w:val="22"/>
          <w:szCs w:val="22"/>
        </w:rPr>
        <w:t>.</w:t>
      </w:r>
    </w:p>
    <w:p w14:paraId="05B8B12D" w14:textId="77777777" w:rsidR="005F57F3" w:rsidRPr="006774D3" w:rsidRDefault="005F57F3" w:rsidP="00F77C66">
      <w:pPr>
        <w:rPr>
          <w:color w:val="000000"/>
          <w:sz w:val="22"/>
          <w:szCs w:val="22"/>
        </w:rPr>
      </w:pPr>
    </w:p>
    <w:p w14:paraId="05B8B12E" w14:textId="77777777" w:rsidR="005F57F3" w:rsidRPr="006774D3" w:rsidRDefault="005F57F3" w:rsidP="00F77C66">
      <w:pPr>
        <w:keepNext/>
        <w:rPr>
          <w:color w:val="000000"/>
          <w:sz w:val="22"/>
          <w:szCs w:val="22"/>
        </w:rPr>
      </w:pPr>
      <w:r w:rsidRPr="006774D3">
        <w:rPr>
          <w:b/>
          <w:color w:val="000000"/>
          <w:sz w:val="22"/>
          <w:szCs w:val="22"/>
        </w:rPr>
        <w:t>4.7</w:t>
      </w:r>
      <w:r w:rsidRPr="006774D3">
        <w:rPr>
          <w:b/>
          <w:color w:val="000000"/>
          <w:sz w:val="22"/>
          <w:szCs w:val="22"/>
        </w:rPr>
        <w:tab/>
        <w:t>Áhrif á hæfni til aksturs og notkunar véla</w:t>
      </w:r>
    </w:p>
    <w:p w14:paraId="05B8B12F" w14:textId="77777777" w:rsidR="005F57F3" w:rsidRPr="006774D3" w:rsidRDefault="005F57F3" w:rsidP="00F77C66">
      <w:pPr>
        <w:keepNext/>
        <w:rPr>
          <w:color w:val="000000"/>
          <w:sz w:val="22"/>
          <w:szCs w:val="22"/>
        </w:rPr>
      </w:pPr>
    </w:p>
    <w:p w14:paraId="05B8B130" w14:textId="77777777" w:rsidR="005F57F3" w:rsidRPr="006774D3" w:rsidRDefault="001806D0"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U</w:t>
      </w:r>
      <w:r w:rsidR="005F57F3" w:rsidRPr="006774D3">
        <w:rPr>
          <w:rFonts w:ascii="Times New Roman" w:hAnsi="Times New Roman"/>
          <w:color w:val="000000"/>
          <w:szCs w:val="22"/>
          <w:lang w:val="is-IS"/>
        </w:rPr>
        <w:t>pplýsa</w:t>
      </w:r>
      <w:r w:rsidRPr="006774D3">
        <w:rPr>
          <w:rFonts w:ascii="Times New Roman" w:hAnsi="Times New Roman"/>
          <w:color w:val="000000"/>
          <w:szCs w:val="22"/>
          <w:lang w:val="is-IS"/>
        </w:rPr>
        <w:t xml:space="preserve"> skal</w:t>
      </w:r>
      <w:r w:rsidR="005F57F3" w:rsidRPr="006774D3">
        <w:rPr>
          <w:rFonts w:ascii="Times New Roman" w:hAnsi="Times New Roman"/>
          <w:color w:val="000000"/>
          <w:szCs w:val="22"/>
          <w:lang w:val="is-IS"/>
        </w:rPr>
        <w:t xml:space="preserve"> sjúklinga um að þeir gætu fengið aukaverkanir eins og sundl</w:t>
      </w:r>
      <w:r w:rsidR="00553DF5" w:rsidRPr="006774D3">
        <w:rPr>
          <w:rFonts w:ascii="Times New Roman" w:hAnsi="Times New Roman"/>
          <w:color w:val="000000"/>
          <w:szCs w:val="22"/>
          <w:lang w:val="is-IS"/>
        </w:rPr>
        <w:t>,</w:t>
      </w:r>
      <w:r w:rsidR="005F57F3" w:rsidRPr="006774D3">
        <w:rPr>
          <w:rFonts w:ascii="Times New Roman" w:hAnsi="Times New Roman"/>
          <w:color w:val="000000"/>
          <w:szCs w:val="22"/>
          <w:lang w:val="is-IS"/>
        </w:rPr>
        <w:t xml:space="preserve"> þokusýn</w:t>
      </w:r>
      <w:r w:rsidR="00553DF5" w:rsidRPr="006774D3">
        <w:rPr>
          <w:rFonts w:ascii="Times New Roman" w:hAnsi="Times New Roman"/>
          <w:color w:val="000000"/>
          <w:szCs w:val="22"/>
          <w:lang w:val="is-IS"/>
        </w:rPr>
        <w:t xml:space="preserve"> eða svefnhöfga</w:t>
      </w:r>
      <w:r w:rsidR="005F57F3" w:rsidRPr="006774D3">
        <w:rPr>
          <w:rFonts w:ascii="Times New Roman" w:hAnsi="Times New Roman"/>
          <w:color w:val="000000"/>
          <w:szCs w:val="22"/>
          <w:lang w:val="is-IS"/>
        </w:rPr>
        <w:t xml:space="preserve"> meðan á meðferð með imatinibi stendur. Því skal mæla með að varúðar sé gætt við akstur og notkun véla.</w:t>
      </w:r>
    </w:p>
    <w:p w14:paraId="05B8B131" w14:textId="77777777" w:rsidR="005F57F3" w:rsidRPr="006774D3" w:rsidRDefault="005F57F3" w:rsidP="00F77C66">
      <w:pPr>
        <w:rPr>
          <w:color w:val="000000"/>
          <w:sz w:val="22"/>
          <w:szCs w:val="22"/>
        </w:rPr>
      </w:pPr>
    </w:p>
    <w:p w14:paraId="05B8B132" w14:textId="77777777" w:rsidR="005F57F3" w:rsidRPr="006774D3" w:rsidRDefault="005F57F3" w:rsidP="00F77C66">
      <w:pPr>
        <w:keepNext/>
        <w:rPr>
          <w:color w:val="000000"/>
          <w:sz w:val="22"/>
          <w:szCs w:val="22"/>
        </w:rPr>
      </w:pPr>
      <w:r w:rsidRPr="006774D3">
        <w:rPr>
          <w:b/>
          <w:color w:val="000000"/>
          <w:sz w:val="22"/>
          <w:szCs w:val="22"/>
        </w:rPr>
        <w:t>4.8</w:t>
      </w:r>
      <w:r w:rsidRPr="006774D3">
        <w:rPr>
          <w:b/>
          <w:color w:val="000000"/>
          <w:sz w:val="22"/>
          <w:szCs w:val="22"/>
        </w:rPr>
        <w:tab/>
        <w:t>Aukaverkanir</w:t>
      </w:r>
    </w:p>
    <w:p w14:paraId="05B8B133" w14:textId="77777777" w:rsidR="005F57F3" w:rsidRPr="006774D3" w:rsidRDefault="005F57F3" w:rsidP="00F77C66">
      <w:pPr>
        <w:keepNext/>
        <w:rPr>
          <w:color w:val="000000"/>
          <w:sz w:val="22"/>
          <w:szCs w:val="22"/>
        </w:rPr>
      </w:pPr>
    </w:p>
    <w:p w14:paraId="05B8B134" w14:textId="77777777" w:rsidR="005F57F3" w:rsidRPr="006774D3" w:rsidRDefault="005F57F3" w:rsidP="00B739D9">
      <w:pPr>
        <w:pStyle w:val="BodyText2"/>
        <w:ind w:right="0"/>
        <w:rPr>
          <w:color w:val="000000"/>
          <w:szCs w:val="22"/>
        </w:rPr>
      </w:pPr>
      <w:r w:rsidRPr="006774D3">
        <w:rPr>
          <w:color w:val="000000"/>
          <w:szCs w:val="22"/>
        </w:rPr>
        <w:t>Sjúklingar með langt gengna illkynja sjúkdóma geta verið með ýmis konar truflandi sjúkdóms</w:t>
      </w:r>
      <w:r w:rsidRPr="006774D3">
        <w:rPr>
          <w:color w:val="000000"/>
          <w:szCs w:val="22"/>
        </w:rPr>
        <w:softHyphen/>
        <w:t>ástand sem gerir erfitt um vik að meta orsakir aukaverkana vegna margs konar einkenna sem tengjast undirliggjandi sjúkdómnum, framvindu hans og samhliða notkun ýmissa lyfja.</w:t>
      </w:r>
    </w:p>
    <w:p w14:paraId="05B8B135" w14:textId="77777777" w:rsidR="005F57F3" w:rsidRPr="006774D3" w:rsidRDefault="005F57F3" w:rsidP="00F77C66">
      <w:pPr>
        <w:rPr>
          <w:color w:val="000000"/>
          <w:sz w:val="22"/>
          <w:szCs w:val="22"/>
        </w:rPr>
      </w:pPr>
    </w:p>
    <w:p w14:paraId="05B8B136" w14:textId="77777777" w:rsidR="005F57F3" w:rsidRPr="006774D3" w:rsidRDefault="005F57F3" w:rsidP="00F77C66">
      <w:pPr>
        <w:rPr>
          <w:color w:val="000000"/>
          <w:sz w:val="22"/>
          <w:szCs w:val="22"/>
        </w:rPr>
      </w:pPr>
      <w:r w:rsidRPr="006774D3">
        <w:rPr>
          <w:color w:val="000000"/>
          <w:sz w:val="22"/>
          <w:szCs w:val="22"/>
        </w:rPr>
        <w:t>Í klínískum rannsóknum á CML var notkun lyfsins hætt vegna lyfjatengdra aukaverkana hjá 2,4% nýlega greindra sjúklinga, 4% sjúklinga seint í stöðugum fasa eftir að meðferð með interferoni hafði brugðist, 4% sjúklinga í hröðunarfasa eftir að meðferð með interferoni hafði brugðist og hjá 5% sjúklinga í bráðafasa (blast crisis) eftir að meðferð með interferoni hafði brugðist. Í rannsóknum á GIST var notkun rannsóknar</w:t>
      </w:r>
      <w:r w:rsidRPr="006774D3">
        <w:rPr>
          <w:color w:val="000000"/>
          <w:sz w:val="22"/>
          <w:szCs w:val="22"/>
        </w:rPr>
        <w:softHyphen/>
        <w:t>lyfsins stöðvuð hjá 4% sjúklinga vegna lyfjatengdra aukaverkana.</w:t>
      </w:r>
    </w:p>
    <w:p w14:paraId="05B8B137" w14:textId="77777777" w:rsidR="005F57F3" w:rsidRPr="006774D3" w:rsidRDefault="005F57F3" w:rsidP="00F77C66">
      <w:pPr>
        <w:rPr>
          <w:color w:val="000000"/>
          <w:sz w:val="22"/>
          <w:szCs w:val="22"/>
        </w:rPr>
      </w:pPr>
    </w:p>
    <w:p w14:paraId="05B8B138" w14:textId="77777777" w:rsidR="005F57F3" w:rsidRPr="006774D3" w:rsidRDefault="005F57F3" w:rsidP="00F77C66">
      <w:pPr>
        <w:rPr>
          <w:color w:val="000000"/>
          <w:sz w:val="22"/>
          <w:szCs w:val="22"/>
        </w:rPr>
      </w:pPr>
      <w:r w:rsidRPr="006774D3">
        <w:rPr>
          <w:color w:val="000000"/>
          <w:sz w:val="22"/>
          <w:szCs w:val="22"/>
        </w:rPr>
        <w:t>Aukaverkanir voru svipaðar fyrir allar ábendingarnar, með tveimur undantekningum. Meiri mergbæling kom fram hjá CML sjúklingum heldur en GIST sjúklingum, sem er líklega vegna undir</w:t>
      </w:r>
      <w:r w:rsidRPr="006774D3">
        <w:rPr>
          <w:color w:val="000000"/>
          <w:sz w:val="22"/>
          <w:szCs w:val="22"/>
        </w:rPr>
        <w:softHyphen/>
        <w:t xml:space="preserve">liggjandi sjúkdómsins. </w:t>
      </w:r>
      <w:r w:rsidR="00AB3B45" w:rsidRPr="006774D3">
        <w:rPr>
          <w:color w:val="000000"/>
          <w:sz w:val="22"/>
          <w:szCs w:val="22"/>
        </w:rPr>
        <w:t>Í rannsókninni hjá sjúklingum með óskurðtækt GIST og/eða GIST með meinvörpum fengu 7 (5%)</w:t>
      </w:r>
      <w:r w:rsidRPr="006774D3">
        <w:rPr>
          <w:color w:val="000000"/>
          <w:sz w:val="22"/>
          <w:szCs w:val="22"/>
        </w:rPr>
        <w:t xml:space="preserve"> sjúklinganna CTC (common toxicity criteria) gráðu 3/4 blæðingar í maga og þörmum (3 sjúklingar), innanæxlisblæðingar (3 sjúklingar) eða hvort tveggja (1 sjúklingur). Stað</w:t>
      </w:r>
      <w:r w:rsidRPr="006774D3">
        <w:rPr>
          <w:color w:val="000000"/>
          <w:sz w:val="22"/>
          <w:szCs w:val="22"/>
        </w:rPr>
        <w:softHyphen/>
        <w:t>setning æxlis í maga og þörmum kann að hafa verið upptök maga- og þarmablæðinga (sjá kafla 4.4). Maga- og þarmablæðing og æxlisblæðing getur verið alvarleg og stundum banvæn. Algengustu (≥ 10%) lyfja</w:t>
      </w:r>
      <w:r w:rsidRPr="006774D3">
        <w:rPr>
          <w:color w:val="000000"/>
          <w:sz w:val="22"/>
          <w:szCs w:val="22"/>
        </w:rPr>
        <w:softHyphen/>
        <w:t>tengdu aukaverkanirnar sem greint var frá hjá báðum hópunum voru væg ógleði, uppköst, niðurgangur, kviðverkir, þreyta, vöðvaþrautir, vöðvakrampar og útbrot. Yfirborðsbjúgur var algengur í öllum rannsóknum og var honum aðallega lýst sem bjúgi í kringum augu eða á ganglimum. Bjúgmyndunin var þó sjaldan alvarleg og hægt er að hafa stjórn á henni með þvagræsilyfjum, öðrum stuðningsaðgerðum eða með því að minnka skammt Glivec.</w:t>
      </w:r>
    </w:p>
    <w:p w14:paraId="05B8B139" w14:textId="77777777" w:rsidR="005F57F3" w:rsidRPr="006774D3" w:rsidRDefault="005F57F3" w:rsidP="00F77C66">
      <w:pPr>
        <w:rPr>
          <w:color w:val="000000"/>
          <w:sz w:val="22"/>
          <w:szCs w:val="22"/>
        </w:rPr>
      </w:pPr>
    </w:p>
    <w:p w14:paraId="05B8B13A" w14:textId="77777777" w:rsidR="005F57F3" w:rsidRPr="006774D3" w:rsidRDefault="005F57F3" w:rsidP="00F77C66">
      <w:pPr>
        <w:rPr>
          <w:color w:val="000000"/>
          <w:sz w:val="22"/>
          <w:szCs w:val="22"/>
        </w:rPr>
      </w:pPr>
      <w:r w:rsidRPr="006774D3">
        <w:rPr>
          <w:color w:val="000000"/>
          <w:sz w:val="22"/>
          <w:szCs w:val="22"/>
        </w:rPr>
        <w:t>Þegar imatinib var notað í tengslum við háskammta krabbameinslyfjameðferð hjá sjúklingum með Ph+ ALL sáust tímabundnar eiturverkanir á lifur sem komu fram sem aukning transaminasa og hækkun á bilirubini í blóði.</w:t>
      </w:r>
      <w:r w:rsidR="00E6059E" w:rsidRPr="006774D3">
        <w:rPr>
          <w:color w:val="000000"/>
          <w:sz w:val="22"/>
          <w:szCs w:val="22"/>
        </w:rPr>
        <w:t xml:space="preserve"> Að teknu tilliti til takmarkaðra upplýsinga um öryggi, eru þær aukaverkanir sem greint hefur verið frá hingað til hjá börnum í samræmi við þekktar upplýsingar um öryggi hjá fullorðnum sjúklingum með Ph+ ALL.</w:t>
      </w:r>
      <w:r w:rsidR="00C87D25" w:rsidRPr="006774D3">
        <w:rPr>
          <w:color w:val="000000"/>
          <w:sz w:val="22"/>
          <w:szCs w:val="22"/>
        </w:rPr>
        <w:t xml:space="preserve"> Upplýsingar um öryggi hjá börnum með Ph+ ALL eru mjög takmarkaðar þrátt fyrir að engar nýjar upplýsingar um öryggi hafi komið fram.</w:t>
      </w:r>
    </w:p>
    <w:p w14:paraId="05B8B13B" w14:textId="77777777" w:rsidR="005F57F3" w:rsidRPr="006774D3" w:rsidRDefault="005F57F3" w:rsidP="00F77C66">
      <w:pPr>
        <w:rPr>
          <w:color w:val="000000"/>
          <w:sz w:val="22"/>
          <w:szCs w:val="22"/>
        </w:rPr>
      </w:pPr>
    </w:p>
    <w:p w14:paraId="05B8B13C" w14:textId="77777777" w:rsidR="005F57F3" w:rsidRPr="006774D3" w:rsidRDefault="005F57F3" w:rsidP="00F77C66">
      <w:pPr>
        <w:rPr>
          <w:color w:val="000000"/>
          <w:sz w:val="22"/>
          <w:szCs w:val="22"/>
        </w:rPr>
      </w:pPr>
      <w:r w:rsidRPr="006774D3">
        <w:rPr>
          <w:color w:val="000000"/>
          <w:sz w:val="22"/>
          <w:szCs w:val="22"/>
        </w:rPr>
        <w:t>Ýmiss konar aukaverkunum, svo sem fleiðruvökva, vökva í kviðarholi, lungnabjúg og hraðri þyngdar</w:t>
      </w:r>
      <w:r w:rsidRPr="006774D3">
        <w:rPr>
          <w:color w:val="000000"/>
          <w:sz w:val="22"/>
          <w:szCs w:val="22"/>
        </w:rPr>
        <w:softHyphen/>
        <w:t xml:space="preserve">aukningu með eða án yfirborðsbjúgs, er sameiginlega lýst sem „vökvasöfnun“. Yfirleitt næst stjórn á þessum aukaverkunum með því að stöðva meðferð með Glivec tímabundið og með þvagræsilyfjum og öðrum viðeigandi stuðningsaðgerðum. Hins vegar geta sumar þessara aukaverkana verið alvarlegar </w:t>
      </w:r>
      <w:r w:rsidRPr="006774D3">
        <w:rPr>
          <w:color w:val="000000"/>
          <w:sz w:val="22"/>
          <w:szCs w:val="22"/>
        </w:rPr>
        <w:lastRenderedPageBreak/>
        <w:t>eða lífshættu</w:t>
      </w:r>
      <w:r w:rsidRPr="006774D3">
        <w:rPr>
          <w:color w:val="000000"/>
          <w:sz w:val="22"/>
          <w:szCs w:val="22"/>
        </w:rPr>
        <w:softHyphen/>
        <w:t>legar og nokkrir sjúklingar í kímfrumukreppu dóu með flókna sjúkrasögu um fleiðru</w:t>
      </w:r>
      <w:r w:rsidRPr="006774D3">
        <w:rPr>
          <w:color w:val="000000"/>
          <w:sz w:val="22"/>
          <w:szCs w:val="22"/>
        </w:rPr>
        <w:softHyphen/>
        <w:t>vökva, hjartabilun og nýrnabilun. Engar sértækar niðurstöður um öryggi komu fram í klínískum rannsóknum hjá börnum.</w:t>
      </w:r>
    </w:p>
    <w:p w14:paraId="05B8B13D" w14:textId="77777777" w:rsidR="005F57F3" w:rsidRPr="006774D3" w:rsidRDefault="005F57F3" w:rsidP="00F77C66">
      <w:pPr>
        <w:rPr>
          <w:color w:val="000000"/>
          <w:sz w:val="22"/>
          <w:szCs w:val="22"/>
        </w:rPr>
      </w:pPr>
    </w:p>
    <w:p w14:paraId="05B8B13E" w14:textId="77777777" w:rsidR="005F57F3" w:rsidRPr="006774D3" w:rsidRDefault="005F57F3" w:rsidP="00F77C66">
      <w:pPr>
        <w:pStyle w:val="Heading8"/>
        <w:ind w:right="0"/>
        <w:rPr>
          <w:b/>
          <w:color w:val="000000"/>
          <w:szCs w:val="22"/>
          <w:u w:val="none"/>
          <w:lang w:val="is-IS"/>
        </w:rPr>
      </w:pPr>
      <w:r w:rsidRPr="006774D3">
        <w:rPr>
          <w:b/>
          <w:color w:val="000000"/>
          <w:szCs w:val="22"/>
          <w:u w:val="none"/>
          <w:lang w:val="is-IS"/>
        </w:rPr>
        <w:t>Aukaverkanir</w:t>
      </w:r>
    </w:p>
    <w:p w14:paraId="05B8B13F" w14:textId="77777777" w:rsidR="005F57F3" w:rsidRPr="006774D3" w:rsidRDefault="005F57F3" w:rsidP="00B739D9">
      <w:pPr>
        <w:rPr>
          <w:color w:val="000000"/>
          <w:sz w:val="22"/>
          <w:szCs w:val="22"/>
        </w:rPr>
      </w:pPr>
      <w:r w:rsidRPr="006774D3">
        <w:rPr>
          <w:color w:val="000000"/>
          <w:sz w:val="22"/>
          <w:szCs w:val="22"/>
        </w:rPr>
        <w:t>Aukaverkanir sem greint var frá oftar en sem einstök tilvik eru tilgreindar hér á eftir, flokkaðar eftir líffæra</w:t>
      </w:r>
      <w:r w:rsidRPr="006774D3">
        <w:rPr>
          <w:color w:val="000000"/>
          <w:sz w:val="22"/>
          <w:szCs w:val="22"/>
        </w:rPr>
        <w:softHyphen/>
        <w:t xml:space="preserve">kerfi og tíðni. </w:t>
      </w:r>
      <w:r w:rsidR="00886CE5" w:rsidRPr="006774D3">
        <w:rPr>
          <w:color w:val="000000"/>
          <w:sz w:val="22"/>
          <w:szCs w:val="22"/>
        </w:rPr>
        <w:t xml:space="preserve">Tíðniflokkar </w:t>
      </w:r>
      <w:r w:rsidRPr="006774D3">
        <w:rPr>
          <w:color w:val="000000"/>
          <w:sz w:val="22"/>
          <w:szCs w:val="22"/>
        </w:rPr>
        <w:t>er</w:t>
      </w:r>
      <w:r w:rsidR="00886CE5" w:rsidRPr="006774D3">
        <w:rPr>
          <w:color w:val="000000"/>
          <w:sz w:val="22"/>
          <w:szCs w:val="22"/>
        </w:rPr>
        <w:t>u</w:t>
      </w:r>
      <w:r w:rsidRPr="006774D3">
        <w:rPr>
          <w:color w:val="000000"/>
          <w:sz w:val="22"/>
          <w:szCs w:val="22"/>
        </w:rPr>
        <w:t xml:space="preserve"> skilgreind</w:t>
      </w:r>
      <w:r w:rsidR="00886CE5" w:rsidRPr="006774D3">
        <w:rPr>
          <w:color w:val="000000"/>
          <w:sz w:val="22"/>
          <w:szCs w:val="22"/>
        </w:rPr>
        <w:t xml:space="preserve">ir </w:t>
      </w:r>
      <w:r w:rsidR="00AA40FA" w:rsidRPr="006774D3">
        <w:rPr>
          <w:color w:val="000000"/>
          <w:sz w:val="22"/>
          <w:szCs w:val="22"/>
        </w:rPr>
        <w:t>á eftirfarandi hátt</w:t>
      </w:r>
      <w:r w:rsidRPr="006774D3">
        <w:rPr>
          <w:color w:val="000000"/>
          <w:sz w:val="22"/>
          <w:szCs w:val="22"/>
        </w:rPr>
        <w:t>: Mjög algengar (</w:t>
      </w:r>
      <w:r w:rsidR="00886CE5" w:rsidRPr="006774D3">
        <w:rPr>
          <w:sz w:val="22"/>
          <w:szCs w:val="22"/>
        </w:rPr>
        <w:t>≥</w:t>
      </w:r>
      <w:r w:rsidRPr="006774D3">
        <w:rPr>
          <w:color w:val="000000"/>
          <w:sz w:val="22"/>
          <w:szCs w:val="22"/>
        </w:rPr>
        <w:t>1/10), algengar (</w:t>
      </w:r>
      <w:r w:rsidR="00886CE5" w:rsidRPr="006774D3">
        <w:rPr>
          <w:sz w:val="22"/>
          <w:szCs w:val="22"/>
        </w:rPr>
        <w:t>≥</w:t>
      </w:r>
      <w:r w:rsidRPr="006774D3">
        <w:rPr>
          <w:color w:val="000000"/>
          <w:sz w:val="22"/>
          <w:szCs w:val="22"/>
        </w:rPr>
        <w:t>1/100</w:t>
      </w:r>
      <w:r w:rsidR="00886CE5" w:rsidRPr="006774D3">
        <w:rPr>
          <w:color w:val="000000"/>
          <w:sz w:val="22"/>
          <w:szCs w:val="22"/>
        </w:rPr>
        <w:t xml:space="preserve"> til</w:t>
      </w:r>
      <w:r w:rsidRPr="006774D3">
        <w:rPr>
          <w:color w:val="000000"/>
          <w:sz w:val="22"/>
          <w:szCs w:val="22"/>
        </w:rPr>
        <w:t xml:space="preserve"> </w:t>
      </w:r>
      <w:r w:rsidR="00886CE5" w:rsidRPr="006774D3">
        <w:rPr>
          <w:color w:val="000000"/>
          <w:sz w:val="22"/>
          <w:szCs w:val="22"/>
        </w:rPr>
        <w:t>&lt;</w:t>
      </w:r>
      <w:r w:rsidRPr="006774D3">
        <w:rPr>
          <w:color w:val="000000"/>
          <w:sz w:val="22"/>
          <w:szCs w:val="22"/>
        </w:rPr>
        <w:t>1/10), sjaldgæfar (</w:t>
      </w:r>
      <w:r w:rsidR="00886CE5" w:rsidRPr="006774D3">
        <w:rPr>
          <w:sz w:val="22"/>
          <w:szCs w:val="22"/>
        </w:rPr>
        <w:t>≥</w:t>
      </w:r>
      <w:r w:rsidRPr="006774D3">
        <w:rPr>
          <w:color w:val="000000"/>
          <w:sz w:val="22"/>
          <w:szCs w:val="22"/>
        </w:rPr>
        <w:t>1/1.000</w:t>
      </w:r>
      <w:r w:rsidR="00886CE5" w:rsidRPr="006774D3">
        <w:rPr>
          <w:color w:val="000000"/>
          <w:sz w:val="22"/>
          <w:szCs w:val="22"/>
        </w:rPr>
        <w:t xml:space="preserve"> til</w:t>
      </w:r>
      <w:r w:rsidRPr="006774D3">
        <w:rPr>
          <w:color w:val="000000"/>
          <w:sz w:val="22"/>
          <w:szCs w:val="22"/>
        </w:rPr>
        <w:t xml:space="preserve"> </w:t>
      </w:r>
      <w:r w:rsidR="00886CE5" w:rsidRPr="006774D3">
        <w:rPr>
          <w:color w:val="000000"/>
          <w:sz w:val="22"/>
          <w:szCs w:val="22"/>
        </w:rPr>
        <w:t>&lt;</w:t>
      </w:r>
      <w:r w:rsidRPr="006774D3">
        <w:rPr>
          <w:color w:val="000000"/>
          <w:sz w:val="22"/>
          <w:szCs w:val="22"/>
        </w:rPr>
        <w:t>1/100), mjög sjaldgæfar (</w:t>
      </w:r>
      <w:r w:rsidR="00886CE5" w:rsidRPr="006774D3">
        <w:rPr>
          <w:sz w:val="22"/>
          <w:szCs w:val="22"/>
        </w:rPr>
        <w:t xml:space="preserve">≥1/10.000 til </w:t>
      </w:r>
      <w:r w:rsidR="00886CE5" w:rsidRPr="006774D3">
        <w:rPr>
          <w:color w:val="000000"/>
          <w:sz w:val="22"/>
          <w:szCs w:val="22"/>
        </w:rPr>
        <w:t>&lt;</w:t>
      </w:r>
      <w:r w:rsidRPr="006774D3">
        <w:rPr>
          <w:color w:val="000000"/>
          <w:sz w:val="22"/>
          <w:szCs w:val="22"/>
        </w:rPr>
        <w:t>1/1.000),</w:t>
      </w:r>
      <w:r w:rsidR="00886CE5" w:rsidRPr="006774D3">
        <w:rPr>
          <w:color w:val="000000"/>
          <w:sz w:val="22"/>
          <w:szCs w:val="22"/>
        </w:rPr>
        <w:t xml:space="preserve"> koma örsjaldan fyrir (&lt;1/10.000),</w:t>
      </w:r>
      <w:r w:rsidRPr="006774D3">
        <w:rPr>
          <w:color w:val="000000"/>
          <w:sz w:val="22"/>
          <w:szCs w:val="22"/>
        </w:rPr>
        <w:t xml:space="preserve"> tíðni ekki þekkt (ekki hægt að áætla tíðni út frá fyrirliggjandi gögnum).</w:t>
      </w:r>
    </w:p>
    <w:p w14:paraId="05B8B140"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141"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Innan tíðniflokka eru aukaverkanirnar taldar upp eftir tíðni, hinar algengustu fyrst.</w:t>
      </w:r>
    </w:p>
    <w:p w14:paraId="05B8B142"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143"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 xml:space="preserve">Aukaverkanir og tíðni þeirra, </w:t>
      </w:r>
      <w:r w:rsidR="006E55BE" w:rsidRPr="006774D3">
        <w:rPr>
          <w:color w:val="000000"/>
          <w:sz w:val="22"/>
          <w:szCs w:val="22"/>
          <w:lang w:val="is-IS"/>
        </w:rPr>
        <w:t xml:space="preserve">er </w:t>
      </w:r>
      <w:r w:rsidRPr="006774D3">
        <w:rPr>
          <w:color w:val="000000"/>
          <w:sz w:val="22"/>
          <w:szCs w:val="22"/>
          <w:lang w:val="is-IS"/>
        </w:rPr>
        <w:t>tilgrein</w:t>
      </w:r>
      <w:r w:rsidR="006E55BE" w:rsidRPr="006774D3">
        <w:rPr>
          <w:color w:val="000000"/>
          <w:sz w:val="22"/>
          <w:szCs w:val="22"/>
          <w:lang w:val="is-IS"/>
        </w:rPr>
        <w:t>d</w:t>
      </w:r>
      <w:r w:rsidRPr="006774D3">
        <w:rPr>
          <w:color w:val="000000"/>
          <w:sz w:val="22"/>
          <w:szCs w:val="22"/>
          <w:lang w:val="is-IS"/>
        </w:rPr>
        <w:t xml:space="preserve"> er í töflu 1.</w:t>
      </w:r>
    </w:p>
    <w:p w14:paraId="05B8B144"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145"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Tafla 1</w:t>
      </w:r>
      <w:r w:rsidRPr="006774D3">
        <w:rPr>
          <w:b/>
          <w:color w:val="000000"/>
          <w:sz w:val="22"/>
          <w:szCs w:val="22"/>
          <w:lang w:val="is-IS"/>
        </w:rPr>
        <w:tab/>
      </w:r>
      <w:r w:rsidR="006E55BE" w:rsidRPr="006774D3">
        <w:rPr>
          <w:b/>
          <w:color w:val="000000"/>
          <w:sz w:val="22"/>
          <w:szCs w:val="22"/>
          <w:lang w:val="is-IS"/>
        </w:rPr>
        <w:t>Tafla yfir a</w:t>
      </w:r>
      <w:r w:rsidRPr="006774D3">
        <w:rPr>
          <w:b/>
          <w:color w:val="000000"/>
          <w:sz w:val="22"/>
          <w:szCs w:val="22"/>
          <w:lang w:val="is-IS"/>
        </w:rPr>
        <w:t>ukaverkanir</w:t>
      </w:r>
    </w:p>
    <w:p w14:paraId="05B8B146"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6817"/>
      </w:tblGrid>
      <w:tr w:rsidR="007B4DE0" w:rsidRPr="006774D3" w14:paraId="05B8B148" w14:textId="77777777">
        <w:tc>
          <w:tcPr>
            <w:tcW w:w="9286" w:type="dxa"/>
            <w:gridSpan w:val="2"/>
          </w:tcPr>
          <w:p w14:paraId="05B8B147"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Sýkingar af völdum sýkla og sníkjudýra</w:t>
            </w:r>
          </w:p>
        </w:tc>
      </w:tr>
      <w:tr w:rsidR="007B4DE0" w:rsidRPr="006774D3" w14:paraId="05B8B14B" w14:textId="77777777">
        <w:tc>
          <w:tcPr>
            <w:tcW w:w="2287" w:type="dxa"/>
          </w:tcPr>
          <w:p w14:paraId="05B8B149"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4A"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Ristill, áblástur, nefkoksbólga, lungnabólga</w:t>
            </w:r>
            <w:r w:rsidR="000A4558" w:rsidRPr="006774D3">
              <w:rPr>
                <w:color w:val="000000"/>
                <w:sz w:val="22"/>
                <w:szCs w:val="22"/>
                <w:vertAlign w:val="superscript"/>
                <w:lang w:val="is-IS"/>
              </w:rPr>
              <w:t>1</w:t>
            </w:r>
            <w:r w:rsidRPr="006774D3">
              <w:rPr>
                <w:color w:val="000000"/>
                <w:sz w:val="22"/>
                <w:szCs w:val="22"/>
                <w:lang w:val="is-IS"/>
              </w:rPr>
              <w:t xml:space="preserve">, skútabólga, húðbeðsbólga, sýking í efri öndunarvegum, inflúensa, þvagfærasýking, maga- og garnabólga, </w:t>
            </w:r>
            <w:r w:rsidR="00AA40FA" w:rsidRPr="006774D3">
              <w:rPr>
                <w:color w:val="000000"/>
                <w:sz w:val="22"/>
                <w:szCs w:val="22"/>
                <w:lang w:val="is-IS"/>
              </w:rPr>
              <w:t>sýklasótt</w:t>
            </w:r>
            <w:r w:rsidRPr="006774D3">
              <w:rPr>
                <w:color w:val="000000"/>
                <w:sz w:val="22"/>
                <w:szCs w:val="22"/>
                <w:lang w:val="is-IS"/>
              </w:rPr>
              <w:t>.</w:t>
            </w:r>
          </w:p>
        </w:tc>
      </w:tr>
      <w:tr w:rsidR="007B4DE0" w:rsidRPr="006774D3" w14:paraId="05B8B14E" w14:textId="77777777">
        <w:tc>
          <w:tcPr>
            <w:tcW w:w="2287" w:type="dxa"/>
          </w:tcPr>
          <w:p w14:paraId="05B8B14C"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14D"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Sveppasýking.</w:t>
            </w:r>
          </w:p>
        </w:tc>
      </w:tr>
      <w:tr w:rsidR="00831252" w:rsidRPr="006774D3" w14:paraId="05B8B151" w14:textId="77777777">
        <w:tc>
          <w:tcPr>
            <w:tcW w:w="2287" w:type="dxa"/>
          </w:tcPr>
          <w:p w14:paraId="05B8B14F" w14:textId="77777777" w:rsidR="00831252" w:rsidRPr="006774D3" w:rsidRDefault="00831252"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50" w14:textId="77777777" w:rsidR="00831252" w:rsidRPr="006774D3" w:rsidRDefault="00831252"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bCs/>
                <w:color w:val="000000"/>
                <w:sz w:val="22"/>
                <w:szCs w:val="22"/>
                <w:lang w:val="is-IS"/>
              </w:rPr>
              <w:t>Endurvirkjun lifrarbólgu B*</w:t>
            </w:r>
          </w:p>
        </w:tc>
      </w:tr>
      <w:tr w:rsidR="00C426C6" w:rsidRPr="006774D3" w14:paraId="05B8B153" w14:textId="77777777" w:rsidTr="00D312DD">
        <w:tc>
          <w:tcPr>
            <w:tcW w:w="9286" w:type="dxa"/>
            <w:gridSpan w:val="2"/>
          </w:tcPr>
          <w:p w14:paraId="05B8B152" w14:textId="77777777" w:rsidR="00C426C6" w:rsidRPr="006774D3" w:rsidRDefault="00C426C6" w:rsidP="00346F25">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Æxli, góðkynja og illkynja (einnig blöðrur og separ)</w:t>
            </w:r>
          </w:p>
        </w:tc>
      </w:tr>
      <w:tr w:rsidR="00C426C6" w:rsidRPr="006774D3" w14:paraId="05B8B156" w14:textId="77777777">
        <w:tc>
          <w:tcPr>
            <w:tcW w:w="2287" w:type="dxa"/>
          </w:tcPr>
          <w:p w14:paraId="05B8B154" w14:textId="77777777" w:rsidR="00C426C6" w:rsidRPr="006774D3" w:rsidRDefault="00C426C6" w:rsidP="00346F25">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155" w14:textId="77777777" w:rsidR="00C426C6" w:rsidRPr="006774D3" w:rsidRDefault="00C426C6"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Æxlislýsuheilkenni (tumour lysis syndrome).</w:t>
            </w:r>
          </w:p>
        </w:tc>
      </w:tr>
      <w:tr w:rsidR="00142B05" w:rsidRPr="006774D3" w14:paraId="05B8B159" w14:textId="77777777">
        <w:tc>
          <w:tcPr>
            <w:tcW w:w="2287" w:type="dxa"/>
          </w:tcPr>
          <w:p w14:paraId="05B8B157" w14:textId="77777777" w:rsidR="00142B05" w:rsidRPr="006774D3" w:rsidRDefault="00142B05"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58" w14:textId="77777777" w:rsidR="00142B05" w:rsidRPr="006774D3" w:rsidRDefault="00142B05"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Æxlisblæðing/æxlisdrep*.</w:t>
            </w:r>
          </w:p>
        </w:tc>
      </w:tr>
      <w:tr w:rsidR="00CA1857" w:rsidRPr="006774D3" w14:paraId="05B8B15B" w14:textId="77777777" w:rsidTr="00C424E2">
        <w:tc>
          <w:tcPr>
            <w:tcW w:w="9286" w:type="dxa"/>
            <w:gridSpan w:val="2"/>
          </w:tcPr>
          <w:p w14:paraId="05B8B15A" w14:textId="77777777" w:rsidR="00CA1857" w:rsidRPr="006774D3" w:rsidRDefault="00CA1857"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Ónæmiskerfi</w:t>
            </w:r>
          </w:p>
        </w:tc>
      </w:tr>
      <w:tr w:rsidR="00CA1857" w:rsidRPr="006774D3" w14:paraId="05B8B15E" w14:textId="77777777">
        <w:tc>
          <w:tcPr>
            <w:tcW w:w="2287" w:type="dxa"/>
          </w:tcPr>
          <w:p w14:paraId="05B8B15C"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5D"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Bráðaofnæmislost*.</w:t>
            </w:r>
          </w:p>
        </w:tc>
      </w:tr>
      <w:tr w:rsidR="005F57F3" w:rsidRPr="006774D3" w14:paraId="05B8B160" w14:textId="77777777">
        <w:tc>
          <w:tcPr>
            <w:tcW w:w="9286" w:type="dxa"/>
            <w:gridSpan w:val="2"/>
          </w:tcPr>
          <w:p w14:paraId="05B8B15F"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Blóð og eitlar</w:t>
            </w:r>
          </w:p>
        </w:tc>
      </w:tr>
      <w:tr w:rsidR="005F57F3" w:rsidRPr="006774D3" w14:paraId="05B8B163" w14:textId="77777777">
        <w:tc>
          <w:tcPr>
            <w:tcW w:w="2287" w:type="dxa"/>
          </w:tcPr>
          <w:p w14:paraId="05B8B161"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162"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Daufkyrningafæð, blóðflagnafæð, blóðleysi.</w:t>
            </w:r>
          </w:p>
        </w:tc>
      </w:tr>
      <w:tr w:rsidR="005F57F3" w:rsidRPr="006774D3" w14:paraId="05B8B166" w14:textId="77777777">
        <w:tc>
          <w:tcPr>
            <w:tcW w:w="2287" w:type="dxa"/>
          </w:tcPr>
          <w:p w14:paraId="05B8B164"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65"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Blóðfrumnafæð, daufkyrningafæð með hita.</w:t>
            </w:r>
          </w:p>
        </w:tc>
      </w:tr>
      <w:tr w:rsidR="005F57F3" w:rsidRPr="006774D3" w14:paraId="05B8B169" w14:textId="77777777">
        <w:tc>
          <w:tcPr>
            <w:tcW w:w="2287" w:type="dxa"/>
          </w:tcPr>
          <w:p w14:paraId="05B8B167"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68"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Blóðflagnafjölgun, eitilfrumnafæð, beinmergsbæling, rauðkyrningager, eitlakvilli.</w:t>
            </w:r>
          </w:p>
        </w:tc>
      </w:tr>
      <w:tr w:rsidR="005F57F3" w:rsidRPr="006774D3" w14:paraId="05B8B16C" w14:textId="77777777">
        <w:tc>
          <w:tcPr>
            <w:tcW w:w="2287" w:type="dxa"/>
          </w:tcPr>
          <w:p w14:paraId="05B8B16A"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6B" w14:textId="77777777" w:rsidR="005F57F3" w:rsidRPr="006774D3" w:rsidRDefault="00107D5B"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Blóðlýsublóðleysi</w:t>
            </w:r>
            <w:r w:rsidR="00720084" w:rsidRPr="006774D3">
              <w:rPr>
                <w:color w:val="000000"/>
                <w:sz w:val="22"/>
                <w:szCs w:val="22"/>
                <w:lang w:val="is-IS"/>
              </w:rPr>
              <w:t xml:space="preserve">, </w:t>
            </w:r>
            <w:r w:rsidR="00E60DB3" w:rsidRPr="006774D3">
              <w:rPr>
                <w:color w:val="000000"/>
                <w:sz w:val="22"/>
                <w:szCs w:val="22"/>
                <w:lang w:val="is-IS"/>
              </w:rPr>
              <w:t>segaöræðakvilli</w:t>
            </w:r>
            <w:r w:rsidR="00720084" w:rsidRPr="006774D3">
              <w:rPr>
                <w:color w:val="000000"/>
                <w:sz w:val="22"/>
                <w:szCs w:val="22"/>
                <w:lang w:val="is-IS"/>
              </w:rPr>
              <w:t>.</w:t>
            </w:r>
          </w:p>
        </w:tc>
      </w:tr>
      <w:tr w:rsidR="007B4DE0" w:rsidRPr="006774D3" w14:paraId="05B8B16E" w14:textId="77777777">
        <w:tc>
          <w:tcPr>
            <w:tcW w:w="9286" w:type="dxa"/>
            <w:gridSpan w:val="2"/>
          </w:tcPr>
          <w:p w14:paraId="05B8B16D"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Efnaskipti og næring</w:t>
            </w:r>
          </w:p>
        </w:tc>
      </w:tr>
      <w:tr w:rsidR="007B4DE0" w:rsidRPr="006774D3" w14:paraId="05B8B171" w14:textId="77777777">
        <w:tc>
          <w:tcPr>
            <w:tcW w:w="2287" w:type="dxa"/>
          </w:tcPr>
          <w:p w14:paraId="05B8B16F"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70"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Lystarleysi.</w:t>
            </w:r>
          </w:p>
        </w:tc>
      </w:tr>
      <w:tr w:rsidR="007B4DE0" w:rsidRPr="006774D3" w14:paraId="05B8B174" w14:textId="77777777">
        <w:tc>
          <w:tcPr>
            <w:tcW w:w="2287" w:type="dxa"/>
          </w:tcPr>
          <w:p w14:paraId="05B8B172"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73" w14:textId="77777777" w:rsidR="007B4DE0" w:rsidRPr="006774D3" w:rsidRDefault="007B4DE0"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Blóðkalíumlækkun, aukin matarlyst, blóðfosfatlækkun, minnkuð matarlyst, vökvaskortur, þvagsýrugigt, blóðþvagsýruhækkun, blóðkalsíumhækkun, blóðsykurshækkun, blóðnatríumlækkun.</w:t>
            </w:r>
          </w:p>
        </w:tc>
      </w:tr>
      <w:tr w:rsidR="007B4DE0" w:rsidRPr="006774D3" w14:paraId="05B8B177" w14:textId="77777777">
        <w:tc>
          <w:tcPr>
            <w:tcW w:w="2287" w:type="dxa"/>
          </w:tcPr>
          <w:p w14:paraId="05B8B175" w14:textId="77777777" w:rsidR="007B4DE0" w:rsidRPr="006774D3" w:rsidRDefault="007B4DE0"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76" w14:textId="77777777" w:rsidR="007B4DE0" w:rsidRPr="006774D3" w:rsidRDefault="007B4DE0"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Blóðkalíumhækkun, blóðmagnesíumlækkun.</w:t>
            </w:r>
          </w:p>
        </w:tc>
      </w:tr>
      <w:tr w:rsidR="00104EF3" w:rsidRPr="006774D3" w14:paraId="05B8B179" w14:textId="77777777">
        <w:tc>
          <w:tcPr>
            <w:tcW w:w="9286" w:type="dxa"/>
            <w:gridSpan w:val="2"/>
          </w:tcPr>
          <w:p w14:paraId="05B8B178"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Geðræn vandamál</w:t>
            </w:r>
          </w:p>
        </w:tc>
      </w:tr>
      <w:tr w:rsidR="00104EF3" w:rsidRPr="006774D3" w14:paraId="05B8B17C" w14:textId="77777777">
        <w:tc>
          <w:tcPr>
            <w:tcW w:w="2287" w:type="dxa"/>
          </w:tcPr>
          <w:p w14:paraId="05B8B17A"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7B"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Svefnleysi.</w:t>
            </w:r>
          </w:p>
        </w:tc>
      </w:tr>
      <w:tr w:rsidR="00104EF3" w:rsidRPr="006774D3" w14:paraId="05B8B17F" w14:textId="77777777">
        <w:tc>
          <w:tcPr>
            <w:tcW w:w="2287" w:type="dxa"/>
          </w:tcPr>
          <w:p w14:paraId="05B8B17D"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7E"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Þunglyndi, skert kynhvöt, kvíði.</w:t>
            </w:r>
          </w:p>
        </w:tc>
      </w:tr>
      <w:tr w:rsidR="00104EF3" w:rsidRPr="006774D3" w14:paraId="05B8B182" w14:textId="77777777">
        <w:tc>
          <w:tcPr>
            <w:tcW w:w="2287" w:type="dxa"/>
          </w:tcPr>
          <w:p w14:paraId="05B8B180"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81"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Ruglástand.</w:t>
            </w:r>
          </w:p>
        </w:tc>
      </w:tr>
      <w:tr w:rsidR="005F57F3" w:rsidRPr="006774D3" w14:paraId="05B8B184" w14:textId="77777777">
        <w:tc>
          <w:tcPr>
            <w:tcW w:w="9286" w:type="dxa"/>
            <w:gridSpan w:val="2"/>
          </w:tcPr>
          <w:p w14:paraId="05B8B183"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Taugakerfi</w:t>
            </w:r>
          </w:p>
        </w:tc>
      </w:tr>
      <w:tr w:rsidR="005F57F3" w:rsidRPr="006774D3" w14:paraId="05B8B187" w14:textId="77777777">
        <w:tc>
          <w:tcPr>
            <w:tcW w:w="2287" w:type="dxa"/>
          </w:tcPr>
          <w:p w14:paraId="05B8B185"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186"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Höfuðverkur</w:t>
            </w:r>
            <w:r w:rsidRPr="006774D3">
              <w:rPr>
                <w:color w:val="000000"/>
                <w:sz w:val="22"/>
                <w:szCs w:val="22"/>
                <w:vertAlign w:val="superscript"/>
                <w:lang w:val="is-IS"/>
              </w:rPr>
              <w:t>2</w:t>
            </w:r>
            <w:r w:rsidRPr="006774D3">
              <w:rPr>
                <w:color w:val="000000"/>
                <w:sz w:val="22"/>
                <w:szCs w:val="22"/>
                <w:lang w:val="is-IS"/>
              </w:rPr>
              <w:t>.</w:t>
            </w:r>
          </w:p>
        </w:tc>
      </w:tr>
      <w:tr w:rsidR="005F57F3" w:rsidRPr="006774D3" w14:paraId="05B8B18A" w14:textId="77777777">
        <w:tc>
          <w:tcPr>
            <w:tcW w:w="2287" w:type="dxa"/>
          </w:tcPr>
          <w:p w14:paraId="05B8B188"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89"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Sundl, dofi/náladofi, truflanir á bragðskyni, minnkað snertiskyn.</w:t>
            </w:r>
          </w:p>
        </w:tc>
      </w:tr>
      <w:tr w:rsidR="005F57F3" w:rsidRPr="006774D3" w14:paraId="05B8B18D" w14:textId="77777777">
        <w:tc>
          <w:tcPr>
            <w:tcW w:w="2287" w:type="dxa"/>
          </w:tcPr>
          <w:p w14:paraId="05B8B18B"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8C"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Mígreni, svefnhöfgi, yfirlið, úttaugakvilli, minnisskerðing, þjótak, fótaóeirð, skjálfti, heilablæðing.</w:t>
            </w:r>
          </w:p>
        </w:tc>
      </w:tr>
      <w:tr w:rsidR="005F57F3" w:rsidRPr="006774D3" w14:paraId="05B8B190" w14:textId="77777777">
        <w:tc>
          <w:tcPr>
            <w:tcW w:w="2287" w:type="dxa"/>
          </w:tcPr>
          <w:p w14:paraId="05B8B18E"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8F"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Aukinn innankúpuþrýstingur, krampar, sjóntaugarbólga.</w:t>
            </w:r>
          </w:p>
        </w:tc>
      </w:tr>
      <w:tr w:rsidR="00CA1857" w:rsidRPr="006774D3" w14:paraId="05B8B193" w14:textId="77777777">
        <w:tc>
          <w:tcPr>
            <w:tcW w:w="2287" w:type="dxa"/>
          </w:tcPr>
          <w:p w14:paraId="05B8B191"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92"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Heilabjúgur*.</w:t>
            </w:r>
          </w:p>
        </w:tc>
      </w:tr>
      <w:tr w:rsidR="005F57F3" w:rsidRPr="006774D3" w14:paraId="05B8B195" w14:textId="77777777">
        <w:tc>
          <w:tcPr>
            <w:tcW w:w="9286" w:type="dxa"/>
            <w:gridSpan w:val="2"/>
          </w:tcPr>
          <w:p w14:paraId="05B8B194"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lastRenderedPageBreak/>
              <w:t>Augu</w:t>
            </w:r>
          </w:p>
        </w:tc>
      </w:tr>
      <w:tr w:rsidR="005F57F3" w:rsidRPr="006774D3" w14:paraId="05B8B198" w14:textId="77777777">
        <w:tc>
          <w:tcPr>
            <w:tcW w:w="2287" w:type="dxa"/>
          </w:tcPr>
          <w:p w14:paraId="05B8B196"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97"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Bjúgur á augnlokum, aukin táramyndun, tárublæðing, tárubólga, augnþurrkur, þokusýn.</w:t>
            </w:r>
          </w:p>
        </w:tc>
      </w:tr>
      <w:tr w:rsidR="005F57F3" w:rsidRPr="006774D3" w14:paraId="05B8B19B" w14:textId="77777777">
        <w:tc>
          <w:tcPr>
            <w:tcW w:w="2287" w:type="dxa"/>
          </w:tcPr>
          <w:p w14:paraId="05B8B199"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9A"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Augnerting, augnverkur, augntóttarbjúgur, hvítublæðing. sjónublæðing, hvarmabólga, sjónudepilsbjúgur.</w:t>
            </w:r>
          </w:p>
        </w:tc>
      </w:tr>
      <w:tr w:rsidR="005F57F3" w:rsidRPr="006774D3" w14:paraId="05B8B19E" w14:textId="77777777">
        <w:tc>
          <w:tcPr>
            <w:tcW w:w="2287" w:type="dxa"/>
          </w:tcPr>
          <w:p w14:paraId="05B8B19C"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9D"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Drer á auga, gláka, doppubjúgur.</w:t>
            </w:r>
          </w:p>
        </w:tc>
      </w:tr>
      <w:tr w:rsidR="00CA1857" w:rsidRPr="006774D3" w14:paraId="05B8B1A1" w14:textId="77777777">
        <w:tc>
          <w:tcPr>
            <w:tcW w:w="2287" w:type="dxa"/>
          </w:tcPr>
          <w:p w14:paraId="05B8B19F"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A0"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Blæðing í glerhlaupi*.</w:t>
            </w:r>
          </w:p>
        </w:tc>
      </w:tr>
      <w:tr w:rsidR="005F57F3" w:rsidRPr="006774D3" w14:paraId="05B8B1A3" w14:textId="77777777">
        <w:tc>
          <w:tcPr>
            <w:tcW w:w="9286" w:type="dxa"/>
            <w:gridSpan w:val="2"/>
          </w:tcPr>
          <w:p w14:paraId="05B8B1A2"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Eyru og völundarhús</w:t>
            </w:r>
          </w:p>
        </w:tc>
      </w:tr>
      <w:tr w:rsidR="005F57F3" w:rsidRPr="006774D3" w14:paraId="05B8B1A6" w14:textId="77777777">
        <w:tc>
          <w:tcPr>
            <w:tcW w:w="2287" w:type="dxa"/>
          </w:tcPr>
          <w:p w14:paraId="05B8B1A4"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A5"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Svimi, eyrnasuð, heyrnartap.</w:t>
            </w:r>
          </w:p>
        </w:tc>
      </w:tr>
      <w:tr w:rsidR="00104EF3" w:rsidRPr="006774D3" w14:paraId="05B8B1A8" w14:textId="77777777">
        <w:tc>
          <w:tcPr>
            <w:tcW w:w="9286" w:type="dxa"/>
            <w:gridSpan w:val="2"/>
          </w:tcPr>
          <w:p w14:paraId="05B8B1A7"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Hjarta</w:t>
            </w:r>
          </w:p>
        </w:tc>
      </w:tr>
      <w:tr w:rsidR="00104EF3" w:rsidRPr="006774D3" w14:paraId="05B8B1AB" w14:textId="77777777">
        <w:tc>
          <w:tcPr>
            <w:tcW w:w="2287" w:type="dxa"/>
          </w:tcPr>
          <w:p w14:paraId="05B8B1A9"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AA"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Hjartsláttarónot, hraðsláttur, hjartabilun</w:t>
            </w:r>
            <w:r w:rsidR="000A4558" w:rsidRPr="006774D3">
              <w:rPr>
                <w:color w:val="000000"/>
                <w:sz w:val="22"/>
                <w:szCs w:val="22"/>
                <w:vertAlign w:val="superscript"/>
                <w:lang w:val="is-IS"/>
              </w:rPr>
              <w:t>3</w:t>
            </w:r>
            <w:r w:rsidRPr="006774D3">
              <w:rPr>
                <w:color w:val="000000"/>
                <w:sz w:val="22"/>
                <w:szCs w:val="22"/>
                <w:lang w:val="is-IS"/>
              </w:rPr>
              <w:t>, lungnabjúgur.</w:t>
            </w:r>
          </w:p>
        </w:tc>
      </w:tr>
      <w:tr w:rsidR="00104EF3" w:rsidRPr="006774D3" w14:paraId="05B8B1AE" w14:textId="77777777">
        <w:tc>
          <w:tcPr>
            <w:tcW w:w="2287" w:type="dxa"/>
          </w:tcPr>
          <w:p w14:paraId="05B8B1AC"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AD" w14:textId="77777777" w:rsidR="00104EF3" w:rsidRPr="006774D3" w:rsidRDefault="00AA40FA"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Hjartsláttaróregla</w:t>
            </w:r>
            <w:r w:rsidR="00104EF3" w:rsidRPr="006774D3">
              <w:rPr>
                <w:color w:val="000000"/>
                <w:sz w:val="22"/>
                <w:szCs w:val="22"/>
                <w:lang w:val="is-IS"/>
              </w:rPr>
              <w:t>, gáttatif, hjartastopp, hjartadrep, hjartaöng, gollurshússvökvi.</w:t>
            </w:r>
          </w:p>
        </w:tc>
      </w:tr>
      <w:tr w:rsidR="00CA1857" w:rsidRPr="006774D3" w14:paraId="05B8B1B1" w14:textId="77777777">
        <w:tc>
          <w:tcPr>
            <w:tcW w:w="2287" w:type="dxa"/>
          </w:tcPr>
          <w:p w14:paraId="05B8B1AF"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B0"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Gollurshússbólga*, gollurshússþrenging*.</w:t>
            </w:r>
          </w:p>
        </w:tc>
      </w:tr>
      <w:tr w:rsidR="00104EF3" w:rsidRPr="006774D3" w14:paraId="05B8B1B3" w14:textId="77777777">
        <w:tc>
          <w:tcPr>
            <w:tcW w:w="9286" w:type="dxa"/>
            <w:gridSpan w:val="2"/>
          </w:tcPr>
          <w:p w14:paraId="05B8B1B2"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Æðar</w:t>
            </w:r>
            <w:r w:rsidR="000A4558" w:rsidRPr="006774D3">
              <w:rPr>
                <w:b/>
                <w:color w:val="000000"/>
                <w:sz w:val="22"/>
                <w:szCs w:val="22"/>
                <w:vertAlign w:val="superscript"/>
                <w:lang w:val="is-IS"/>
              </w:rPr>
              <w:t>4</w:t>
            </w:r>
          </w:p>
        </w:tc>
      </w:tr>
      <w:tr w:rsidR="00104EF3" w:rsidRPr="006774D3" w14:paraId="05B8B1B6" w14:textId="77777777">
        <w:tc>
          <w:tcPr>
            <w:tcW w:w="2287" w:type="dxa"/>
          </w:tcPr>
          <w:p w14:paraId="05B8B1B4"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B5"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Hitaroði í andliti og/eða á hálsi, blæðing.</w:t>
            </w:r>
          </w:p>
        </w:tc>
      </w:tr>
      <w:tr w:rsidR="00104EF3" w:rsidRPr="006774D3" w14:paraId="05B8B1B9" w14:textId="77777777">
        <w:tc>
          <w:tcPr>
            <w:tcW w:w="2287" w:type="dxa"/>
          </w:tcPr>
          <w:p w14:paraId="05B8B1B7"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B8"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 xml:space="preserve">Háþrýstingur, margúll, </w:t>
            </w:r>
            <w:r w:rsidR="00A3620E" w:rsidRPr="006774D3">
              <w:rPr>
                <w:color w:val="000000"/>
                <w:sz w:val="22"/>
                <w:szCs w:val="22"/>
                <w:lang w:val="is-IS"/>
              </w:rPr>
              <w:t xml:space="preserve">innanbastsmargúll, </w:t>
            </w:r>
            <w:r w:rsidRPr="006774D3">
              <w:rPr>
                <w:color w:val="000000"/>
                <w:sz w:val="22"/>
                <w:szCs w:val="22"/>
                <w:lang w:val="is-IS"/>
              </w:rPr>
              <w:t>kaldir útlimir, lágþrýstingur, æðakrampaheilkenni</w:t>
            </w:r>
            <w:r w:rsidR="00AA40FA" w:rsidRPr="006774D3">
              <w:rPr>
                <w:color w:val="000000"/>
                <w:sz w:val="22"/>
                <w:szCs w:val="22"/>
                <w:lang w:val="is-IS"/>
              </w:rPr>
              <w:t xml:space="preserve"> (R</w:t>
            </w:r>
            <w:r w:rsidR="00107D5B" w:rsidRPr="006774D3">
              <w:rPr>
                <w:color w:val="000000"/>
                <w:sz w:val="22"/>
                <w:szCs w:val="22"/>
                <w:lang w:val="is-IS"/>
              </w:rPr>
              <w:t>a</w:t>
            </w:r>
            <w:r w:rsidR="00AA40FA" w:rsidRPr="006774D3">
              <w:rPr>
                <w:color w:val="000000"/>
                <w:sz w:val="22"/>
                <w:szCs w:val="22"/>
                <w:lang w:val="is-IS"/>
              </w:rPr>
              <w:t>ynaud‘s phenomenon)</w:t>
            </w:r>
            <w:r w:rsidRPr="006774D3">
              <w:rPr>
                <w:color w:val="000000"/>
                <w:sz w:val="22"/>
                <w:szCs w:val="22"/>
                <w:lang w:val="is-IS"/>
              </w:rPr>
              <w:t>.</w:t>
            </w:r>
          </w:p>
        </w:tc>
      </w:tr>
      <w:tr w:rsidR="00CA1857" w:rsidRPr="006774D3" w14:paraId="05B8B1BC" w14:textId="77777777">
        <w:tc>
          <w:tcPr>
            <w:tcW w:w="2287" w:type="dxa"/>
          </w:tcPr>
          <w:p w14:paraId="05B8B1BA"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BB"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Segamyndun/segarek*.</w:t>
            </w:r>
          </w:p>
        </w:tc>
      </w:tr>
      <w:tr w:rsidR="005F57F3" w:rsidRPr="006774D3" w14:paraId="05B8B1BE" w14:textId="77777777">
        <w:tc>
          <w:tcPr>
            <w:tcW w:w="9286" w:type="dxa"/>
            <w:gridSpan w:val="2"/>
          </w:tcPr>
          <w:p w14:paraId="05B8B1BD"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Öndunarfæri, brjósthol og miðmæti</w:t>
            </w:r>
          </w:p>
        </w:tc>
      </w:tr>
      <w:tr w:rsidR="005F57F3" w:rsidRPr="006774D3" w14:paraId="05B8B1C1" w14:textId="77777777">
        <w:tc>
          <w:tcPr>
            <w:tcW w:w="2287" w:type="dxa"/>
          </w:tcPr>
          <w:p w14:paraId="05B8B1BF"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C0"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Mæði, blóðnasir, hósti.</w:t>
            </w:r>
          </w:p>
        </w:tc>
      </w:tr>
      <w:tr w:rsidR="005F57F3" w:rsidRPr="006774D3" w14:paraId="05B8B1C4" w14:textId="77777777">
        <w:tc>
          <w:tcPr>
            <w:tcW w:w="2287" w:type="dxa"/>
          </w:tcPr>
          <w:p w14:paraId="05B8B1C2"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C3"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Fleiðruvökvi</w:t>
            </w:r>
            <w:r w:rsidR="000A4558" w:rsidRPr="006774D3">
              <w:rPr>
                <w:color w:val="000000"/>
                <w:sz w:val="22"/>
                <w:szCs w:val="22"/>
                <w:vertAlign w:val="superscript"/>
                <w:lang w:val="is-IS"/>
              </w:rPr>
              <w:t>5</w:t>
            </w:r>
            <w:r w:rsidRPr="006774D3">
              <w:rPr>
                <w:color w:val="000000"/>
                <w:sz w:val="22"/>
                <w:szCs w:val="22"/>
                <w:lang w:val="is-IS"/>
              </w:rPr>
              <w:t>, verkur í koki og barkakýli, kokbólga.</w:t>
            </w:r>
          </w:p>
        </w:tc>
      </w:tr>
      <w:tr w:rsidR="005F57F3" w:rsidRPr="006774D3" w14:paraId="05B8B1C7" w14:textId="77777777">
        <w:tc>
          <w:tcPr>
            <w:tcW w:w="2287" w:type="dxa"/>
          </w:tcPr>
          <w:p w14:paraId="05B8B1C5"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C6"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Fleiðruverkur, lungnatrefjun, lungnaháþrýstingur, lungnablæðing.</w:t>
            </w:r>
          </w:p>
        </w:tc>
      </w:tr>
      <w:tr w:rsidR="00CA1857" w:rsidRPr="006774D3" w14:paraId="05B8B1CA" w14:textId="77777777">
        <w:tc>
          <w:tcPr>
            <w:tcW w:w="2287" w:type="dxa"/>
          </w:tcPr>
          <w:p w14:paraId="05B8B1C8"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C9"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 öndunarbilun</w:t>
            </w:r>
            <w:r w:rsidR="00687C84" w:rsidRPr="006774D3">
              <w:rPr>
                <w:color w:val="000000"/>
                <w:sz w:val="22"/>
                <w:szCs w:val="22"/>
                <w:vertAlign w:val="superscript"/>
                <w:lang w:val="is-IS"/>
              </w:rPr>
              <w:t>11</w:t>
            </w:r>
            <w:r w:rsidRPr="006774D3">
              <w:rPr>
                <w:color w:val="000000"/>
                <w:sz w:val="22"/>
                <w:szCs w:val="22"/>
                <w:lang w:val="is-IS"/>
              </w:rPr>
              <w:t>*, millivefslungnasjúkdómur*.</w:t>
            </w:r>
          </w:p>
        </w:tc>
      </w:tr>
      <w:tr w:rsidR="005F57F3" w:rsidRPr="006774D3" w14:paraId="05B8B1CC" w14:textId="77777777">
        <w:tc>
          <w:tcPr>
            <w:tcW w:w="9286" w:type="dxa"/>
            <w:gridSpan w:val="2"/>
          </w:tcPr>
          <w:p w14:paraId="05B8B1CB"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Meltingarfæri</w:t>
            </w:r>
          </w:p>
        </w:tc>
      </w:tr>
      <w:tr w:rsidR="005F57F3" w:rsidRPr="006774D3" w14:paraId="05B8B1CF" w14:textId="77777777">
        <w:tc>
          <w:tcPr>
            <w:tcW w:w="2287" w:type="dxa"/>
          </w:tcPr>
          <w:p w14:paraId="05B8B1CD"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1CE"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Ógleði, niðurgangur, uppköst, meltingartruflun, kviðverkir</w:t>
            </w:r>
            <w:r w:rsidR="000A4558" w:rsidRPr="006774D3">
              <w:rPr>
                <w:color w:val="000000"/>
                <w:sz w:val="22"/>
                <w:szCs w:val="22"/>
                <w:vertAlign w:val="superscript"/>
                <w:lang w:val="is-IS"/>
              </w:rPr>
              <w:t>6</w:t>
            </w:r>
            <w:r w:rsidRPr="006774D3">
              <w:rPr>
                <w:color w:val="000000"/>
                <w:sz w:val="22"/>
                <w:szCs w:val="22"/>
                <w:lang w:val="is-IS"/>
              </w:rPr>
              <w:t>.</w:t>
            </w:r>
          </w:p>
        </w:tc>
      </w:tr>
      <w:tr w:rsidR="005F57F3" w:rsidRPr="006774D3" w14:paraId="05B8B1D2" w14:textId="77777777">
        <w:tc>
          <w:tcPr>
            <w:tcW w:w="2287" w:type="dxa"/>
          </w:tcPr>
          <w:p w14:paraId="05B8B1D0"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D1"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Vindgangur, þaninn kviður, maga-vélind</w:t>
            </w:r>
            <w:r w:rsidR="00104EF3" w:rsidRPr="006774D3">
              <w:rPr>
                <w:color w:val="000000"/>
                <w:sz w:val="22"/>
                <w:szCs w:val="22"/>
                <w:lang w:val="is-IS"/>
              </w:rPr>
              <w:t>a</w:t>
            </w:r>
            <w:r w:rsidRPr="006774D3">
              <w:rPr>
                <w:color w:val="000000"/>
                <w:sz w:val="22"/>
                <w:szCs w:val="22"/>
                <w:lang w:val="is-IS"/>
              </w:rPr>
              <w:t>bakflæði, hægðatregða, munnþurrkur, magabólga.</w:t>
            </w:r>
          </w:p>
        </w:tc>
      </w:tr>
      <w:tr w:rsidR="005F57F3" w:rsidRPr="006774D3" w14:paraId="05B8B1D5" w14:textId="77777777">
        <w:tc>
          <w:tcPr>
            <w:tcW w:w="2287" w:type="dxa"/>
          </w:tcPr>
          <w:p w14:paraId="05B8B1D3"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D4"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Munnbólga, munnsæri, blæðing í meltingarfærum</w:t>
            </w:r>
            <w:r w:rsidR="000A4558" w:rsidRPr="006774D3">
              <w:rPr>
                <w:color w:val="000000"/>
                <w:sz w:val="22"/>
                <w:szCs w:val="22"/>
                <w:vertAlign w:val="superscript"/>
                <w:lang w:val="is-IS"/>
              </w:rPr>
              <w:t>7</w:t>
            </w:r>
            <w:r w:rsidRPr="006774D3">
              <w:rPr>
                <w:color w:val="000000"/>
                <w:sz w:val="22"/>
                <w:szCs w:val="22"/>
                <w:lang w:val="is-IS"/>
              </w:rPr>
              <w:t>, ropi, sortusaur, vélind</w:t>
            </w:r>
            <w:r w:rsidR="00104EF3" w:rsidRPr="006774D3">
              <w:rPr>
                <w:color w:val="000000"/>
                <w:sz w:val="22"/>
                <w:szCs w:val="22"/>
                <w:lang w:val="is-IS"/>
              </w:rPr>
              <w:t>a</w:t>
            </w:r>
            <w:r w:rsidRPr="006774D3">
              <w:rPr>
                <w:color w:val="000000"/>
                <w:sz w:val="22"/>
                <w:szCs w:val="22"/>
                <w:lang w:val="is-IS"/>
              </w:rPr>
              <w:t>bólga, skinuholsvökvi, magasár, blóðug uppköst, varaþroti, kyngingartregða, brisbólga.</w:t>
            </w:r>
          </w:p>
        </w:tc>
      </w:tr>
      <w:tr w:rsidR="005F57F3" w:rsidRPr="006774D3" w14:paraId="05B8B1D8" w14:textId="77777777">
        <w:tc>
          <w:tcPr>
            <w:tcW w:w="2287" w:type="dxa"/>
          </w:tcPr>
          <w:p w14:paraId="05B8B1D6"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D7"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Ristilbólga, garnastífla, garnabólgusjúkdómur.</w:t>
            </w:r>
          </w:p>
        </w:tc>
      </w:tr>
      <w:tr w:rsidR="00CA1857" w:rsidRPr="006774D3" w14:paraId="05B8B1DB" w14:textId="77777777">
        <w:tc>
          <w:tcPr>
            <w:tcW w:w="2287" w:type="dxa"/>
          </w:tcPr>
          <w:p w14:paraId="05B8B1D9"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DA"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Garnastífla/teppa í meltingarvegi</w:t>
            </w:r>
            <w:r w:rsidR="00142B05" w:rsidRPr="006774D3">
              <w:rPr>
                <w:color w:val="000000"/>
                <w:sz w:val="22"/>
                <w:szCs w:val="22"/>
                <w:lang w:val="is-IS"/>
              </w:rPr>
              <w:t>*</w:t>
            </w:r>
            <w:r w:rsidRPr="006774D3">
              <w:rPr>
                <w:color w:val="000000"/>
                <w:sz w:val="22"/>
                <w:szCs w:val="22"/>
                <w:lang w:val="is-IS"/>
              </w:rPr>
              <w:t>, garnarof*, sarpbólga*, GAVE (víkkun lítilla blóðæða í neðsta hluta magans [</w:t>
            </w:r>
            <w:r w:rsidRPr="006774D3">
              <w:rPr>
                <w:sz w:val="22"/>
                <w:szCs w:val="22"/>
                <w:lang w:val="is-IS"/>
              </w:rPr>
              <w:t>gastric antral vascular ectasia])*</w:t>
            </w:r>
            <w:r w:rsidRPr="006774D3">
              <w:rPr>
                <w:color w:val="000000"/>
                <w:sz w:val="22"/>
                <w:szCs w:val="22"/>
                <w:lang w:val="is-IS"/>
              </w:rPr>
              <w:t>.</w:t>
            </w:r>
          </w:p>
        </w:tc>
      </w:tr>
      <w:tr w:rsidR="00104EF3" w:rsidRPr="006774D3" w14:paraId="05B8B1DD" w14:textId="77777777">
        <w:tc>
          <w:tcPr>
            <w:tcW w:w="9286" w:type="dxa"/>
            <w:gridSpan w:val="2"/>
          </w:tcPr>
          <w:p w14:paraId="05B8B1DC"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Lifur og gall</w:t>
            </w:r>
          </w:p>
        </w:tc>
      </w:tr>
      <w:tr w:rsidR="00104EF3" w:rsidRPr="006774D3" w14:paraId="05B8B1E0" w14:textId="77777777">
        <w:tc>
          <w:tcPr>
            <w:tcW w:w="2287" w:type="dxa"/>
          </w:tcPr>
          <w:p w14:paraId="05B8B1DE"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DF"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Hækkuð lifrarensím.</w:t>
            </w:r>
          </w:p>
        </w:tc>
      </w:tr>
      <w:tr w:rsidR="00104EF3" w:rsidRPr="006774D3" w14:paraId="05B8B1E3" w14:textId="77777777">
        <w:tc>
          <w:tcPr>
            <w:tcW w:w="2287" w:type="dxa"/>
          </w:tcPr>
          <w:p w14:paraId="05B8B1E1"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E2"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Blóðbilirubinhækkun, lifrarbólga, gula.</w:t>
            </w:r>
          </w:p>
        </w:tc>
      </w:tr>
      <w:tr w:rsidR="00104EF3" w:rsidRPr="006774D3" w14:paraId="05B8B1E6" w14:textId="77777777">
        <w:tc>
          <w:tcPr>
            <w:tcW w:w="2287" w:type="dxa"/>
          </w:tcPr>
          <w:p w14:paraId="05B8B1E4"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E5"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Lifrarbilun</w:t>
            </w:r>
            <w:r w:rsidR="000A4558" w:rsidRPr="006774D3">
              <w:rPr>
                <w:color w:val="000000"/>
                <w:sz w:val="22"/>
                <w:szCs w:val="22"/>
                <w:vertAlign w:val="superscript"/>
                <w:lang w:val="is-IS"/>
              </w:rPr>
              <w:t>8</w:t>
            </w:r>
            <w:r w:rsidRPr="006774D3">
              <w:rPr>
                <w:color w:val="000000"/>
                <w:sz w:val="22"/>
                <w:szCs w:val="22"/>
                <w:lang w:val="is-IS"/>
              </w:rPr>
              <w:t>, lifrardrep.</w:t>
            </w:r>
          </w:p>
        </w:tc>
      </w:tr>
      <w:tr w:rsidR="005F57F3" w:rsidRPr="006774D3" w14:paraId="05B8B1E8" w14:textId="77777777">
        <w:tc>
          <w:tcPr>
            <w:tcW w:w="9286" w:type="dxa"/>
            <w:gridSpan w:val="2"/>
          </w:tcPr>
          <w:p w14:paraId="05B8B1E7"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Húð og undirhúð</w:t>
            </w:r>
          </w:p>
        </w:tc>
      </w:tr>
      <w:tr w:rsidR="005F57F3" w:rsidRPr="006774D3" w14:paraId="05B8B1EB" w14:textId="77777777">
        <w:tc>
          <w:tcPr>
            <w:tcW w:w="2287" w:type="dxa"/>
          </w:tcPr>
          <w:p w14:paraId="05B8B1E9"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1EA"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Bjúgur umhverfis augu, húðbólga/exem/útbrot.</w:t>
            </w:r>
          </w:p>
        </w:tc>
      </w:tr>
      <w:tr w:rsidR="005F57F3" w:rsidRPr="006774D3" w14:paraId="05B8B1EE" w14:textId="77777777">
        <w:tc>
          <w:tcPr>
            <w:tcW w:w="2287" w:type="dxa"/>
          </w:tcPr>
          <w:p w14:paraId="05B8B1EC"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ED"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Kláði, andlitsbjúgur, húðþurrkur, hörundsroði, hárlos, nætursviti, ljósnæmis</w:t>
            </w:r>
            <w:r w:rsidRPr="006774D3">
              <w:rPr>
                <w:color w:val="000000"/>
                <w:sz w:val="22"/>
                <w:szCs w:val="22"/>
                <w:lang w:val="is-IS"/>
              </w:rPr>
              <w:softHyphen/>
              <w:t>viðbragð.</w:t>
            </w:r>
          </w:p>
        </w:tc>
      </w:tr>
      <w:tr w:rsidR="005F57F3" w:rsidRPr="006774D3" w14:paraId="05B8B1F1" w14:textId="77777777">
        <w:tc>
          <w:tcPr>
            <w:tcW w:w="2287" w:type="dxa"/>
          </w:tcPr>
          <w:p w14:paraId="05B8B1EF"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1F0"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Bóluútbrot, mar, aukin svitamyndun, ofsakláði, flekkblæðingar, mar af minna tilefni en áður, gisið hár, vanlitun í húð, skinnflagningsbólga, brotnar neglur, hársekksbólga, depilblæðingar, sóri, purpuri, oflitun í húð, blöðruútsláttur.</w:t>
            </w:r>
          </w:p>
        </w:tc>
      </w:tr>
      <w:tr w:rsidR="005F57F3" w:rsidRPr="006774D3" w14:paraId="05B8B1F4" w14:textId="77777777">
        <w:tc>
          <w:tcPr>
            <w:tcW w:w="2287" w:type="dxa"/>
          </w:tcPr>
          <w:p w14:paraId="05B8B1F2"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1F3"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 daufkyrningahúðsótt með sótthita (Sweets heilkenni), mislitun nagla, ofsa</w:t>
            </w:r>
            <w:r w:rsidRPr="006774D3">
              <w:rPr>
                <w:color w:val="000000"/>
                <w:sz w:val="22"/>
                <w:szCs w:val="22"/>
                <w:lang w:val="is-IS"/>
              </w:rPr>
              <w:softHyphen/>
              <w:t>bjúgur, útbrot með blöðrum, regnbogaroðaþot, ofnæmisæðabólga, Stevens-Johnson heilkenni</w:t>
            </w:r>
            <w:r w:rsidR="00B269FB" w:rsidRPr="006774D3">
              <w:rPr>
                <w:color w:val="000000"/>
                <w:sz w:val="22"/>
                <w:szCs w:val="22"/>
                <w:lang w:val="is-IS"/>
              </w:rPr>
              <w:t xml:space="preserve">, bráð almenn </w:t>
            </w:r>
            <w:r w:rsidR="00610200" w:rsidRPr="006774D3">
              <w:rPr>
                <w:color w:val="000000"/>
                <w:sz w:val="22"/>
                <w:szCs w:val="22"/>
                <w:lang w:val="is-IS"/>
              </w:rPr>
              <w:t>bóluútbrot</w:t>
            </w:r>
            <w:r w:rsidR="00B269FB" w:rsidRPr="006774D3">
              <w:rPr>
                <w:color w:val="000000"/>
                <w:sz w:val="22"/>
                <w:szCs w:val="22"/>
                <w:lang w:val="is-IS"/>
              </w:rPr>
              <w:t xml:space="preserve"> (AGEP)</w:t>
            </w:r>
            <w:r w:rsidRPr="006774D3">
              <w:rPr>
                <w:color w:val="000000"/>
                <w:sz w:val="22"/>
                <w:szCs w:val="22"/>
                <w:lang w:val="is-IS"/>
              </w:rPr>
              <w:t>.</w:t>
            </w:r>
          </w:p>
        </w:tc>
      </w:tr>
      <w:tr w:rsidR="00CA1857" w:rsidRPr="006774D3" w14:paraId="05B8B1F7" w14:textId="77777777">
        <w:tc>
          <w:tcPr>
            <w:tcW w:w="2287" w:type="dxa"/>
          </w:tcPr>
          <w:p w14:paraId="05B8B1F5"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1F6" w14:textId="77777777" w:rsidR="00CA1857" w:rsidRPr="006774D3" w:rsidRDefault="00CA1857"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 xml:space="preserve">Handa- og fótaheilkenni (palmoplantar erythrodysesthesia syndrome)*, hornlagsskæningur (lichenoid keratosis)*, flatskæningur*, </w:t>
            </w:r>
            <w:r w:rsidR="00A23021" w:rsidRPr="006774D3">
              <w:rPr>
                <w:color w:val="000000"/>
                <w:sz w:val="22"/>
                <w:szCs w:val="22"/>
                <w:lang w:val="is-IS"/>
              </w:rPr>
              <w:t>eitrunar</w:t>
            </w:r>
            <w:r w:rsidRPr="006774D3">
              <w:rPr>
                <w:color w:val="000000"/>
                <w:sz w:val="22"/>
                <w:szCs w:val="22"/>
                <w:lang w:val="is-IS"/>
              </w:rPr>
              <w:t>drep</w:t>
            </w:r>
            <w:r w:rsidR="00A23021" w:rsidRPr="006774D3">
              <w:rPr>
                <w:color w:val="000000"/>
                <w:sz w:val="22"/>
                <w:szCs w:val="22"/>
                <w:lang w:val="is-IS"/>
              </w:rPr>
              <w:t>los</w:t>
            </w:r>
            <w:r w:rsidRPr="006774D3">
              <w:rPr>
                <w:color w:val="000000"/>
                <w:sz w:val="22"/>
                <w:szCs w:val="22"/>
                <w:lang w:val="is-IS"/>
              </w:rPr>
              <w:t xml:space="preserve"> húðþekju*, l</w:t>
            </w:r>
            <w:r w:rsidRPr="006774D3">
              <w:rPr>
                <w:bCs/>
                <w:color w:val="000000"/>
                <w:sz w:val="22"/>
                <w:szCs w:val="22"/>
                <w:lang w:val="is-IS"/>
              </w:rPr>
              <w:t>yfjaútbrot</w:t>
            </w:r>
            <w:r w:rsidRPr="006774D3">
              <w:rPr>
                <w:color w:val="000000"/>
                <w:sz w:val="22"/>
                <w:szCs w:val="22"/>
                <w:lang w:val="is-IS"/>
              </w:rPr>
              <w:t xml:space="preserve"> ásamt rauðkyrningageri og altækum einkennum (</w:t>
            </w:r>
            <w:r w:rsidRPr="006774D3">
              <w:rPr>
                <w:bCs/>
                <w:color w:val="000000"/>
                <w:sz w:val="22"/>
                <w:szCs w:val="22"/>
                <w:lang w:val="is-IS"/>
              </w:rPr>
              <w:t>DRESS</w:t>
            </w:r>
            <w:r w:rsidRPr="006774D3">
              <w:rPr>
                <w:color w:val="000000"/>
                <w:sz w:val="22"/>
                <w:szCs w:val="22"/>
                <w:lang w:val="is-IS"/>
              </w:rPr>
              <w:t>)</w:t>
            </w:r>
            <w:r w:rsidR="003A33D0" w:rsidRPr="006774D3">
              <w:rPr>
                <w:color w:val="000000"/>
                <w:sz w:val="22"/>
                <w:szCs w:val="22"/>
                <w:lang w:val="is-IS"/>
              </w:rPr>
              <w:t>, sýndarporfyría</w:t>
            </w:r>
            <w:r w:rsidR="00DC6F77" w:rsidRPr="006774D3">
              <w:rPr>
                <w:color w:val="000000"/>
                <w:sz w:val="22"/>
                <w:szCs w:val="22"/>
                <w:lang w:val="is-IS"/>
              </w:rPr>
              <w:t>*</w:t>
            </w:r>
          </w:p>
        </w:tc>
      </w:tr>
      <w:tr w:rsidR="005F57F3" w:rsidRPr="006774D3" w14:paraId="05B8B1F9" w14:textId="77777777">
        <w:tc>
          <w:tcPr>
            <w:tcW w:w="9286" w:type="dxa"/>
            <w:gridSpan w:val="2"/>
          </w:tcPr>
          <w:p w14:paraId="05B8B1F8"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lastRenderedPageBreak/>
              <w:t>Stoðkerfi og stoðvefur</w:t>
            </w:r>
          </w:p>
        </w:tc>
      </w:tr>
      <w:tr w:rsidR="005F57F3" w:rsidRPr="006774D3" w14:paraId="05B8B1FC" w14:textId="77777777">
        <w:tc>
          <w:tcPr>
            <w:tcW w:w="2287" w:type="dxa"/>
          </w:tcPr>
          <w:p w14:paraId="05B8B1FA"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1FB"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Vöðvakippir og krampar, stoðkerfisverkir þar með taldir vöðvaverkir</w:t>
            </w:r>
            <w:r w:rsidR="00687C84" w:rsidRPr="006774D3">
              <w:rPr>
                <w:color w:val="000000"/>
                <w:sz w:val="22"/>
                <w:szCs w:val="22"/>
                <w:vertAlign w:val="superscript"/>
                <w:lang w:val="is-IS"/>
              </w:rPr>
              <w:t>9</w:t>
            </w:r>
            <w:r w:rsidRPr="006774D3">
              <w:rPr>
                <w:color w:val="000000"/>
                <w:sz w:val="22"/>
                <w:szCs w:val="22"/>
                <w:lang w:val="is-IS"/>
              </w:rPr>
              <w:t>, liðverkir og beinverkir</w:t>
            </w:r>
            <w:r w:rsidR="00687C84" w:rsidRPr="006774D3">
              <w:rPr>
                <w:color w:val="000000"/>
                <w:sz w:val="22"/>
                <w:szCs w:val="22"/>
                <w:vertAlign w:val="superscript"/>
                <w:lang w:val="is-IS"/>
              </w:rPr>
              <w:t>10</w:t>
            </w:r>
            <w:r w:rsidRPr="006774D3">
              <w:rPr>
                <w:color w:val="000000"/>
                <w:sz w:val="22"/>
                <w:szCs w:val="22"/>
                <w:lang w:val="is-IS"/>
              </w:rPr>
              <w:t>.</w:t>
            </w:r>
          </w:p>
        </w:tc>
      </w:tr>
      <w:tr w:rsidR="005F57F3" w:rsidRPr="006774D3" w14:paraId="05B8B1FF" w14:textId="77777777">
        <w:tc>
          <w:tcPr>
            <w:tcW w:w="2287" w:type="dxa"/>
          </w:tcPr>
          <w:p w14:paraId="05B8B1FD" w14:textId="77777777" w:rsidR="005F57F3" w:rsidRPr="006774D3" w:rsidRDefault="005F57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1FE"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Liðbólga.</w:t>
            </w:r>
          </w:p>
        </w:tc>
      </w:tr>
      <w:tr w:rsidR="005F57F3" w:rsidRPr="006774D3" w14:paraId="05B8B202" w14:textId="77777777">
        <w:tc>
          <w:tcPr>
            <w:tcW w:w="2287" w:type="dxa"/>
          </w:tcPr>
          <w:p w14:paraId="05B8B200"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201"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Stífleiki í liðum og vöðvum.</w:t>
            </w:r>
          </w:p>
        </w:tc>
      </w:tr>
      <w:tr w:rsidR="005F57F3" w:rsidRPr="006774D3" w14:paraId="05B8B205" w14:textId="77777777">
        <w:tc>
          <w:tcPr>
            <w:tcW w:w="2287" w:type="dxa"/>
          </w:tcPr>
          <w:p w14:paraId="05B8B203"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204"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Vöðvamáttleysi, liðbólga</w:t>
            </w:r>
            <w:r w:rsidR="00B269FB" w:rsidRPr="006774D3">
              <w:rPr>
                <w:color w:val="000000"/>
                <w:sz w:val="22"/>
                <w:szCs w:val="22"/>
                <w:lang w:val="is-IS"/>
              </w:rPr>
              <w:t>, rákvöðvalýsa/vöðvakvilli</w:t>
            </w:r>
            <w:r w:rsidRPr="006774D3">
              <w:rPr>
                <w:color w:val="000000"/>
                <w:sz w:val="22"/>
                <w:szCs w:val="22"/>
                <w:lang w:val="is-IS"/>
              </w:rPr>
              <w:t>.</w:t>
            </w:r>
          </w:p>
        </w:tc>
      </w:tr>
      <w:tr w:rsidR="00CA1857" w:rsidRPr="006774D3" w14:paraId="05B8B208" w14:textId="77777777">
        <w:tc>
          <w:tcPr>
            <w:tcW w:w="2287" w:type="dxa"/>
          </w:tcPr>
          <w:p w14:paraId="05B8B206"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207" w14:textId="77777777" w:rsidR="00CA1857" w:rsidRPr="006774D3" w:rsidRDefault="00CA1857"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Blóðþurrðardrep/drep í mjöðm*, vaxtarskerðing hjá börnum*.</w:t>
            </w:r>
          </w:p>
        </w:tc>
      </w:tr>
      <w:tr w:rsidR="00104EF3" w:rsidRPr="006774D3" w14:paraId="05B8B20A" w14:textId="77777777">
        <w:tc>
          <w:tcPr>
            <w:tcW w:w="9286" w:type="dxa"/>
            <w:gridSpan w:val="2"/>
          </w:tcPr>
          <w:p w14:paraId="05B8B209" w14:textId="77777777" w:rsidR="00104EF3" w:rsidRPr="006774D3" w:rsidRDefault="00104EF3"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Nýru og þvagfæri</w:t>
            </w:r>
          </w:p>
        </w:tc>
      </w:tr>
      <w:tr w:rsidR="00104EF3" w:rsidRPr="006774D3" w14:paraId="05B8B20D" w14:textId="77777777">
        <w:tc>
          <w:tcPr>
            <w:tcW w:w="2287" w:type="dxa"/>
          </w:tcPr>
          <w:p w14:paraId="05B8B20B" w14:textId="77777777" w:rsidR="00104EF3" w:rsidRPr="006774D3" w:rsidRDefault="00104EF3"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20C" w14:textId="77777777" w:rsidR="00104EF3" w:rsidRPr="006774D3" w:rsidRDefault="00104EF3"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Nýrnaverkir, blóð</w:t>
            </w:r>
            <w:r w:rsidR="00AA40FA" w:rsidRPr="006774D3">
              <w:rPr>
                <w:color w:val="000000"/>
                <w:sz w:val="22"/>
                <w:szCs w:val="22"/>
                <w:lang w:val="is-IS"/>
              </w:rPr>
              <w:t xml:space="preserve"> í þvagi</w:t>
            </w:r>
            <w:r w:rsidRPr="006774D3">
              <w:rPr>
                <w:color w:val="000000"/>
                <w:sz w:val="22"/>
                <w:szCs w:val="22"/>
                <w:lang w:val="is-IS"/>
              </w:rPr>
              <w:t>, bráð nýrnabilun, aukin tíðni þvagláta.</w:t>
            </w:r>
          </w:p>
        </w:tc>
      </w:tr>
      <w:tr w:rsidR="005B3E55" w:rsidRPr="006774D3" w14:paraId="05B8B210" w14:textId="77777777">
        <w:tc>
          <w:tcPr>
            <w:tcW w:w="2287" w:type="dxa"/>
          </w:tcPr>
          <w:p w14:paraId="05B8B20E" w14:textId="77777777" w:rsidR="005B3E55" w:rsidRPr="006774D3" w:rsidRDefault="005B3E55" w:rsidP="00346F25">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20F" w14:textId="77777777" w:rsidR="005B3E55" w:rsidRPr="006774D3" w:rsidRDefault="005B3E55" w:rsidP="00346F25">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Langvarandi nýrnabilun.</w:t>
            </w:r>
          </w:p>
        </w:tc>
      </w:tr>
      <w:tr w:rsidR="00104EF3" w:rsidRPr="006774D3" w14:paraId="05B8B212" w14:textId="77777777">
        <w:tc>
          <w:tcPr>
            <w:tcW w:w="9286" w:type="dxa"/>
            <w:gridSpan w:val="2"/>
          </w:tcPr>
          <w:p w14:paraId="05B8B211"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Æxlunarfæri og brjóst</w:t>
            </w:r>
          </w:p>
        </w:tc>
      </w:tr>
      <w:tr w:rsidR="00104EF3" w:rsidRPr="006774D3" w14:paraId="05B8B215" w14:textId="77777777">
        <w:tc>
          <w:tcPr>
            <w:tcW w:w="2287" w:type="dxa"/>
          </w:tcPr>
          <w:p w14:paraId="05B8B213"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214" w14:textId="77777777" w:rsidR="00104EF3" w:rsidRPr="006774D3" w:rsidRDefault="00104E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 xml:space="preserve">Brjóstastækkun hjá körlum, ristruflanir, </w:t>
            </w:r>
            <w:r w:rsidR="00AA40FA" w:rsidRPr="006774D3">
              <w:rPr>
                <w:color w:val="000000"/>
                <w:sz w:val="22"/>
                <w:szCs w:val="22"/>
                <w:lang w:val="is-IS"/>
              </w:rPr>
              <w:t>miklar tíðablæðingar</w:t>
            </w:r>
            <w:r w:rsidRPr="006774D3">
              <w:rPr>
                <w:color w:val="000000"/>
                <w:sz w:val="22"/>
                <w:szCs w:val="22"/>
                <w:lang w:val="is-IS"/>
              </w:rPr>
              <w:t xml:space="preserve">, óreglulegar tíðablæðingar, </w:t>
            </w:r>
            <w:r w:rsidR="00AA40FA" w:rsidRPr="006774D3">
              <w:rPr>
                <w:color w:val="000000"/>
                <w:sz w:val="22"/>
                <w:szCs w:val="22"/>
                <w:lang w:val="is-IS"/>
              </w:rPr>
              <w:t>truflanir á kynlífi</w:t>
            </w:r>
            <w:r w:rsidRPr="006774D3">
              <w:rPr>
                <w:color w:val="000000"/>
                <w:sz w:val="22"/>
                <w:szCs w:val="22"/>
                <w:lang w:val="is-IS"/>
              </w:rPr>
              <w:t>, sárar geirvörtur, brjóstastækkun, pungbjúgur.</w:t>
            </w:r>
          </w:p>
        </w:tc>
      </w:tr>
      <w:tr w:rsidR="00104EF3" w:rsidRPr="006774D3" w14:paraId="05B8B218" w14:textId="77777777">
        <w:tc>
          <w:tcPr>
            <w:tcW w:w="2287" w:type="dxa"/>
          </w:tcPr>
          <w:p w14:paraId="05B8B216"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217" w14:textId="77777777" w:rsidR="00104EF3" w:rsidRPr="006774D3" w:rsidRDefault="00104E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Blæðandi gulbú/blæðandi blaðra á eggjastokk.</w:t>
            </w:r>
          </w:p>
        </w:tc>
      </w:tr>
      <w:tr w:rsidR="005F57F3" w:rsidRPr="006774D3" w14:paraId="05B8B21A" w14:textId="77777777">
        <w:tc>
          <w:tcPr>
            <w:tcW w:w="9286" w:type="dxa"/>
            <w:gridSpan w:val="2"/>
          </w:tcPr>
          <w:p w14:paraId="05B8B219"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Almennar aukaverkanir og aukaverkanir á íkomustað</w:t>
            </w:r>
          </w:p>
        </w:tc>
      </w:tr>
      <w:tr w:rsidR="005F57F3" w:rsidRPr="006774D3" w14:paraId="05B8B21D" w14:textId="77777777">
        <w:tc>
          <w:tcPr>
            <w:tcW w:w="2287" w:type="dxa"/>
          </w:tcPr>
          <w:p w14:paraId="05B8B21B"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21C"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Vökvasöfnun og bjúgur, þreyta.</w:t>
            </w:r>
          </w:p>
        </w:tc>
      </w:tr>
      <w:tr w:rsidR="005F57F3" w:rsidRPr="006774D3" w14:paraId="05B8B220" w14:textId="77777777">
        <w:tc>
          <w:tcPr>
            <w:tcW w:w="2287" w:type="dxa"/>
          </w:tcPr>
          <w:p w14:paraId="05B8B21E"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21F" w14:textId="77777777" w:rsidR="005F57F3" w:rsidRPr="006774D3" w:rsidRDefault="005F57F3" w:rsidP="00346F25">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Máttleysi, hiti, holdbjúgur, kalda, kuldahrollur.</w:t>
            </w:r>
          </w:p>
        </w:tc>
      </w:tr>
      <w:tr w:rsidR="005F57F3" w:rsidRPr="006774D3" w14:paraId="05B8B223" w14:textId="77777777">
        <w:tc>
          <w:tcPr>
            <w:tcW w:w="2287" w:type="dxa"/>
          </w:tcPr>
          <w:p w14:paraId="05B8B221"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222"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Brjóstverkur, lasleiki.</w:t>
            </w:r>
          </w:p>
        </w:tc>
      </w:tr>
      <w:tr w:rsidR="00104EF3" w:rsidRPr="006774D3" w14:paraId="05B8B225" w14:textId="77777777">
        <w:tc>
          <w:tcPr>
            <w:tcW w:w="9286" w:type="dxa"/>
            <w:gridSpan w:val="2"/>
          </w:tcPr>
          <w:p w14:paraId="05B8B224"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Rannsóknaniðurstöður</w:t>
            </w:r>
          </w:p>
        </w:tc>
      </w:tr>
      <w:tr w:rsidR="00104EF3" w:rsidRPr="006774D3" w14:paraId="05B8B228" w14:textId="77777777">
        <w:tc>
          <w:tcPr>
            <w:tcW w:w="2287" w:type="dxa"/>
          </w:tcPr>
          <w:p w14:paraId="05B8B226"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algengar:</w:t>
            </w:r>
          </w:p>
        </w:tc>
        <w:tc>
          <w:tcPr>
            <w:tcW w:w="6999" w:type="dxa"/>
          </w:tcPr>
          <w:p w14:paraId="05B8B227"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Þyngdaraukning.</w:t>
            </w:r>
          </w:p>
        </w:tc>
      </w:tr>
      <w:tr w:rsidR="00104EF3" w:rsidRPr="006774D3" w14:paraId="05B8B22B" w14:textId="77777777">
        <w:tc>
          <w:tcPr>
            <w:tcW w:w="2287" w:type="dxa"/>
          </w:tcPr>
          <w:p w14:paraId="05B8B229"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Algengar:</w:t>
            </w:r>
          </w:p>
        </w:tc>
        <w:tc>
          <w:tcPr>
            <w:tcW w:w="6999" w:type="dxa"/>
          </w:tcPr>
          <w:p w14:paraId="05B8B22A"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Þyngdartap.</w:t>
            </w:r>
          </w:p>
        </w:tc>
      </w:tr>
      <w:tr w:rsidR="00104EF3" w:rsidRPr="006774D3" w14:paraId="05B8B22E" w14:textId="77777777">
        <w:tc>
          <w:tcPr>
            <w:tcW w:w="2287" w:type="dxa"/>
          </w:tcPr>
          <w:p w14:paraId="05B8B22C"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Sjaldgæfar:</w:t>
            </w:r>
          </w:p>
        </w:tc>
        <w:tc>
          <w:tcPr>
            <w:tcW w:w="6999" w:type="dxa"/>
          </w:tcPr>
          <w:p w14:paraId="05B8B22D"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Aukið kreatinin í blóði, aukinn kreatinfosfokinasi í blóði, aukinn lactat</w:t>
            </w:r>
            <w:r w:rsidRPr="006774D3">
              <w:rPr>
                <w:color w:val="000000"/>
                <w:sz w:val="22"/>
                <w:szCs w:val="22"/>
                <w:lang w:val="is-IS"/>
              </w:rPr>
              <w:softHyphen/>
              <w:t>dehydrogenasi í blóði, aukinn alkalískur fosfatasi í blóði.</w:t>
            </w:r>
          </w:p>
        </w:tc>
      </w:tr>
      <w:tr w:rsidR="00104EF3" w:rsidRPr="006774D3" w14:paraId="05B8B231" w14:textId="77777777">
        <w:tc>
          <w:tcPr>
            <w:tcW w:w="2287" w:type="dxa"/>
          </w:tcPr>
          <w:p w14:paraId="05B8B22F"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230" w14:textId="77777777" w:rsidR="00104EF3" w:rsidRPr="006774D3" w:rsidRDefault="00104EF3"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Aukinn amylasi í blóði.</w:t>
            </w:r>
          </w:p>
        </w:tc>
      </w:tr>
    </w:tbl>
    <w:p w14:paraId="05B8B232" w14:textId="77777777" w:rsidR="005F57F3" w:rsidRPr="006774D3" w:rsidRDefault="005F57F3" w:rsidP="00346F25">
      <w:pPr>
        <w:keepNext/>
        <w:rPr>
          <w:color w:val="000000"/>
          <w:sz w:val="22"/>
          <w:szCs w:val="22"/>
        </w:rPr>
      </w:pPr>
    </w:p>
    <w:p w14:paraId="05B8B233" w14:textId="77777777" w:rsidR="00CA1857" w:rsidRPr="006774D3" w:rsidRDefault="00CA1857"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w:t>
      </w:r>
      <w:r w:rsidRPr="006774D3">
        <w:rPr>
          <w:color w:val="000000"/>
          <w:sz w:val="22"/>
          <w:szCs w:val="22"/>
          <w:lang w:val="is-IS"/>
        </w:rPr>
        <w:tab/>
        <w:t>Einkum hefur verið greint frá þessum aukaverkunum eftir markaðssetningu Glivec. Hér er um að ræða tilvik sem greint hefur verið frá við notkun lyfsins utan klínískra rannsókna sem og alvarlegar aukaverkanir úr yfirstandandi rannsóknum, framlengdum áætlunum um aðgang að lyfinu, klínískum lyfjafræðirannsóknum og rannsóknum í tengslum við ósamþykktar ábendingar. Vegna þess að hér er um að ræða tilkynningar úr þýði af óþekktri stærð, er ekki alltaf unnt að meta tíðni þeirra með vissu eða staðfesta orsakasamhengi við útsetningu fyrir imatinibi.</w:t>
      </w:r>
    </w:p>
    <w:p w14:paraId="05B8B234" w14:textId="77777777" w:rsidR="002D17B9" w:rsidRPr="006774D3" w:rsidRDefault="002D17B9"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w:t>
      </w:r>
      <w:r w:rsidRPr="006774D3">
        <w:rPr>
          <w:color w:val="000000"/>
          <w:sz w:val="22"/>
          <w:szCs w:val="22"/>
          <w:lang w:val="is-IS"/>
        </w:rPr>
        <w:tab/>
        <w:t>Oftast var greint frá lungnabólgu hjá sjúklingum með umbreytt CML og hjá sjúklingum með GIST.</w:t>
      </w:r>
    </w:p>
    <w:p w14:paraId="05B8B235" w14:textId="77777777" w:rsidR="005F57F3" w:rsidRPr="006774D3" w:rsidRDefault="005F57F3"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2</w:t>
      </w:r>
      <w:r w:rsidRPr="006774D3">
        <w:rPr>
          <w:color w:val="000000"/>
          <w:sz w:val="22"/>
          <w:szCs w:val="22"/>
          <w:lang w:val="is-IS"/>
        </w:rPr>
        <w:tab/>
        <w:t>Höfuðve</w:t>
      </w:r>
      <w:r w:rsidR="00AA40FA" w:rsidRPr="006774D3">
        <w:rPr>
          <w:color w:val="000000"/>
          <w:sz w:val="22"/>
          <w:szCs w:val="22"/>
          <w:lang w:val="is-IS"/>
        </w:rPr>
        <w:t>r</w:t>
      </w:r>
      <w:r w:rsidRPr="006774D3">
        <w:rPr>
          <w:color w:val="000000"/>
          <w:sz w:val="22"/>
          <w:szCs w:val="22"/>
          <w:lang w:val="is-IS"/>
        </w:rPr>
        <w:t>kur var algengasta aukaverkunin hjá sjúklingum með GIST.</w:t>
      </w:r>
    </w:p>
    <w:p w14:paraId="05B8B236" w14:textId="77777777" w:rsidR="002D17B9" w:rsidRPr="006774D3" w:rsidRDefault="002D17B9"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3</w:t>
      </w:r>
      <w:r w:rsidRPr="006774D3">
        <w:rPr>
          <w:color w:val="000000"/>
          <w:sz w:val="22"/>
          <w:szCs w:val="22"/>
          <w:lang w:val="is-IS"/>
        </w:rPr>
        <w:tab/>
        <w:t>Á grundvelli sjúklingsára tengdust hjartaatvik, þ.m.t. hjartabilun, oftar sjúklingum með umbreytt (transformed) CML en sjúklingum með langvarandi CML.</w:t>
      </w:r>
    </w:p>
    <w:p w14:paraId="05B8B237" w14:textId="77777777" w:rsidR="002D17B9" w:rsidRPr="006774D3" w:rsidRDefault="002D17B9"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4</w:t>
      </w:r>
      <w:r w:rsidRPr="006774D3">
        <w:rPr>
          <w:color w:val="000000"/>
          <w:sz w:val="22"/>
          <w:szCs w:val="22"/>
          <w:lang w:val="is-IS"/>
        </w:rPr>
        <w:tab/>
        <w:t>Hitaroði í andliti og/eða á hálsi kom oftast fyrir hjá sjúklingum með GIST og blæðing (margúll, blæðing) kom oftast fyrir hjá sjúklingum með GIST og hjá sjúklingum með umbreytt CML (CML</w:t>
      </w:r>
      <w:r w:rsidRPr="006774D3">
        <w:rPr>
          <w:color w:val="000000"/>
          <w:sz w:val="22"/>
          <w:szCs w:val="22"/>
          <w:lang w:val="is-IS"/>
        </w:rPr>
        <w:noBreakHyphen/>
        <w:t>AP og CML</w:t>
      </w:r>
      <w:r w:rsidRPr="006774D3">
        <w:rPr>
          <w:color w:val="000000"/>
          <w:sz w:val="22"/>
          <w:szCs w:val="22"/>
          <w:lang w:val="is-IS"/>
        </w:rPr>
        <w:noBreakHyphen/>
        <w:t>BC).</w:t>
      </w:r>
    </w:p>
    <w:p w14:paraId="05B8B238" w14:textId="77777777" w:rsidR="005F57F3" w:rsidRPr="006774D3" w:rsidRDefault="002D17B9"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5</w:t>
      </w:r>
      <w:r w:rsidR="005F57F3" w:rsidRPr="006774D3">
        <w:rPr>
          <w:color w:val="000000"/>
          <w:sz w:val="22"/>
          <w:szCs w:val="22"/>
          <w:lang w:val="is-IS"/>
        </w:rPr>
        <w:tab/>
        <w:t>Oftar var greint frá fleiðruvökva hjá sjúklingum með GIST og hjá sjúklingum með umbreytt CML (CML</w:t>
      </w:r>
      <w:r w:rsidR="005F57F3" w:rsidRPr="006774D3">
        <w:rPr>
          <w:color w:val="000000"/>
          <w:sz w:val="22"/>
          <w:szCs w:val="22"/>
          <w:lang w:val="is-IS"/>
        </w:rPr>
        <w:noBreakHyphen/>
        <w:t>AP og CML</w:t>
      </w:r>
      <w:r w:rsidR="005F57F3" w:rsidRPr="006774D3">
        <w:rPr>
          <w:color w:val="000000"/>
          <w:sz w:val="22"/>
          <w:szCs w:val="22"/>
          <w:lang w:val="is-IS"/>
        </w:rPr>
        <w:noBreakHyphen/>
        <w:t>BC) en hjá sjúklingum með langvarandi CML.</w:t>
      </w:r>
    </w:p>
    <w:p w14:paraId="05B8B239" w14:textId="77777777" w:rsidR="005F57F3" w:rsidRPr="006774D3" w:rsidRDefault="002D17B9"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6+7</w:t>
      </w:r>
      <w:r w:rsidR="005F57F3" w:rsidRPr="006774D3">
        <w:rPr>
          <w:color w:val="000000"/>
          <w:sz w:val="22"/>
          <w:szCs w:val="22"/>
          <w:lang w:val="is-IS"/>
        </w:rPr>
        <w:tab/>
        <w:t>Kviðverkir og blæðingar í meltingarvegi sáust oftast sjá sjúklingum með GIST.</w:t>
      </w:r>
    </w:p>
    <w:p w14:paraId="05B8B23A" w14:textId="77777777" w:rsidR="002D17B9" w:rsidRPr="006774D3" w:rsidRDefault="002D17B9" w:rsidP="00346F25">
      <w:pPr>
        <w:pStyle w:val="EndnoteText"/>
        <w:keepNext/>
        <w:keepLines/>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8</w:t>
      </w:r>
      <w:r w:rsidRPr="006774D3">
        <w:rPr>
          <w:color w:val="000000"/>
          <w:sz w:val="22"/>
          <w:szCs w:val="22"/>
          <w:lang w:val="is-IS"/>
        </w:rPr>
        <w:tab/>
        <w:t>Greint hefur verið frá nokkrum tilvikum um banvæna lifrarbólgu og lifrardrep.</w:t>
      </w:r>
    </w:p>
    <w:p w14:paraId="05B8B23B" w14:textId="77777777" w:rsidR="00687C84" w:rsidRPr="006774D3" w:rsidRDefault="00687C84"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9</w:t>
      </w:r>
      <w:r w:rsidRPr="006774D3">
        <w:rPr>
          <w:color w:val="000000"/>
          <w:sz w:val="22"/>
          <w:szCs w:val="22"/>
          <w:lang w:val="is-IS"/>
        </w:rPr>
        <w:tab/>
        <w:t>Stoðkerfisverkir meðan á meðferð með imatinibi stendur eða eftir að meðferð hefur verið hætt hafa komið fram eftir markaðssetningu lyfsins.</w:t>
      </w:r>
    </w:p>
    <w:p w14:paraId="05B8B23C" w14:textId="77777777" w:rsidR="005F57F3" w:rsidRPr="006774D3" w:rsidRDefault="00687C84" w:rsidP="00346F25">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10</w:t>
      </w:r>
      <w:r w:rsidR="005F57F3" w:rsidRPr="006774D3">
        <w:rPr>
          <w:color w:val="000000"/>
          <w:sz w:val="22"/>
          <w:szCs w:val="22"/>
          <w:lang w:val="is-IS"/>
        </w:rPr>
        <w:tab/>
        <w:t>Stoðkerfisverkir og annað því um líkt kom oftar fyrir hjá sjúklingum með CML en hjá sjúklingum með GIST.</w:t>
      </w:r>
    </w:p>
    <w:p w14:paraId="05B8B23D" w14:textId="77777777" w:rsidR="00BF6EA7" w:rsidRPr="006774D3" w:rsidRDefault="00BF6EA7" w:rsidP="00346F25">
      <w:pPr>
        <w:pStyle w:val="EndnoteT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w:t>
      </w:r>
      <w:r w:rsidR="00687C84" w:rsidRPr="006774D3">
        <w:rPr>
          <w:color w:val="000000"/>
          <w:sz w:val="22"/>
          <w:szCs w:val="22"/>
          <w:lang w:val="is-IS"/>
        </w:rPr>
        <w:t>1</w:t>
      </w:r>
      <w:r w:rsidRPr="006774D3">
        <w:rPr>
          <w:color w:val="000000"/>
          <w:sz w:val="22"/>
          <w:szCs w:val="22"/>
          <w:lang w:val="is-IS"/>
        </w:rPr>
        <w:tab/>
        <w:t>Greint hefur verið frá banvænum tilvikum hjá sjúklingum með langt genginn sjúkdóm, alvarlegar sýkingar, alvarlega daufkyrningafæð og annað alvarlegt samhliða ástand.</w:t>
      </w:r>
    </w:p>
    <w:p w14:paraId="05B8B23E" w14:textId="77777777" w:rsidR="005F57F3" w:rsidRPr="006774D3" w:rsidRDefault="005F57F3"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23F" w14:textId="77777777" w:rsidR="005F57F3" w:rsidRPr="006774D3" w:rsidRDefault="005F57F3" w:rsidP="00F77C66">
      <w:pPr>
        <w:keepNext/>
        <w:rPr>
          <w:color w:val="000000"/>
          <w:sz w:val="22"/>
          <w:szCs w:val="22"/>
          <w:u w:val="single"/>
        </w:rPr>
      </w:pPr>
      <w:r w:rsidRPr="006774D3">
        <w:rPr>
          <w:color w:val="000000"/>
          <w:sz w:val="22"/>
          <w:szCs w:val="22"/>
          <w:u w:val="single"/>
        </w:rPr>
        <w:t>Afbrigðileg rannsóknarstofupróf</w:t>
      </w:r>
    </w:p>
    <w:p w14:paraId="05B8B240" w14:textId="77777777" w:rsidR="005F57F3" w:rsidRPr="006774D3" w:rsidRDefault="005F57F3" w:rsidP="00F77C66">
      <w:pPr>
        <w:keepNext/>
        <w:rPr>
          <w:i/>
          <w:color w:val="000000"/>
          <w:sz w:val="22"/>
          <w:szCs w:val="22"/>
        </w:rPr>
      </w:pPr>
      <w:r w:rsidRPr="006774D3">
        <w:rPr>
          <w:i/>
          <w:color w:val="000000"/>
          <w:sz w:val="22"/>
          <w:szCs w:val="22"/>
        </w:rPr>
        <w:t>Blóðmynd</w:t>
      </w:r>
    </w:p>
    <w:p w14:paraId="05B8B241" w14:textId="77777777" w:rsidR="005F57F3" w:rsidRPr="006774D3" w:rsidRDefault="005F57F3" w:rsidP="00346F25">
      <w:pPr>
        <w:rPr>
          <w:color w:val="000000"/>
          <w:sz w:val="22"/>
          <w:szCs w:val="22"/>
        </w:rPr>
      </w:pPr>
      <w:r w:rsidRPr="006774D3">
        <w:rPr>
          <w:color w:val="000000"/>
          <w:sz w:val="22"/>
          <w:szCs w:val="22"/>
        </w:rPr>
        <w:t xml:space="preserve">Hjá CML hefur frumufæð, einkum daufkyrningafæð og blóðflagnafæð, komið fram í öllum rannsóknum og hefur bent til hærri tíðni við stóra skammta, ≥ 750 mg (I. stigs rannsókn). Frumufæð </w:t>
      </w:r>
      <w:r w:rsidRPr="006774D3">
        <w:rPr>
          <w:color w:val="000000"/>
          <w:sz w:val="22"/>
          <w:szCs w:val="22"/>
        </w:rPr>
        <w:lastRenderedPageBreak/>
        <w:t>var þó greinilega háð sjúkdómsstigi, þar sem tíðni daufkyrningafæðar af gráðu 3 eða 4 (ANC &lt; 1,0 x 10</w:t>
      </w:r>
      <w:r w:rsidRPr="006774D3">
        <w:rPr>
          <w:color w:val="000000"/>
          <w:sz w:val="22"/>
          <w:szCs w:val="22"/>
          <w:vertAlign w:val="superscript"/>
        </w:rPr>
        <w:t>9</w:t>
      </w:r>
      <w:r w:rsidRPr="006774D3">
        <w:rPr>
          <w:color w:val="000000"/>
          <w:sz w:val="22"/>
          <w:szCs w:val="22"/>
        </w:rPr>
        <w:t>/l) og blóðflagnafæðar (blóðflagnafjöldi &lt; 50 x 10</w:t>
      </w:r>
      <w:r w:rsidRPr="006774D3">
        <w:rPr>
          <w:color w:val="000000"/>
          <w:sz w:val="22"/>
          <w:szCs w:val="22"/>
          <w:vertAlign w:val="superscript"/>
        </w:rPr>
        <w:t>9</w:t>
      </w:r>
      <w:r w:rsidRPr="006774D3">
        <w:rPr>
          <w:color w:val="000000"/>
          <w:sz w:val="22"/>
          <w:szCs w:val="22"/>
        </w:rPr>
        <w:t>/l) var milli 4 og 6 sinnum hærri í bráðafasa (blast crisis) og hröðunarfasa (daufkyrningafæð 59</w:t>
      </w:r>
      <w:r w:rsidRPr="006774D3">
        <w:rPr>
          <w:color w:val="000000"/>
          <w:sz w:val="22"/>
          <w:szCs w:val="22"/>
        </w:rPr>
        <w:noBreakHyphen/>
        <w:t>64% og blóðflagnafæð 44</w:t>
      </w:r>
      <w:r w:rsidRPr="006774D3">
        <w:rPr>
          <w:color w:val="000000"/>
          <w:sz w:val="22"/>
          <w:szCs w:val="22"/>
        </w:rPr>
        <w:noBreakHyphen/>
        <w:t>63%) samanborið við nýgreinda sjúklinga í stöðugum fasa CML (daufkyrningafæð 16,7% og blóðflagnafæð 8,9%). Í nýgreindum stöðugum fasa CML kom fram dauf</w:t>
      </w:r>
      <w:r w:rsidRPr="006774D3">
        <w:rPr>
          <w:color w:val="000000"/>
          <w:sz w:val="22"/>
          <w:szCs w:val="22"/>
        </w:rPr>
        <w:softHyphen/>
        <w:t>kyrningafæð af gráðu 4 (ANC &lt; 0,5 x 10</w:t>
      </w:r>
      <w:r w:rsidRPr="006774D3">
        <w:rPr>
          <w:color w:val="000000"/>
          <w:sz w:val="22"/>
          <w:szCs w:val="22"/>
          <w:vertAlign w:val="superscript"/>
        </w:rPr>
        <w:t>9</w:t>
      </w:r>
      <w:r w:rsidRPr="006774D3">
        <w:rPr>
          <w:color w:val="000000"/>
          <w:sz w:val="22"/>
          <w:szCs w:val="22"/>
        </w:rPr>
        <w:t>/l) hjá 3,6% sjúklinga og blóðflagnafæð (blóðflagnafjöldi &lt; 10 x 10</w:t>
      </w:r>
      <w:r w:rsidRPr="006774D3">
        <w:rPr>
          <w:color w:val="000000"/>
          <w:sz w:val="22"/>
          <w:szCs w:val="22"/>
          <w:vertAlign w:val="superscript"/>
        </w:rPr>
        <w:t>9</w:t>
      </w:r>
      <w:r w:rsidRPr="006774D3">
        <w:rPr>
          <w:color w:val="000000"/>
          <w:sz w:val="22"/>
          <w:szCs w:val="22"/>
        </w:rPr>
        <w:t>/l) hjá &lt; 1% sjúklinga. Miðgildi þess tíma sem daufkyrningafæð stóð yfir var 2 til 3 vikur og 3 til 4 vikur fyrir blóðflagnafæð. Yfirleitt má ráða við þessar aukaverkanir með því annaðhvort að draga úr skammti eða rjúfa meðferð með Glivec, en í einstöku tilvikum getur þurft að hætta meðferð alveg. Hjá börnum með CML voru algengustu eiturverkanirnar sem sáust frumufæð af gráðu 3 eða 4 og var um að ræða daufkyrningafæð, blóð</w:t>
      </w:r>
      <w:r w:rsidRPr="006774D3">
        <w:rPr>
          <w:color w:val="000000"/>
          <w:sz w:val="22"/>
          <w:szCs w:val="22"/>
        </w:rPr>
        <w:softHyphen/>
        <w:t>flagnafæð og blóðleysi. Þetta kom yfirleitt fram á fyrstu mánuðum meðferðar.</w:t>
      </w:r>
    </w:p>
    <w:p w14:paraId="05B8B242" w14:textId="77777777" w:rsidR="00AB3B45" w:rsidRPr="006774D3" w:rsidRDefault="00AB3B45" w:rsidP="00F77C66">
      <w:pPr>
        <w:rPr>
          <w:color w:val="000000"/>
          <w:sz w:val="22"/>
          <w:szCs w:val="22"/>
        </w:rPr>
      </w:pPr>
    </w:p>
    <w:p w14:paraId="05B8B243" w14:textId="77777777" w:rsidR="005F57F3" w:rsidRPr="006774D3" w:rsidRDefault="00AB3B45" w:rsidP="00F77C66">
      <w:pPr>
        <w:rPr>
          <w:color w:val="000000"/>
          <w:sz w:val="22"/>
          <w:szCs w:val="22"/>
        </w:rPr>
      </w:pPr>
      <w:r w:rsidRPr="006774D3">
        <w:rPr>
          <w:color w:val="000000"/>
          <w:sz w:val="22"/>
          <w:szCs w:val="22"/>
        </w:rPr>
        <w:t xml:space="preserve">Í rannsókninni hjá sjúklingum með óskurðtækt GIST og/eða GIST með meinvörpum var </w:t>
      </w:r>
      <w:r w:rsidR="005F57F3" w:rsidRPr="006774D3">
        <w:rPr>
          <w:color w:val="000000"/>
          <w:sz w:val="22"/>
          <w:szCs w:val="22"/>
        </w:rPr>
        <w:t>greint frá blóðleysi af gráðu 3 og 4 hjá 5,4% og 0,7% sjúklinga, tilgreint í sömu röð, sem gæti hafa verið tengt maga-, þarma- eða innanæxlisblæðingum hjá að minnsta kosti sumum þessara sjúklinga. Daufkyrningafæð af gráðu 3 og 4 kom fram hjá 7,5% og 2,7% sjúklinga, tilgreint í sömu röð, og blóðflagnafæð af gráðu 3 kom fram hjá 0,7% sjúklinga. Enginn sjúklingur fékk blóðflagnafæð af gráðu 4. Fækkun á fjölda hvítra blóðkorna (WBC) og daufkyrninga kom aðallega fram fyrstu sex vikur meðferðar, með nokkuð stöðug gildi eftir það.</w:t>
      </w:r>
    </w:p>
    <w:p w14:paraId="05B8B244" w14:textId="77777777" w:rsidR="005F57F3" w:rsidRPr="006774D3" w:rsidRDefault="005F57F3" w:rsidP="00F77C66">
      <w:pPr>
        <w:rPr>
          <w:color w:val="000000"/>
          <w:sz w:val="22"/>
          <w:szCs w:val="22"/>
        </w:rPr>
      </w:pPr>
    </w:p>
    <w:p w14:paraId="05B8B245" w14:textId="77777777" w:rsidR="005F57F3" w:rsidRPr="006774D3" w:rsidRDefault="005F57F3" w:rsidP="00F77C66">
      <w:pPr>
        <w:keepNext/>
        <w:rPr>
          <w:i/>
          <w:color w:val="000000"/>
          <w:sz w:val="22"/>
          <w:szCs w:val="22"/>
        </w:rPr>
      </w:pPr>
      <w:r w:rsidRPr="006774D3">
        <w:rPr>
          <w:i/>
          <w:color w:val="000000"/>
          <w:sz w:val="22"/>
          <w:szCs w:val="22"/>
        </w:rPr>
        <w:t>Lífefnafræði</w:t>
      </w:r>
    </w:p>
    <w:p w14:paraId="05B8B246" w14:textId="77777777" w:rsidR="005F57F3" w:rsidRPr="006774D3" w:rsidRDefault="005F57F3" w:rsidP="00346F25">
      <w:pPr>
        <w:rPr>
          <w:color w:val="000000"/>
          <w:sz w:val="22"/>
          <w:szCs w:val="22"/>
        </w:rPr>
      </w:pPr>
      <w:r w:rsidRPr="006774D3">
        <w:rPr>
          <w:color w:val="000000"/>
          <w:sz w:val="22"/>
          <w:szCs w:val="22"/>
        </w:rPr>
        <w:t>Alvarleg hækkun transaminasa (&lt; 5%) eða bilirubins (&lt; 1%) kom fyrir hjá sjúklingum með CML og venjulega tókst að bregðast við henni með því að minnka skammt eða rjúfa meðferð (miðgildi tímalengdar þessara lota var u.þ.b. ein vika). Hjá innan við 1% sjúklinga með CML þurfti að hætta meðferð alveg vegna breytinga á lifrargildum. Hjá sjúklingum með GIST (rannsókn B2222) sást ALT (alaninaminotransferasi) hækkun af gráðu 3 eða 4 hjá 6,8% sjúklinga og AST (aspartat</w:t>
      </w:r>
      <w:r w:rsidRPr="006774D3">
        <w:rPr>
          <w:color w:val="000000"/>
          <w:sz w:val="22"/>
          <w:szCs w:val="22"/>
        </w:rPr>
        <w:softHyphen/>
        <w:t>aminotransferasi) hækkun af gráðu 3 eða 4 hjá 4,8% sjúklinga. Hækkun bilirubins kom fram hjá innan við 3% sjúklinga.</w:t>
      </w:r>
    </w:p>
    <w:p w14:paraId="05B8B247" w14:textId="77777777" w:rsidR="005F57F3" w:rsidRPr="006774D3" w:rsidRDefault="005F57F3" w:rsidP="00F77C66">
      <w:pPr>
        <w:rPr>
          <w:color w:val="000000"/>
          <w:sz w:val="22"/>
          <w:szCs w:val="22"/>
        </w:rPr>
      </w:pPr>
    </w:p>
    <w:p w14:paraId="05B8B248" w14:textId="77777777" w:rsidR="005F57F3" w:rsidRPr="006774D3" w:rsidRDefault="005F57F3" w:rsidP="00F77C66">
      <w:pPr>
        <w:rPr>
          <w:color w:val="000000"/>
          <w:sz w:val="22"/>
          <w:szCs w:val="22"/>
        </w:rPr>
      </w:pPr>
      <w:r w:rsidRPr="006774D3">
        <w:rPr>
          <w:color w:val="000000"/>
          <w:sz w:val="22"/>
          <w:szCs w:val="22"/>
        </w:rPr>
        <w:t>Komið hafa fram tilvik um frumueyðandi lifrarbólgu og gallteppulifrarbólgu og lifrarbilun; í sumum tilvikum leiddi það til dauða, þar á meðal hjá einum sjúklingi á stórum skömmtum af paracetamoli.</w:t>
      </w:r>
    </w:p>
    <w:p w14:paraId="05B8B249" w14:textId="77777777" w:rsidR="00831252" w:rsidRPr="006774D3" w:rsidRDefault="00831252" w:rsidP="00F77C66">
      <w:pPr>
        <w:widowControl w:val="0"/>
        <w:tabs>
          <w:tab w:val="left" w:pos="567"/>
        </w:tabs>
        <w:rPr>
          <w:sz w:val="22"/>
          <w:szCs w:val="20"/>
        </w:rPr>
      </w:pPr>
    </w:p>
    <w:p w14:paraId="05B8B24A" w14:textId="77777777" w:rsidR="00831252" w:rsidRPr="006774D3" w:rsidRDefault="00831252" w:rsidP="00F77C66">
      <w:pPr>
        <w:keepNext/>
        <w:widowControl w:val="0"/>
        <w:tabs>
          <w:tab w:val="left" w:pos="567"/>
        </w:tabs>
        <w:rPr>
          <w:sz w:val="22"/>
          <w:szCs w:val="20"/>
          <w:u w:val="single"/>
        </w:rPr>
      </w:pPr>
      <w:r w:rsidRPr="006774D3">
        <w:rPr>
          <w:sz w:val="22"/>
          <w:szCs w:val="20"/>
          <w:u w:val="single"/>
        </w:rPr>
        <w:t>Lýsing á völdum aukaverkunum</w:t>
      </w:r>
    </w:p>
    <w:p w14:paraId="05B8B24B" w14:textId="77777777" w:rsidR="00831252" w:rsidRPr="006774D3" w:rsidRDefault="00831252" w:rsidP="00F77C66">
      <w:pPr>
        <w:keepNext/>
        <w:widowControl w:val="0"/>
        <w:tabs>
          <w:tab w:val="left" w:pos="567"/>
        </w:tabs>
        <w:rPr>
          <w:i/>
          <w:sz w:val="22"/>
          <w:szCs w:val="20"/>
          <w:u w:val="single"/>
        </w:rPr>
      </w:pPr>
      <w:r w:rsidRPr="006774D3">
        <w:rPr>
          <w:i/>
          <w:sz w:val="22"/>
          <w:szCs w:val="20"/>
          <w:u w:val="single"/>
        </w:rPr>
        <w:t>Endurvirkjun lifrarbólgu B</w:t>
      </w:r>
    </w:p>
    <w:p w14:paraId="05B8B24C" w14:textId="77777777" w:rsidR="00831252" w:rsidRPr="006774D3" w:rsidRDefault="00831252" w:rsidP="00F77C66">
      <w:pPr>
        <w:widowControl w:val="0"/>
        <w:tabs>
          <w:tab w:val="left" w:pos="567"/>
        </w:tabs>
        <w:rPr>
          <w:sz w:val="22"/>
          <w:szCs w:val="20"/>
        </w:rPr>
      </w:pPr>
      <w:r w:rsidRPr="006774D3">
        <w:rPr>
          <w:sz w:val="22"/>
          <w:szCs w:val="20"/>
        </w:rPr>
        <w:t>Í tengslum við BCR-ABL týrosínkínasahemla hefur verið greint frá endurvirkjun lifrarbólgu B. Sum tilvik enduðu í bráðri lifrarbilun eða svæsinni lifrarbólgu sem leiddi til lifrarígræðslu eða dauða (sjá kafla 4.4).</w:t>
      </w:r>
    </w:p>
    <w:p w14:paraId="05B8B24D" w14:textId="77777777" w:rsidR="00965F16" w:rsidRPr="006774D3" w:rsidRDefault="00965F16" w:rsidP="00F77C66">
      <w:pPr>
        <w:rPr>
          <w:sz w:val="22"/>
          <w:szCs w:val="22"/>
        </w:rPr>
      </w:pPr>
    </w:p>
    <w:p w14:paraId="05B8B24E" w14:textId="77777777" w:rsidR="00965F16" w:rsidRPr="006774D3" w:rsidRDefault="00965F16" w:rsidP="00346F25">
      <w:pPr>
        <w:keepNext/>
        <w:rPr>
          <w:sz w:val="22"/>
          <w:szCs w:val="22"/>
        </w:rPr>
      </w:pPr>
      <w:r w:rsidRPr="006774D3">
        <w:rPr>
          <w:sz w:val="22"/>
          <w:szCs w:val="22"/>
          <w:u w:val="single"/>
        </w:rPr>
        <w:t>Tilkynning aukaverkana sem grunur er um að tengist lyfinu</w:t>
      </w:r>
    </w:p>
    <w:p w14:paraId="05B8B24F" w14:textId="77777777" w:rsidR="00965F16" w:rsidRPr="006774D3" w:rsidRDefault="00965F16" w:rsidP="00F77C66">
      <w:pPr>
        <w:rPr>
          <w:sz w:val="22"/>
          <w:szCs w:val="22"/>
        </w:rPr>
      </w:pPr>
      <w:r w:rsidRPr="006774D3">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6774D3">
        <w:rPr>
          <w:sz w:val="22"/>
          <w:szCs w:val="22"/>
          <w:shd w:val="pct15" w:color="auto" w:fill="auto"/>
        </w:rPr>
        <w:t xml:space="preserve">samkvæmt fyrirkomulagi sem gildir í hverju landi fyrir sig, sjá </w:t>
      </w:r>
      <w:hyperlink r:id="rId12" w:history="1">
        <w:r w:rsidRPr="006774D3">
          <w:rPr>
            <w:rStyle w:val="Hyperlink"/>
            <w:sz w:val="22"/>
            <w:szCs w:val="22"/>
            <w:shd w:val="pct15" w:color="auto" w:fill="auto"/>
          </w:rPr>
          <w:t>Appendix V</w:t>
        </w:r>
      </w:hyperlink>
      <w:r w:rsidRPr="006774D3">
        <w:rPr>
          <w:sz w:val="22"/>
          <w:szCs w:val="22"/>
        </w:rPr>
        <w:t>.</w:t>
      </w:r>
    </w:p>
    <w:p w14:paraId="05B8B250" w14:textId="77777777" w:rsidR="005F57F3" w:rsidRPr="006774D3" w:rsidRDefault="005F57F3" w:rsidP="00F77C66">
      <w:pPr>
        <w:rPr>
          <w:color w:val="000000"/>
          <w:sz w:val="22"/>
          <w:szCs w:val="22"/>
        </w:rPr>
      </w:pPr>
    </w:p>
    <w:p w14:paraId="05B8B251" w14:textId="77777777" w:rsidR="005F57F3" w:rsidRPr="006774D3" w:rsidRDefault="005F57F3" w:rsidP="00F77C66">
      <w:pPr>
        <w:keepNext/>
        <w:rPr>
          <w:color w:val="000000"/>
          <w:sz w:val="22"/>
          <w:szCs w:val="22"/>
        </w:rPr>
      </w:pPr>
      <w:r w:rsidRPr="006774D3">
        <w:rPr>
          <w:b/>
          <w:color w:val="000000"/>
          <w:sz w:val="22"/>
          <w:szCs w:val="22"/>
        </w:rPr>
        <w:t>4.9</w:t>
      </w:r>
      <w:r w:rsidRPr="006774D3">
        <w:rPr>
          <w:b/>
          <w:color w:val="000000"/>
          <w:sz w:val="22"/>
          <w:szCs w:val="22"/>
        </w:rPr>
        <w:tab/>
        <w:t>Ofskömmtun</w:t>
      </w:r>
    </w:p>
    <w:p w14:paraId="05B8B252" w14:textId="77777777" w:rsidR="005F57F3" w:rsidRPr="006774D3" w:rsidRDefault="005F57F3" w:rsidP="00F77C66">
      <w:pPr>
        <w:keepNext/>
        <w:rPr>
          <w:color w:val="000000"/>
          <w:sz w:val="22"/>
          <w:szCs w:val="22"/>
        </w:rPr>
      </w:pPr>
    </w:p>
    <w:p w14:paraId="05B8B253" w14:textId="77777777" w:rsidR="005F57F3" w:rsidRPr="006774D3" w:rsidRDefault="009E088B" w:rsidP="00346F25">
      <w:pPr>
        <w:rPr>
          <w:color w:val="000000"/>
          <w:sz w:val="22"/>
          <w:szCs w:val="22"/>
        </w:rPr>
      </w:pPr>
      <w:r w:rsidRPr="006774D3">
        <w:rPr>
          <w:color w:val="000000"/>
          <w:sz w:val="22"/>
          <w:szCs w:val="22"/>
        </w:rPr>
        <w:t>Takmörkuð reynsla er af stærri skömmtum en ráðlögðum meðferðarskömmtum.</w:t>
      </w:r>
      <w:r w:rsidR="005F57F3" w:rsidRPr="006774D3">
        <w:rPr>
          <w:color w:val="000000"/>
          <w:sz w:val="22"/>
          <w:szCs w:val="22"/>
        </w:rPr>
        <w:t xml:space="preserve"> Greint hefur verið frá einstökum tilvikum um ofskömmtun með Glivec</w:t>
      </w:r>
      <w:r w:rsidRPr="006774D3">
        <w:rPr>
          <w:color w:val="000000"/>
          <w:sz w:val="22"/>
          <w:szCs w:val="22"/>
        </w:rPr>
        <w:t xml:space="preserve"> með almennum aukaverkanatilkynningum og í rituðum heimildum</w:t>
      </w:r>
      <w:r w:rsidR="005F57F3" w:rsidRPr="006774D3">
        <w:rPr>
          <w:color w:val="000000"/>
          <w:sz w:val="22"/>
          <w:szCs w:val="22"/>
        </w:rPr>
        <w:t>.</w:t>
      </w:r>
      <w:r w:rsidRPr="006774D3">
        <w:rPr>
          <w:color w:val="000000"/>
          <w:sz w:val="22"/>
          <w:szCs w:val="22"/>
        </w:rPr>
        <w:t xml:space="preserve"> Ef ofskömmtun á sér stað skal fylgjast með sjúklingnum og veita honum </w:t>
      </w:r>
      <w:r w:rsidR="00610200" w:rsidRPr="006774D3">
        <w:rPr>
          <w:color w:val="000000"/>
          <w:sz w:val="22"/>
          <w:szCs w:val="22"/>
        </w:rPr>
        <w:t xml:space="preserve">viðeigandi </w:t>
      </w:r>
      <w:r w:rsidRPr="006774D3">
        <w:rPr>
          <w:color w:val="000000"/>
          <w:sz w:val="22"/>
          <w:szCs w:val="22"/>
        </w:rPr>
        <w:t>meðferð við einkennum. Almennt var skráð niðurstaða þessara tilvika sú að ástand sjúklingsins batnaði eða hann náði sér að fullu. Greint hefur verið frá eftirtöldum tilvikum við mismunandi skammtabil:</w:t>
      </w:r>
    </w:p>
    <w:p w14:paraId="05B8B254" w14:textId="77777777" w:rsidR="009E088B" w:rsidRPr="006774D3" w:rsidRDefault="009E088B" w:rsidP="00F77C66">
      <w:pPr>
        <w:rPr>
          <w:color w:val="000000"/>
          <w:sz w:val="22"/>
          <w:szCs w:val="22"/>
        </w:rPr>
      </w:pPr>
    </w:p>
    <w:p w14:paraId="05B8B255" w14:textId="77777777" w:rsidR="009E088B" w:rsidRPr="006774D3" w:rsidRDefault="004F7D5A" w:rsidP="00F77C66">
      <w:pPr>
        <w:keepNext/>
        <w:rPr>
          <w:i/>
          <w:color w:val="000000"/>
          <w:sz w:val="22"/>
          <w:szCs w:val="22"/>
        </w:rPr>
      </w:pPr>
      <w:r w:rsidRPr="006774D3">
        <w:rPr>
          <w:i/>
          <w:color w:val="000000"/>
          <w:sz w:val="22"/>
          <w:szCs w:val="22"/>
        </w:rPr>
        <w:t>Fullorðnir</w:t>
      </w:r>
    </w:p>
    <w:p w14:paraId="05B8B256" w14:textId="77777777" w:rsidR="005F57F3" w:rsidRPr="006774D3" w:rsidRDefault="009E088B"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 xml:space="preserve">1200 til 1600 mg (meðferðarlengd á bilinu 1 til 10 sólarhringar): Ógleði, uppköst, niðurgangur, útbrot, roðaþot, bjúgur, þroti, þreyta, vöðvakrampar, </w:t>
      </w:r>
      <w:r w:rsidR="008C0FD8" w:rsidRPr="006774D3">
        <w:rPr>
          <w:rFonts w:ascii="Times New Roman" w:hAnsi="Times New Roman"/>
          <w:color w:val="000000"/>
          <w:szCs w:val="22"/>
          <w:lang w:val="is-IS"/>
        </w:rPr>
        <w:t xml:space="preserve">blóðflagnafæð, </w:t>
      </w:r>
      <w:r w:rsidR="00F32BF2" w:rsidRPr="006774D3">
        <w:rPr>
          <w:rFonts w:ascii="Times New Roman" w:hAnsi="Times New Roman"/>
          <w:color w:val="000000"/>
          <w:szCs w:val="22"/>
          <w:lang w:val="is-IS"/>
        </w:rPr>
        <w:t>blóðfrumnafæð, kviðverkir, höfuðverkur, skert matarlyst.</w:t>
      </w:r>
    </w:p>
    <w:p w14:paraId="05B8B257" w14:textId="77777777" w:rsidR="00F32BF2" w:rsidRPr="006774D3" w:rsidRDefault="00F32BF2"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lastRenderedPageBreak/>
        <w:t xml:space="preserve">1800 til 3200 mg (allt að 3200 mg á sólarhring í 6 daga): Þróttleysi, vöðvaverkir, hækkun kreatinfosfokinasa, hækkun bilirubins, </w:t>
      </w:r>
      <w:r w:rsidR="00610200" w:rsidRPr="006774D3">
        <w:rPr>
          <w:rFonts w:ascii="Times New Roman" w:hAnsi="Times New Roman"/>
          <w:color w:val="000000"/>
          <w:szCs w:val="22"/>
          <w:lang w:val="is-IS"/>
        </w:rPr>
        <w:t>kviðverkir</w:t>
      </w:r>
      <w:r w:rsidRPr="006774D3">
        <w:rPr>
          <w:rFonts w:ascii="Times New Roman" w:hAnsi="Times New Roman"/>
          <w:color w:val="000000"/>
          <w:szCs w:val="22"/>
          <w:lang w:val="is-IS"/>
        </w:rPr>
        <w:t>.</w:t>
      </w:r>
    </w:p>
    <w:p w14:paraId="05B8B258" w14:textId="77777777" w:rsidR="00F32BF2" w:rsidRPr="006774D3" w:rsidRDefault="00F32BF2"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6400 mg (stakur skammtur): Greint hefur verið frá einu tilviki um einn sjúkling sem fann fyrir ógleði, uppköstum, kvi</w:t>
      </w:r>
      <w:r w:rsidR="00610200" w:rsidRPr="006774D3">
        <w:rPr>
          <w:rFonts w:ascii="Times New Roman" w:hAnsi="Times New Roman"/>
          <w:color w:val="000000"/>
          <w:szCs w:val="22"/>
          <w:lang w:val="is-IS"/>
        </w:rPr>
        <w:t>ðverkjum, hita, þrota í andliti og greindist með fækkun hvítra blóðkorna og</w:t>
      </w:r>
      <w:r w:rsidR="00337F46" w:rsidRPr="006774D3">
        <w:rPr>
          <w:rFonts w:ascii="Times New Roman" w:hAnsi="Times New Roman"/>
          <w:color w:val="000000"/>
          <w:szCs w:val="22"/>
          <w:lang w:val="is-IS"/>
        </w:rPr>
        <w:t xml:space="preserve"> transaminasa</w:t>
      </w:r>
      <w:r w:rsidR="00610200" w:rsidRPr="006774D3">
        <w:rPr>
          <w:rFonts w:ascii="Times New Roman" w:hAnsi="Times New Roman"/>
          <w:color w:val="000000"/>
          <w:szCs w:val="22"/>
          <w:lang w:val="is-IS"/>
        </w:rPr>
        <w:t>hækkun</w:t>
      </w:r>
      <w:r w:rsidR="00337F46" w:rsidRPr="006774D3">
        <w:rPr>
          <w:rFonts w:ascii="Times New Roman" w:hAnsi="Times New Roman"/>
          <w:color w:val="000000"/>
          <w:szCs w:val="22"/>
          <w:lang w:val="is-IS"/>
        </w:rPr>
        <w:t>.</w:t>
      </w:r>
    </w:p>
    <w:p w14:paraId="05B8B259" w14:textId="77777777" w:rsidR="00337F46" w:rsidRPr="006774D3" w:rsidRDefault="00337F4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8 til 10 g (stakur skammtur): Greint hefur verið frá uppköstum og kviðverkjum.</w:t>
      </w:r>
    </w:p>
    <w:p w14:paraId="05B8B25A" w14:textId="77777777" w:rsidR="00337F46" w:rsidRPr="006774D3" w:rsidRDefault="00337F46" w:rsidP="00F77C66">
      <w:pPr>
        <w:pStyle w:val="Authors"/>
        <w:keepNext w:val="0"/>
        <w:spacing w:before="0"/>
        <w:rPr>
          <w:rFonts w:ascii="Times New Roman" w:hAnsi="Times New Roman"/>
          <w:color w:val="000000"/>
          <w:szCs w:val="22"/>
          <w:lang w:val="is-IS"/>
        </w:rPr>
      </w:pPr>
    </w:p>
    <w:p w14:paraId="05B8B25B" w14:textId="77777777" w:rsidR="00337F46" w:rsidRPr="006774D3" w:rsidRDefault="004F7D5A" w:rsidP="00F77C66">
      <w:pPr>
        <w:pStyle w:val="Authors"/>
        <w:spacing w:before="0"/>
        <w:rPr>
          <w:rFonts w:ascii="Times New Roman" w:hAnsi="Times New Roman"/>
          <w:i/>
          <w:color w:val="000000"/>
          <w:szCs w:val="22"/>
          <w:lang w:val="is-IS"/>
        </w:rPr>
      </w:pPr>
      <w:r w:rsidRPr="006774D3">
        <w:rPr>
          <w:rFonts w:ascii="Times New Roman" w:hAnsi="Times New Roman"/>
          <w:i/>
          <w:color w:val="000000"/>
          <w:szCs w:val="22"/>
          <w:lang w:val="is-IS"/>
        </w:rPr>
        <w:t>Börn</w:t>
      </w:r>
    </w:p>
    <w:p w14:paraId="05B8B25C" w14:textId="77777777" w:rsidR="00337F46" w:rsidRPr="006774D3" w:rsidRDefault="00337F4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Einn 3 ára drengur sem tók inn stakan 400 mg skammt fékk ógleði, niðurgang og lystarleysi og annar 3 ára drengur sem tók inn stakan 980 mg skammt</w:t>
      </w:r>
      <w:r w:rsidR="00610200" w:rsidRPr="006774D3">
        <w:rPr>
          <w:rFonts w:ascii="Times New Roman" w:hAnsi="Times New Roman"/>
          <w:color w:val="000000"/>
          <w:szCs w:val="22"/>
          <w:lang w:val="is-IS"/>
        </w:rPr>
        <w:t xml:space="preserve"> greindist með fækkun hvítra blóðkorna </w:t>
      </w:r>
      <w:r w:rsidRPr="006774D3">
        <w:rPr>
          <w:rFonts w:ascii="Times New Roman" w:hAnsi="Times New Roman"/>
          <w:color w:val="000000"/>
          <w:szCs w:val="22"/>
          <w:lang w:val="is-IS"/>
        </w:rPr>
        <w:t>og niðurgang.</w:t>
      </w:r>
    </w:p>
    <w:p w14:paraId="05B8B25D" w14:textId="77777777" w:rsidR="005F57F3" w:rsidRPr="006774D3" w:rsidRDefault="005F57F3" w:rsidP="00F77C66">
      <w:pPr>
        <w:rPr>
          <w:color w:val="000000"/>
          <w:sz w:val="22"/>
          <w:szCs w:val="22"/>
        </w:rPr>
      </w:pPr>
    </w:p>
    <w:p w14:paraId="05B8B25E" w14:textId="77777777" w:rsidR="005F57F3" w:rsidRPr="006774D3" w:rsidRDefault="005F57F3" w:rsidP="00F77C66">
      <w:pPr>
        <w:rPr>
          <w:color w:val="000000"/>
          <w:sz w:val="22"/>
          <w:szCs w:val="22"/>
        </w:rPr>
      </w:pPr>
      <w:r w:rsidRPr="006774D3">
        <w:rPr>
          <w:color w:val="000000"/>
          <w:sz w:val="22"/>
          <w:szCs w:val="22"/>
        </w:rPr>
        <w:t>Eigi ofskömmtun sér stað skal fylgjast með sjúklingnum og veita viðeigandi stuðningsmeðferð.</w:t>
      </w:r>
    </w:p>
    <w:p w14:paraId="05B8B25F" w14:textId="77777777" w:rsidR="005F57F3" w:rsidRPr="006774D3" w:rsidRDefault="005F57F3" w:rsidP="00F77C66">
      <w:pPr>
        <w:rPr>
          <w:color w:val="000000"/>
          <w:sz w:val="22"/>
          <w:szCs w:val="22"/>
        </w:rPr>
      </w:pPr>
    </w:p>
    <w:p w14:paraId="05B8B260" w14:textId="77777777" w:rsidR="005F57F3" w:rsidRPr="006774D3" w:rsidRDefault="005F57F3" w:rsidP="00F77C66">
      <w:pPr>
        <w:rPr>
          <w:color w:val="000000"/>
          <w:sz w:val="22"/>
          <w:szCs w:val="22"/>
        </w:rPr>
      </w:pPr>
    </w:p>
    <w:p w14:paraId="05B8B261" w14:textId="77777777" w:rsidR="005F57F3" w:rsidRPr="006774D3" w:rsidRDefault="005F57F3" w:rsidP="00F77C66">
      <w:pPr>
        <w:keepNext/>
        <w:rPr>
          <w:caps/>
          <w:color w:val="000000"/>
          <w:sz w:val="22"/>
          <w:szCs w:val="22"/>
        </w:rPr>
      </w:pPr>
      <w:r w:rsidRPr="006774D3">
        <w:rPr>
          <w:b/>
          <w:caps/>
          <w:color w:val="000000"/>
          <w:sz w:val="22"/>
          <w:szCs w:val="22"/>
        </w:rPr>
        <w:t>5.</w:t>
      </w:r>
      <w:r w:rsidRPr="006774D3">
        <w:rPr>
          <w:b/>
          <w:caps/>
          <w:color w:val="000000"/>
          <w:sz w:val="22"/>
          <w:szCs w:val="22"/>
        </w:rPr>
        <w:tab/>
      </w:r>
      <w:r w:rsidRPr="006774D3">
        <w:rPr>
          <w:b/>
          <w:color w:val="000000"/>
          <w:sz w:val="22"/>
          <w:szCs w:val="22"/>
        </w:rPr>
        <w:t>LYFJAFRÆÐILEGAR UPPLÝSINGAR</w:t>
      </w:r>
    </w:p>
    <w:p w14:paraId="05B8B262" w14:textId="77777777" w:rsidR="005F57F3" w:rsidRPr="006774D3" w:rsidRDefault="005F57F3" w:rsidP="00F77C66">
      <w:pPr>
        <w:keepNext/>
        <w:rPr>
          <w:color w:val="000000"/>
          <w:sz w:val="22"/>
          <w:szCs w:val="22"/>
        </w:rPr>
      </w:pPr>
    </w:p>
    <w:p w14:paraId="05B8B263" w14:textId="77777777" w:rsidR="005F57F3" w:rsidRPr="006774D3" w:rsidRDefault="005F57F3" w:rsidP="00F77C66">
      <w:pPr>
        <w:keepNext/>
        <w:rPr>
          <w:color w:val="000000"/>
          <w:sz w:val="22"/>
          <w:szCs w:val="22"/>
        </w:rPr>
      </w:pPr>
      <w:r w:rsidRPr="006774D3">
        <w:rPr>
          <w:b/>
          <w:color w:val="000000"/>
          <w:sz w:val="22"/>
          <w:szCs w:val="22"/>
        </w:rPr>
        <w:t>5.1</w:t>
      </w:r>
      <w:r w:rsidRPr="006774D3">
        <w:rPr>
          <w:b/>
          <w:color w:val="000000"/>
          <w:sz w:val="22"/>
          <w:szCs w:val="22"/>
        </w:rPr>
        <w:tab/>
        <w:t>Lyfhrif</w:t>
      </w:r>
    </w:p>
    <w:p w14:paraId="05B8B264" w14:textId="77777777" w:rsidR="005F57F3" w:rsidRPr="006774D3" w:rsidRDefault="005F57F3" w:rsidP="00F77C66">
      <w:pPr>
        <w:keepNext/>
        <w:rPr>
          <w:color w:val="000000"/>
          <w:sz w:val="22"/>
          <w:szCs w:val="22"/>
        </w:rPr>
      </w:pPr>
    </w:p>
    <w:p w14:paraId="05B8B265" w14:textId="77777777" w:rsidR="005F57F3" w:rsidRPr="006774D3" w:rsidRDefault="005F57F3" w:rsidP="00F77C66">
      <w:pPr>
        <w:keepNext/>
        <w:outlineLvl w:val="0"/>
        <w:rPr>
          <w:color w:val="000000"/>
          <w:sz w:val="22"/>
          <w:szCs w:val="22"/>
        </w:rPr>
      </w:pPr>
      <w:r w:rsidRPr="006774D3">
        <w:rPr>
          <w:color w:val="000000"/>
          <w:sz w:val="22"/>
          <w:szCs w:val="22"/>
        </w:rPr>
        <w:t>Flokkun eftir verkun: Próteinkínasahemill, ATC</w:t>
      </w:r>
      <w:r w:rsidR="00553DF5" w:rsidRPr="006774D3">
        <w:rPr>
          <w:color w:val="000000"/>
          <w:sz w:val="22"/>
          <w:szCs w:val="22"/>
        </w:rPr>
        <w:noBreakHyphen/>
      </w:r>
      <w:r w:rsidRPr="006774D3">
        <w:rPr>
          <w:color w:val="000000"/>
          <w:sz w:val="22"/>
          <w:szCs w:val="22"/>
        </w:rPr>
        <w:t xml:space="preserve">flokkur: </w:t>
      </w:r>
      <w:r w:rsidR="007C1B65" w:rsidRPr="006774D3">
        <w:rPr>
          <w:color w:val="000000"/>
          <w:sz w:val="22"/>
          <w:szCs w:val="22"/>
        </w:rPr>
        <w:t>L01XE01</w:t>
      </w:r>
      <w:r w:rsidRPr="006774D3">
        <w:rPr>
          <w:color w:val="000000"/>
          <w:sz w:val="22"/>
          <w:szCs w:val="22"/>
        </w:rPr>
        <w:t>.</w:t>
      </w:r>
    </w:p>
    <w:p w14:paraId="05B8B266" w14:textId="77777777" w:rsidR="005F57F3" w:rsidRPr="006774D3" w:rsidRDefault="005F57F3" w:rsidP="00346F25">
      <w:pPr>
        <w:pStyle w:val="Authors"/>
        <w:spacing w:before="0"/>
        <w:outlineLvl w:val="0"/>
        <w:rPr>
          <w:rFonts w:ascii="Times New Roman" w:hAnsi="Times New Roman"/>
          <w:color w:val="000000"/>
          <w:szCs w:val="22"/>
          <w:lang w:val="is-IS"/>
        </w:rPr>
      </w:pPr>
    </w:p>
    <w:p w14:paraId="05B8B267" w14:textId="77777777" w:rsidR="00A33112" w:rsidRPr="006774D3" w:rsidRDefault="00A33112" w:rsidP="00F77C66">
      <w:pPr>
        <w:pStyle w:val="Authors"/>
        <w:spacing w:before="0"/>
        <w:outlineLvl w:val="0"/>
        <w:rPr>
          <w:rFonts w:ascii="Times New Roman" w:hAnsi="Times New Roman"/>
          <w:color w:val="000000"/>
          <w:szCs w:val="22"/>
          <w:u w:val="single"/>
          <w:lang w:val="is-IS"/>
        </w:rPr>
      </w:pPr>
      <w:r w:rsidRPr="006774D3">
        <w:rPr>
          <w:rFonts w:ascii="Times New Roman" w:hAnsi="Times New Roman"/>
          <w:color w:val="000000"/>
          <w:szCs w:val="22"/>
          <w:u w:val="single"/>
          <w:lang w:val="is-IS"/>
        </w:rPr>
        <w:t>Verkunarháttur</w:t>
      </w:r>
    </w:p>
    <w:p w14:paraId="05B8B268" w14:textId="77777777" w:rsidR="00A33112" w:rsidRPr="006774D3" w:rsidRDefault="00A33112" w:rsidP="00F77C66">
      <w:pPr>
        <w:pStyle w:val="Authors"/>
        <w:keepNext w:val="0"/>
        <w:spacing w:before="0"/>
        <w:outlineLvl w:val="0"/>
        <w:rPr>
          <w:rFonts w:ascii="Times New Roman" w:hAnsi="Times New Roman"/>
          <w:color w:val="000000"/>
          <w:szCs w:val="22"/>
          <w:lang w:val="is-IS"/>
        </w:rPr>
      </w:pPr>
      <w:r w:rsidRPr="006774D3">
        <w:rPr>
          <w:rFonts w:ascii="Times New Roman" w:hAnsi="Times New Roman"/>
          <w:color w:val="000000"/>
          <w:szCs w:val="22"/>
          <w:lang w:val="is-IS"/>
        </w:rPr>
        <w:t>Imatinib er prótein</w:t>
      </w:r>
      <w:r w:rsidRPr="006774D3">
        <w:rPr>
          <w:rFonts w:ascii="Times New Roman" w:hAnsi="Times New Roman"/>
          <w:color w:val="000000"/>
          <w:szCs w:val="22"/>
          <w:lang w:val="is-IS"/>
        </w:rPr>
        <w:noBreakHyphen/>
        <w:t>týrosínkínasahemill sem er lítil sameind og veldur öflugri hömlun á virkni Bcr</w:t>
      </w:r>
      <w:r w:rsidRPr="006774D3">
        <w:rPr>
          <w:rFonts w:ascii="Times New Roman" w:hAnsi="Times New Roman"/>
          <w:color w:val="000000"/>
          <w:szCs w:val="22"/>
          <w:lang w:val="is-IS"/>
        </w:rPr>
        <w:noBreakHyphen/>
        <w:t>Abl týrosínkínasa, sem og ýmissa viðtaka týrosínkínasa: Kit, viðtakinn fyrir stofnfrumuþátt sem c-Kit for-æxlisgen (proto-oncogen) kóðar fyrir, DDR1 og DDR2 (discoidin domain receptors), vaxtarhvataviðtakinn (colony stimulating factor receptor) (CSF-1R) og blóðflagnaafleiddi vaxtarþátturinn alfa og beta (PDGFR-alfa og PDGFR-beta). Imatinib getur einnig hamlað frumuferlum sem stjórnast af virkjun þessara viðtakakínasa.</w:t>
      </w:r>
    </w:p>
    <w:p w14:paraId="05B8B269" w14:textId="77777777" w:rsidR="00A33112" w:rsidRPr="006774D3" w:rsidRDefault="00A33112" w:rsidP="00F77C66">
      <w:pPr>
        <w:pStyle w:val="Authors"/>
        <w:keepNext w:val="0"/>
        <w:spacing w:before="0"/>
        <w:outlineLvl w:val="0"/>
        <w:rPr>
          <w:rFonts w:ascii="Times New Roman" w:hAnsi="Times New Roman"/>
          <w:color w:val="000000"/>
          <w:szCs w:val="22"/>
          <w:lang w:val="is-IS"/>
        </w:rPr>
      </w:pPr>
    </w:p>
    <w:p w14:paraId="05B8B26A" w14:textId="77777777" w:rsidR="00A33112" w:rsidRPr="006774D3" w:rsidRDefault="00A33112" w:rsidP="00F77C66">
      <w:pPr>
        <w:keepNext/>
        <w:outlineLvl w:val="0"/>
        <w:rPr>
          <w:color w:val="000000"/>
          <w:sz w:val="22"/>
          <w:szCs w:val="22"/>
          <w:u w:val="single"/>
        </w:rPr>
      </w:pPr>
      <w:r w:rsidRPr="006774D3">
        <w:rPr>
          <w:color w:val="000000"/>
          <w:sz w:val="22"/>
          <w:szCs w:val="22"/>
          <w:u w:val="single"/>
        </w:rPr>
        <w:t>Lyfhrif</w:t>
      </w:r>
    </w:p>
    <w:p w14:paraId="05B8B26B" w14:textId="77777777" w:rsidR="005F57F3" w:rsidRPr="006774D3" w:rsidRDefault="005F57F3" w:rsidP="00F77C66">
      <w:pPr>
        <w:outlineLvl w:val="0"/>
        <w:rPr>
          <w:color w:val="000000"/>
          <w:sz w:val="22"/>
          <w:szCs w:val="22"/>
        </w:rPr>
      </w:pPr>
      <w:r w:rsidRPr="006774D3">
        <w:rPr>
          <w:color w:val="000000"/>
          <w:sz w:val="22"/>
          <w:szCs w:val="22"/>
        </w:rPr>
        <w:t>Imatinib er prótein</w:t>
      </w:r>
      <w:r w:rsidRPr="006774D3">
        <w:rPr>
          <w:color w:val="000000"/>
          <w:sz w:val="22"/>
          <w:szCs w:val="22"/>
        </w:rPr>
        <w:noBreakHyphen/>
        <w:t>týrosínkínasahemill sem veldur öflugri hömlun á Bcr</w:t>
      </w:r>
      <w:r w:rsidRPr="006774D3">
        <w:rPr>
          <w:color w:val="000000"/>
          <w:sz w:val="22"/>
          <w:szCs w:val="22"/>
        </w:rPr>
        <w:noBreakHyphen/>
        <w:t xml:space="preserve">Abl týrosínkínasa við </w:t>
      </w:r>
      <w:r w:rsidRPr="006774D3">
        <w:rPr>
          <w:i/>
          <w:color w:val="000000"/>
          <w:sz w:val="22"/>
          <w:szCs w:val="22"/>
        </w:rPr>
        <w:t>in vitro</w:t>
      </w:r>
      <w:r w:rsidRPr="006774D3">
        <w:rPr>
          <w:iCs/>
          <w:color w:val="000000"/>
          <w:sz w:val="22"/>
          <w:szCs w:val="22"/>
        </w:rPr>
        <w:t>,</w:t>
      </w:r>
      <w:r w:rsidRPr="006774D3">
        <w:rPr>
          <w:color w:val="000000"/>
          <w:sz w:val="22"/>
          <w:szCs w:val="22"/>
        </w:rPr>
        <w:t xml:space="preserve"> innan frumna og </w:t>
      </w:r>
      <w:r w:rsidRPr="006774D3">
        <w:rPr>
          <w:i/>
          <w:color w:val="000000"/>
          <w:sz w:val="22"/>
          <w:szCs w:val="22"/>
        </w:rPr>
        <w:t>in vivo</w:t>
      </w:r>
      <w:r w:rsidRPr="006774D3">
        <w:rPr>
          <w:iCs/>
          <w:color w:val="000000"/>
          <w:sz w:val="22"/>
          <w:szCs w:val="22"/>
        </w:rPr>
        <w:t xml:space="preserve"> þéttni</w:t>
      </w:r>
      <w:r w:rsidRPr="006774D3">
        <w:rPr>
          <w:color w:val="000000"/>
          <w:sz w:val="22"/>
          <w:szCs w:val="22"/>
        </w:rPr>
        <w:t>. Efnið veldur sértækri hömlun á frumufjölgun og kemur af stað stýrðum frumudauða (apoptosis) í Bcr</w:t>
      </w:r>
      <w:r w:rsidRPr="006774D3">
        <w:rPr>
          <w:color w:val="000000"/>
          <w:sz w:val="22"/>
          <w:szCs w:val="22"/>
        </w:rPr>
        <w:noBreakHyphen/>
        <w:t>Abl jákvæðum frumulínum jafnt sem nýjum hvítblæðifrumum hjá sjúklingum með Fíladelfíulitnings jákvætt CML og brátt eitilfrumuhvítblæði (ALL).</w:t>
      </w:r>
    </w:p>
    <w:p w14:paraId="05B8B26C" w14:textId="77777777" w:rsidR="005F57F3" w:rsidRPr="006774D3" w:rsidRDefault="005F57F3" w:rsidP="00F77C66">
      <w:pPr>
        <w:outlineLvl w:val="0"/>
        <w:rPr>
          <w:color w:val="000000"/>
          <w:sz w:val="22"/>
          <w:szCs w:val="22"/>
        </w:rPr>
      </w:pPr>
    </w:p>
    <w:p w14:paraId="05B8B26D" w14:textId="77777777" w:rsidR="005F57F3" w:rsidRPr="006774D3" w:rsidRDefault="005F57F3" w:rsidP="00F77C66">
      <w:pPr>
        <w:outlineLvl w:val="0"/>
        <w:rPr>
          <w:color w:val="000000"/>
          <w:sz w:val="22"/>
          <w:szCs w:val="22"/>
        </w:rPr>
      </w:pPr>
      <w:r w:rsidRPr="006774D3">
        <w:rPr>
          <w:i/>
          <w:color w:val="000000"/>
          <w:sz w:val="22"/>
          <w:szCs w:val="22"/>
        </w:rPr>
        <w:t>In vivo</w:t>
      </w:r>
      <w:r w:rsidRPr="006774D3">
        <w:rPr>
          <w:color w:val="000000"/>
          <w:sz w:val="22"/>
          <w:szCs w:val="22"/>
        </w:rPr>
        <w:t xml:space="preserve"> hefur efnið æxlishamlandi verkun eitt og sér, í dýralíkönum þar sem notaðar eru Bcr</w:t>
      </w:r>
      <w:r w:rsidRPr="006774D3">
        <w:rPr>
          <w:color w:val="000000"/>
          <w:sz w:val="22"/>
          <w:szCs w:val="22"/>
        </w:rPr>
        <w:noBreakHyphen/>
        <w:t>Abl jákvæðar æxlisfrumur.</w:t>
      </w:r>
    </w:p>
    <w:p w14:paraId="05B8B26E" w14:textId="77777777" w:rsidR="005F57F3" w:rsidRPr="006774D3" w:rsidRDefault="005F57F3" w:rsidP="00F77C66">
      <w:pPr>
        <w:outlineLvl w:val="0"/>
        <w:rPr>
          <w:color w:val="000000"/>
          <w:sz w:val="22"/>
          <w:szCs w:val="22"/>
        </w:rPr>
      </w:pPr>
    </w:p>
    <w:p w14:paraId="05B8B26F" w14:textId="77777777" w:rsidR="005F57F3" w:rsidRPr="006774D3" w:rsidRDefault="005F57F3" w:rsidP="00F77C66">
      <w:pPr>
        <w:outlineLvl w:val="0"/>
        <w:rPr>
          <w:color w:val="000000"/>
          <w:sz w:val="22"/>
          <w:szCs w:val="22"/>
        </w:rPr>
      </w:pPr>
      <w:r w:rsidRPr="006774D3">
        <w:rPr>
          <w:color w:val="000000"/>
          <w:sz w:val="22"/>
          <w:szCs w:val="22"/>
        </w:rPr>
        <w:t>Imatinib er einnig hemill týrosínkínasaviðtaka fyrir blóðflagnaafleidda vaxtarþáttinn (platelate-derived growth factor [PDGF]), PDGF</w:t>
      </w:r>
      <w:r w:rsidRPr="006774D3">
        <w:rPr>
          <w:color w:val="000000"/>
          <w:sz w:val="22"/>
          <w:szCs w:val="22"/>
        </w:rPr>
        <w:noBreakHyphen/>
        <w:t>R og stofnfrumuþáttinn (stem cell factor [SCF]) c</w:t>
      </w:r>
      <w:r w:rsidRPr="006774D3">
        <w:rPr>
          <w:color w:val="000000"/>
          <w:sz w:val="22"/>
          <w:szCs w:val="22"/>
        </w:rPr>
        <w:noBreakHyphen/>
        <w:t xml:space="preserve">Kit og hamlar PDGF- og SCF-miðluðum frumuferlum. </w:t>
      </w:r>
      <w:r w:rsidRPr="006774D3">
        <w:rPr>
          <w:i/>
          <w:color w:val="000000"/>
          <w:sz w:val="22"/>
          <w:szCs w:val="22"/>
        </w:rPr>
        <w:t>In vitro</w:t>
      </w:r>
      <w:r w:rsidRPr="006774D3">
        <w:rPr>
          <w:color w:val="000000"/>
          <w:sz w:val="22"/>
          <w:szCs w:val="22"/>
        </w:rPr>
        <w:t xml:space="preserve"> hamlar imatinib frumufjölgun og veldur stýrðum frumudauða (apoptosis) í æxlisfrumum í stoðvef maga og þarma (GIST), sem tjá virkjaða </w:t>
      </w:r>
      <w:r w:rsidRPr="006774D3">
        <w:rPr>
          <w:i/>
          <w:color w:val="000000"/>
          <w:sz w:val="22"/>
          <w:szCs w:val="22"/>
        </w:rPr>
        <w:t>kit </w:t>
      </w:r>
      <w:r w:rsidRPr="006774D3">
        <w:rPr>
          <w:color w:val="000000"/>
          <w:sz w:val="22"/>
          <w:szCs w:val="22"/>
        </w:rPr>
        <w:t>stökk</w:t>
      </w:r>
      <w:r w:rsidRPr="006774D3">
        <w:rPr>
          <w:color w:val="000000"/>
          <w:sz w:val="22"/>
          <w:szCs w:val="22"/>
        </w:rPr>
        <w:softHyphen/>
        <w:t>breytingu. Sívirk (constitutive) virkjun PDGF viðtaka eða Abl proteintyrosinkinasa sem afleiðing samruna við ýmis fylgi</w:t>
      </w:r>
      <w:r w:rsidRPr="006774D3">
        <w:rPr>
          <w:color w:val="000000"/>
          <w:sz w:val="22"/>
          <w:szCs w:val="22"/>
        </w:rPr>
        <w:softHyphen/>
        <w:t>prótein (partner proteins) eða sívirk myndun PDGF hefur verið talin tengjast meinmyndun MDS/MPD, HES/CEL og DFSP. Imatinib hamlar frumuboðum og frumufjölgun sem knúin er áfram af PDGFR og Abl kinasa virkni sem ekki lætur að stjórn.</w:t>
      </w:r>
    </w:p>
    <w:p w14:paraId="05B8B270" w14:textId="77777777" w:rsidR="005F57F3" w:rsidRPr="006774D3" w:rsidRDefault="005F57F3" w:rsidP="00F77C66">
      <w:pPr>
        <w:outlineLvl w:val="0"/>
        <w:rPr>
          <w:color w:val="000000"/>
          <w:sz w:val="22"/>
          <w:szCs w:val="22"/>
        </w:rPr>
      </w:pPr>
    </w:p>
    <w:p w14:paraId="05B8B271"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Klínískar rannsóknir á langvarandi kyrningahvítblæði</w:t>
      </w:r>
    </w:p>
    <w:p w14:paraId="05B8B272" w14:textId="77777777" w:rsidR="005F57F3" w:rsidRPr="006774D3" w:rsidRDefault="005F57F3" w:rsidP="00F77C66">
      <w:pPr>
        <w:outlineLvl w:val="0"/>
        <w:rPr>
          <w:color w:val="000000"/>
          <w:sz w:val="22"/>
          <w:szCs w:val="22"/>
        </w:rPr>
      </w:pPr>
      <w:r w:rsidRPr="006774D3">
        <w:rPr>
          <w:color w:val="000000"/>
          <w:sz w:val="22"/>
          <w:szCs w:val="22"/>
        </w:rPr>
        <w:t>Verkun Glivec grundvallast á heildar blóð- og litningasvörun og lifun án versnunar sjúkdóms. Engar klínískar samanburðarrannsóknir sýna fram á klínískan ávinning, svo sem bata á sjúkdómstengdum einkennum eða aukinni lifun, nema hvað varðar nýgreint CML í stöðugum fasa.</w:t>
      </w:r>
    </w:p>
    <w:p w14:paraId="05B8B273" w14:textId="77777777" w:rsidR="005F57F3" w:rsidRPr="006774D3" w:rsidRDefault="005F57F3" w:rsidP="00F77C66">
      <w:pPr>
        <w:outlineLvl w:val="0"/>
        <w:rPr>
          <w:color w:val="000000"/>
          <w:sz w:val="22"/>
          <w:szCs w:val="22"/>
        </w:rPr>
      </w:pPr>
    </w:p>
    <w:p w14:paraId="05B8B274" w14:textId="77777777" w:rsidR="005F57F3" w:rsidRPr="006774D3" w:rsidRDefault="005F57F3" w:rsidP="00F77C66">
      <w:pPr>
        <w:outlineLvl w:val="0"/>
        <w:rPr>
          <w:color w:val="000000"/>
          <w:sz w:val="22"/>
          <w:szCs w:val="22"/>
        </w:rPr>
      </w:pPr>
      <w:r w:rsidRPr="006774D3">
        <w:rPr>
          <w:color w:val="000000"/>
          <w:sz w:val="22"/>
          <w:szCs w:val="22"/>
        </w:rPr>
        <w:t>Þrjár stórar, alþjóðlegar, opnar II. stigs rannsóknir án samanburðar voru gerðar hjá sjúklingum með Fíladelfíulitnings jákvætt (Ph+) CML í stöðugum, bráðafasa eða hröðunarfasa sjúkdómsins, önnur Ph+ hvítblæði eða með CML í stöðugum fasa sem svaraði ekki fyrri meðferð með interferon</w:t>
      </w:r>
      <w:r w:rsidR="00107D5B" w:rsidRPr="006774D3">
        <w:rPr>
          <w:color w:val="000000"/>
          <w:sz w:val="22"/>
          <w:szCs w:val="22"/>
        </w:rPr>
        <w:t>i</w:t>
      </w:r>
      <w:r w:rsidRPr="006774D3">
        <w:rPr>
          <w:color w:val="000000"/>
          <w:sz w:val="22"/>
          <w:szCs w:val="22"/>
        </w:rPr>
        <w:noBreakHyphen/>
        <w:t xml:space="preserve">alfa (IFN). Ein stór, opin, fjölsetra, alþjóðleg, slembuð III. stigs rannsókn hefur verið gerð hjá sjúklingum með </w:t>
      </w:r>
      <w:r w:rsidRPr="006774D3">
        <w:rPr>
          <w:color w:val="000000"/>
          <w:sz w:val="22"/>
          <w:szCs w:val="22"/>
        </w:rPr>
        <w:lastRenderedPageBreak/>
        <w:t>nýgreindan Ph+ CML. Að auki hafa börn verið meðhöndluð í tveimur I. stigs rannsóknum og einni II. stigs rannsókn.</w:t>
      </w:r>
    </w:p>
    <w:p w14:paraId="05B8B275" w14:textId="77777777" w:rsidR="005F57F3" w:rsidRPr="006774D3" w:rsidRDefault="005F57F3" w:rsidP="00F77C66">
      <w:pPr>
        <w:outlineLvl w:val="0"/>
        <w:rPr>
          <w:color w:val="000000"/>
          <w:sz w:val="22"/>
          <w:szCs w:val="22"/>
        </w:rPr>
      </w:pPr>
    </w:p>
    <w:p w14:paraId="05B8B276" w14:textId="77777777" w:rsidR="005F57F3" w:rsidRPr="006774D3" w:rsidRDefault="005F57F3" w:rsidP="00F77C66">
      <w:pPr>
        <w:outlineLvl w:val="0"/>
        <w:rPr>
          <w:color w:val="000000"/>
          <w:sz w:val="22"/>
          <w:szCs w:val="22"/>
        </w:rPr>
      </w:pPr>
      <w:r w:rsidRPr="006774D3">
        <w:rPr>
          <w:color w:val="000000"/>
          <w:sz w:val="22"/>
          <w:szCs w:val="22"/>
        </w:rPr>
        <w:t>Í öllum klínískum rannsóknum voru 38</w:t>
      </w:r>
      <w:r w:rsidRPr="006774D3">
        <w:rPr>
          <w:color w:val="000000"/>
          <w:sz w:val="22"/>
          <w:szCs w:val="22"/>
        </w:rPr>
        <w:noBreakHyphen/>
        <w:t>40% sjúklinga ≥ 60 ára og 10</w:t>
      </w:r>
      <w:r w:rsidRPr="006774D3">
        <w:rPr>
          <w:color w:val="000000"/>
          <w:sz w:val="22"/>
          <w:szCs w:val="22"/>
        </w:rPr>
        <w:noBreakHyphen/>
        <w:t>12% sjúklinga voru ≥ 70 ára.</w:t>
      </w:r>
    </w:p>
    <w:p w14:paraId="05B8B277" w14:textId="77777777" w:rsidR="005F57F3" w:rsidRPr="006774D3" w:rsidRDefault="005F57F3" w:rsidP="00F77C66">
      <w:pPr>
        <w:outlineLvl w:val="0"/>
        <w:rPr>
          <w:color w:val="000000"/>
          <w:sz w:val="22"/>
          <w:szCs w:val="22"/>
        </w:rPr>
      </w:pPr>
    </w:p>
    <w:p w14:paraId="05B8B278" w14:textId="77777777" w:rsidR="005F57F3" w:rsidRPr="006774D3" w:rsidRDefault="005F57F3" w:rsidP="00F77C66">
      <w:pPr>
        <w:outlineLvl w:val="0"/>
        <w:rPr>
          <w:color w:val="000000"/>
          <w:sz w:val="22"/>
          <w:szCs w:val="22"/>
        </w:rPr>
      </w:pPr>
      <w:r w:rsidRPr="006774D3">
        <w:rPr>
          <w:i/>
          <w:color w:val="000000"/>
          <w:sz w:val="22"/>
          <w:szCs w:val="22"/>
        </w:rPr>
        <w:t>Stöðugur fasi, nýgreindur</w:t>
      </w:r>
      <w:r w:rsidRPr="006774D3">
        <w:rPr>
          <w:iCs/>
          <w:color w:val="000000"/>
          <w:sz w:val="22"/>
          <w:szCs w:val="22"/>
        </w:rPr>
        <w:t xml:space="preserve">: </w:t>
      </w:r>
      <w:r w:rsidRPr="006774D3">
        <w:rPr>
          <w:color w:val="000000"/>
          <w:sz w:val="22"/>
          <w:szCs w:val="22"/>
        </w:rPr>
        <w:t>Þessi III. stigs rannsókn hjá fullorðnum sjúklingum bar meðferð með Glivec einu og sér saman við samsetta meðferð með interferon</w:t>
      </w:r>
      <w:r w:rsidR="00107D5B" w:rsidRPr="006774D3">
        <w:rPr>
          <w:color w:val="000000"/>
          <w:sz w:val="22"/>
          <w:szCs w:val="22"/>
        </w:rPr>
        <w:t>i</w:t>
      </w:r>
      <w:r w:rsidRPr="006774D3">
        <w:rPr>
          <w:color w:val="000000"/>
          <w:sz w:val="22"/>
          <w:szCs w:val="22"/>
        </w:rPr>
        <w:noBreakHyphen/>
        <w:t>alfa (IFN) og cytarabini (Ara</w:t>
      </w:r>
      <w:r w:rsidRPr="006774D3">
        <w:rPr>
          <w:color w:val="000000"/>
          <w:sz w:val="22"/>
          <w:szCs w:val="22"/>
        </w:rPr>
        <w:noBreakHyphen/>
        <w:t xml:space="preserve">C). Sjúklingar sem sýndu enga svörun (vöntun á </w:t>
      </w:r>
      <w:r w:rsidR="00C20DAC" w:rsidRPr="006774D3">
        <w:rPr>
          <w:color w:val="000000"/>
          <w:sz w:val="22"/>
          <w:szCs w:val="22"/>
        </w:rPr>
        <w:t>heildar</w:t>
      </w:r>
      <w:r w:rsidRPr="006774D3">
        <w:rPr>
          <w:color w:val="000000"/>
          <w:sz w:val="22"/>
          <w:szCs w:val="22"/>
        </w:rPr>
        <w:t>blóðsvörun (CHR) eftir 6 mánuði, aukningu í WBC, enga meiriháttar litninga</w:t>
      </w:r>
      <w:r w:rsidRPr="006774D3">
        <w:rPr>
          <w:color w:val="000000"/>
          <w:sz w:val="22"/>
          <w:szCs w:val="22"/>
        </w:rPr>
        <w:softHyphen/>
        <w:t>svörun (MCyR) eftir 24 mánuði), stöðvun á svörun (CHR eða MCyR hættir) eða alvarlegt óþol gegn meðferðinni fengu að skipta yfir í hinn meðferðarmöguleikann. Í Glivec hópnum fengu sjúklingar 400 mg daglega. Í IFN hópnum fengu sjúklingarnir markskammtinn 5 milljón a.e./m²/sólar</w:t>
      </w:r>
      <w:r w:rsidRPr="006774D3">
        <w:rPr>
          <w:color w:val="000000"/>
          <w:sz w:val="22"/>
          <w:szCs w:val="22"/>
        </w:rPr>
        <w:softHyphen/>
        <w:t>hring af IFN undir húð ásamt því að fá Ara</w:t>
      </w:r>
      <w:r w:rsidRPr="006774D3">
        <w:rPr>
          <w:color w:val="000000"/>
          <w:sz w:val="22"/>
          <w:szCs w:val="22"/>
        </w:rPr>
        <w:noBreakHyphen/>
        <w:t>C 20 mg/m²/sólarhring undir húð í 10 daga/mánuð.</w:t>
      </w:r>
    </w:p>
    <w:p w14:paraId="05B8B279" w14:textId="77777777" w:rsidR="005F57F3" w:rsidRPr="006774D3" w:rsidRDefault="005F57F3" w:rsidP="00F77C66">
      <w:pPr>
        <w:outlineLvl w:val="0"/>
        <w:rPr>
          <w:color w:val="000000"/>
          <w:sz w:val="22"/>
          <w:szCs w:val="22"/>
        </w:rPr>
      </w:pPr>
    </w:p>
    <w:p w14:paraId="05B8B27A" w14:textId="77777777" w:rsidR="005F57F3" w:rsidRPr="006774D3" w:rsidRDefault="005F57F3" w:rsidP="00F77C66">
      <w:pPr>
        <w:outlineLvl w:val="0"/>
        <w:rPr>
          <w:color w:val="000000"/>
          <w:sz w:val="22"/>
          <w:szCs w:val="22"/>
        </w:rPr>
      </w:pPr>
      <w:r w:rsidRPr="006774D3">
        <w:rPr>
          <w:color w:val="000000"/>
          <w:sz w:val="22"/>
          <w:szCs w:val="22"/>
        </w:rPr>
        <w:t>Alls var 1.106 sjúklingum skipt með slembivali, 553 í hvorn hóp. Upphafseinkenni voru í góðu jafnvægi á milli hópanna tveggja. Miðgildi aldurs var 51 ár (á bilinu 18</w:t>
      </w:r>
      <w:r w:rsidRPr="006774D3">
        <w:rPr>
          <w:color w:val="000000"/>
          <w:sz w:val="22"/>
          <w:szCs w:val="22"/>
        </w:rPr>
        <w:noBreakHyphen/>
        <w:t xml:space="preserve">70 ára) og voru 21,9% sjúklinga ≥ 60 ára. Karlar voru 59% og konur 41%; 89,9% voru af hvíta kynstofninum og 4,7% voru þeldökkir sjúklingar. </w:t>
      </w:r>
      <w:r w:rsidR="00927366" w:rsidRPr="006774D3">
        <w:rPr>
          <w:color w:val="000000"/>
          <w:sz w:val="22"/>
          <w:szCs w:val="22"/>
        </w:rPr>
        <w:t xml:space="preserve">Sjö </w:t>
      </w:r>
      <w:r w:rsidRPr="006774D3">
        <w:rPr>
          <w:color w:val="000000"/>
          <w:sz w:val="22"/>
          <w:szCs w:val="22"/>
        </w:rPr>
        <w:t>árum eftir að síðasti sjúklingurinn var tekinn inn í rannsóknina var miðgildi meðferðarlengdar þegar um fyrstu (first</w:t>
      </w:r>
      <w:r w:rsidRPr="006774D3">
        <w:rPr>
          <w:color w:val="000000"/>
          <w:sz w:val="22"/>
          <w:szCs w:val="22"/>
        </w:rPr>
        <w:noBreakHyphen/>
        <w:t xml:space="preserve">line) meðferð var að ræða, </w:t>
      </w:r>
      <w:r w:rsidR="00927366" w:rsidRPr="006774D3">
        <w:rPr>
          <w:color w:val="000000"/>
          <w:sz w:val="22"/>
          <w:szCs w:val="22"/>
        </w:rPr>
        <w:t>82 </w:t>
      </w:r>
      <w:r w:rsidRPr="006774D3">
        <w:rPr>
          <w:color w:val="000000"/>
          <w:sz w:val="22"/>
          <w:szCs w:val="22"/>
        </w:rPr>
        <w:t>mánuðir hjá hópnum sem fékk Glivec og 8 mánuðir hjá IFN hópnum. Miðgildi meðferðarlengdar, þegar um aðra (second</w:t>
      </w:r>
      <w:r w:rsidRPr="006774D3">
        <w:rPr>
          <w:color w:val="000000"/>
          <w:sz w:val="22"/>
          <w:szCs w:val="22"/>
        </w:rPr>
        <w:noBreakHyphen/>
        <w:t xml:space="preserve">line) meðferð með Glivec var að ræða, var </w:t>
      </w:r>
      <w:r w:rsidR="00927366" w:rsidRPr="006774D3">
        <w:rPr>
          <w:color w:val="000000"/>
          <w:sz w:val="22"/>
          <w:szCs w:val="22"/>
        </w:rPr>
        <w:t>64 </w:t>
      </w:r>
      <w:r w:rsidRPr="006774D3">
        <w:rPr>
          <w:color w:val="000000"/>
          <w:sz w:val="22"/>
          <w:szCs w:val="22"/>
        </w:rPr>
        <w:t xml:space="preserve">mánuðir. Á heildina litið var sólarhringsskammtur að meðaltali </w:t>
      </w:r>
      <w:r w:rsidR="00927366" w:rsidRPr="006774D3">
        <w:rPr>
          <w:color w:val="000000"/>
          <w:sz w:val="22"/>
          <w:szCs w:val="22"/>
        </w:rPr>
        <w:t>406 </w:t>
      </w:r>
      <w:r w:rsidRPr="006774D3">
        <w:rPr>
          <w:color w:val="000000"/>
          <w:sz w:val="22"/>
          <w:szCs w:val="22"/>
        </w:rPr>
        <w:t>± </w:t>
      </w:r>
      <w:r w:rsidR="00927366" w:rsidRPr="006774D3">
        <w:rPr>
          <w:color w:val="000000"/>
          <w:sz w:val="22"/>
          <w:szCs w:val="22"/>
        </w:rPr>
        <w:t>76 </w:t>
      </w:r>
      <w:r w:rsidRPr="006774D3">
        <w:rPr>
          <w:color w:val="000000"/>
          <w:sz w:val="22"/>
          <w:szCs w:val="22"/>
        </w:rPr>
        <w:t>mg hjá sjúklingum sem fengu Glivec sem fyrstu meðferð. Fyrsti endapunktur verkunar í rannsókninni er lifun án versnunar. Versnun var skilgreind sem einhver eftirtalinna þátta: Versnun í hröðunarfasa eða bráðafasa (blast crisis), andlát, stöðvun á CHR eða MCyR, eða aukning á WBC hjá sjúklingum sem ekki voru að ná CHR þrátt fyrir viðeigandi meðferð. Meiriháttar litningasvörun, blóðsvörun, sameindasvörun (mat á lágmarks sjúkdómshreytum (minimal residual disease)), tími að hröðunarfasa eða bráðafasa og lifun eru helstu aðrir (secondary) endapunktar. Upplýsingar um svörun koma fram í töflu </w:t>
      </w:r>
      <w:r w:rsidR="00142B05" w:rsidRPr="006774D3">
        <w:rPr>
          <w:color w:val="000000"/>
          <w:sz w:val="22"/>
          <w:szCs w:val="22"/>
        </w:rPr>
        <w:t>2</w:t>
      </w:r>
      <w:r w:rsidRPr="006774D3">
        <w:rPr>
          <w:color w:val="000000"/>
          <w:sz w:val="22"/>
          <w:szCs w:val="22"/>
        </w:rPr>
        <w:t>.</w:t>
      </w:r>
    </w:p>
    <w:p w14:paraId="05B8B27B" w14:textId="77777777" w:rsidR="005F57F3" w:rsidRPr="006774D3" w:rsidRDefault="005F57F3" w:rsidP="00F77C66">
      <w:pPr>
        <w:pStyle w:val="EndnoteText"/>
        <w:spacing w:before="0" w:after="0"/>
        <w:ind w:left="0" w:firstLine="0"/>
        <w:rPr>
          <w:rStyle w:val="PageNumber"/>
          <w:color w:val="000000"/>
          <w:sz w:val="22"/>
          <w:szCs w:val="22"/>
          <w:lang w:val="is-IS"/>
        </w:rPr>
      </w:pPr>
    </w:p>
    <w:p w14:paraId="05B8B27C" w14:textId="77777777" w:rsidR="005F57F3" w:rsidRPr="006774D3" w:rsidRDefault="005F57F3" w:rsidP="00346F25">
      <w:pPr>
        <w:pStyle w:val="EndnoteText"/>
        <w:keepNext/>
        <w:tabs>
          <w:tab w:val="left" w:pos="1134"/>
        </w:tabs>
        <w:spacing w:before="0" w:after="0"/>
        <w:ind w:left="0" w:firstLine="0"/>
        <w:rPr>
          <w:rStyle w:val="PageNumber"/>
          <w:b/>
          <w:color w:val="000000"/>
          <w:sz w:val="22"/>
          <w:szCs w:val="22"/>
          <w:lang w:val="is-IS"/>
        </w:rPr>
      </w:pPr>
      <w:r w:rsidRPr="006774D3">
        <w:rPr>
          <w:rStyle w:val="PageNumber"/>
          <w:b/>
          <w:color w:val="000000"/>
          <w:sz w:val="22"/>
          <w:szCs w:val="22"/>
          <w:lang w:val="is-IS"/>
        </w:rPr>
        <w:t>Tafla </w:t>
      </w:r>
      <w:r w:rsidR="00142B05" w:rsidRPr="006774D3">
        <w:rPr>
          <w:rStyle w:val="PageNumber"/>
          <w:b/>
          <w:color w:val="000000"/>
          <w:sz w:val="22"/>
          <w:szCs w:val="22"/>
          <w:lang w:val="is-IS"/>
        </w:rPr>
        <w:t>2</w:t>
      </w:r>
      <w:r w:rsidRPr="006774D3">
        <w:rPr>
          <w:rStyle w:val="PageNumber"/>
          <w:b/>
          <w:color w:val="000000"/>
          <w:sz w:val="22"/>
          <w:szCs w:val="22"/>
          <w:lang w:val="is-IS"/>
        </w:rPr>
        <w:tab/>
        <w:t>Svörun í rannsókn hjá sjúklingum með nýgreint CML (</w:t>
      </w:r>
      <w:r w:rsidR="00072EEF" w:rsidRPr="006774D3">
        <w:rPr>
          <w:rStyle w:val="PageNumber"/>
          <w:b/>
          <w:color w:val="000000"/>
          <w:sz w:val="22"/>
          <w:szCs w:val="22"/>
          <w:lang w:val="is-IS"/>
        </w:rPr>
        <w:t>84 </w:t>
      </w:r>
      <w:r w:rsidRPr="006774D3">
        <w:rPr>
          <w:rStyle w:val="PageNumber"/>
          <w:b/>
          <w:color w:val="000000"/>
          <w:sz w:val="22"/>
          <w:szCs w:val="22"/>
          <w:lang w:val="is-IS"/>
        </w:rPr>
        <w:t>mánaða upplýsingar)</w:t>
      </w:r>
    </w:p>
    <w:p w14:paraId="05B8B27D" w14:textId="77777777" w:rsidR="005F57F3" w:rsidRPr="006774D3" w:rsidRDefault="005F57F3" w:rsidP="00346F25">
      <w:pPr>
        <w:pStyle w:val="EndnoteText"/>
        <w:keepNext/>
        <w:spacing w:before="0" w:after="0"/>
        <w:ind w:left="0" w:firstLine="0"/>
        <w:rPr>
          <w:rStyle w:val="PageNumber"/>
          <w:color w:val="000000"/>
          <w:sz w:val="22"/>
          <w:szCs w:val="22"/>
          <w:lang w:val="is-IS"/>
        </w:rPr>
      </w:pPr>
    </w:p>
    <w:tbl>
      <w:tblPr>
        <w:tblW w:w="9322" w:type="dxa"/>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753"/>
        <w:gridCol w:w="2775"/>
      </w:tblGrid>
      <w:tr w:rsidR="005F57F3" w:rsidRPr="006774D3" w14:paraId="05B8B281" w14:textId="77777777" w:rsidTr="00346F25">
        <w:trPr>
          <w:cantSplit/>
        </w:trPr>
        <w:tc>
          <w:tcPr>
            <w:tcW w:w="3794" w:type="dxa"/>
            <w:tcBorders>
              <w:top w:val="single" w:sz="4" w:space="0" w:color="auto"/>
              <w:left w:val="single" w:sz="4" w:space="0" w:color="auto"/>
              <w:bottom w:val="nil"/>
            </w:tcBorders>
          </w:tcPr>
          <w:p w14:paraId="05B8B27E"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p>
        </w:tc>
        <w:tc>
          <w:tcPr>
            <w:tcW w:w="2753" w:type="dxa"/>
            <w:tcBorders>
              <w:top w:val="single" w:sz="4" w:space="0" w:color="auto"/>
              <w:bottom w:val="nil"/>
            </w:tcBorders>
          </w:tcPr>
          <w:p w14:paraId="05B8B27F" w14:textId="77777777" w:rsidR="005F57F3" w:rsidRPr="006774D3" w:rsidRDefault="005F57F3" w:rsidP="00346F25">
            <w:pPr>
              <w:pStyle w:val="Table"/>
              <w:keepLines w:val="0"/>
              <w:spacing w:before="0" w:after="0"/>
              <w:jc w:val="center"/>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Glivec</w:t>
            </w:r>
          </w:p>
        </w:tc>
        <w:tc>
          <w:tcPr>
            <w:tcW w:w="2775" w:type="dxa"/>
            <w:tcBorders>
              <w:top w:val="single" w:sz="4" w:space="0" w:color="auto"/>
              <w:bottom w:val="nil"/>
              <w:right w:val="single" w:sz="4" w:space="0" w:color="auto"/>
            </w:tcBorders>
          </w:tcPr>
          <w:p w14:paraId="05B8B280" w14:textId="77777777" w:rsidR="005F57F3" w:rsidRPr="006774D3" w:rsidRDefault="005F57F3" w:rsidP="00346F25">
            <w:pPr>
              <w:pStyle w:val="Table"/>
              <w:keepLines w:val="0"/>
              <w:spacing w:before="0" w:after="0"/>
              <w:jc w:val="center"/>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IFN+Ara</w:t>
            </w:r>
            <w:r w:rsidRPr="006774D3">
              <w:rPr>
                <w:rStyle w:val="PageNumber"/>
                <w:rFonts w:ascii="Times New Roman" w:hAnsi="Times New Roman"/>
                <w:b/>
                <w:color w:val="000000"/>
                <w:sz w:val="22"/>
                <w:szCs w:val="22"/>
              </w:rPr>
              <w:noBreakHyphen/>
              <w:t>C</w:t>
            </w:r>
          </w:p>
        </w:tc>
      </w:tr>
      <w:tr w:rsidR="005F57F3" w:rsidRPr="006774D3" w14:paraId="05B8B285" w14:textId="77777777" w:rsidTr="00346F25">
        <w:trPr>
          <w:cantSplit/>
        </w:trPr>
        <w:tc>
          <w:tcPr>
            <w:tcW w:w="3794" w:type="dxa"/>
            <w:tcBorders>
              <w:top w:val="nil"/>
              <w:left w:val="single" w:sz="4" w:space="0" w:color="auto"/>
              <w:bottom w:val="single" w:sz="4" w:space="0" w:color="auto"/>
            </w:tcBorders>
          </w:tcPr>
          <w:p w14:paraId="05B8B282" w14:textId="77777777" w:rsidR="005F57F3" w:rsidRPr="006774D3" w:rsidRDefault="005F57F3" w:rsidP="00346F25">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(Bestu svörunarhlutföll)</w:t>
            </w:r>
          </w:p>
        </w:tc>
        <w:tc>
          <w:tcPr>
            <w:tcW w:w="2753" w:type="dxa"/>
            <w:tcBorders>
              <w:top w:val="nil"/>
              <w:bottom w:val="single" w:sz="4" w:space="0" w:color="auto"/>
            </w:tcBorders>
          </w:tcPr>
          <w:p w14:paraId="05B8B283"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n=553</w:t>
            </w:r>
          </w:p>
        </w:tc>
        <w:tc>
          <w:tcPr>
            <w:tcW w:w="2775" w:type="dxa"/>
            <w:tcBorders>
              <w:top w:val="nil"/>
              <w:bottom w:val="single" w:sz="4" w:space="0" w:color="auto"/>
              <w:right w:val="single" w:sz="4" w:space="0" w:color="auto"/>
            </w:tcBorders>
          </w:tcPr>
          <w:p w14:paraId="05B8B284"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n=553</w:t>
            </w:r>
          </w:p>
        </w:tc>
      </w:tr>
      <w:tr w:rsidR="005F57F3" w:rsidRPr="006774D3" w14:paraId="05B8B289" w14:textId="77777777" w:rsidTr="00346F25">
        <w:trPr>
          <w:cantSplit/>
        </w:trPr>
        <w:tc>
          <w:tcPr>
            <w:tcW w:w="3794" w:type="dxa"/>
            <w:tcBorders>
              <w:top w:val="nil"/>
              <w:left w:val="single" w:sz="4" w:space="0" w:color="auto"/>
            </w:tcBorders>
          </w:tcPr>
          <w:p w14:paraId="05B8B286" w14:textId="77777777" w:rsidR="005F57F3" w:rsidRPr="006774D3" w:rsidRDefault="005F57F3" w:rsidP="00346F25">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Blóðsvörun</w:t>
            </w:r>
          </w:p>
        </w:tc>
        <w:tc>
          <w:tcPr>
            <w:tcW w:w="2753" w:type="dxa"/>
            <w:tcBorders>
              <w:top w:val="nil"/>
            </w:tcBorders>
          </w:tcPr>
          <w:p w14:paraId="05B8B287"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c>
          <w:tcPr>
            <w:tcW w:w="2775" w:type="dxa"/>
            <w:tcBorders>
              <w:top w:val="nil"/>
              <w:right w:val="single" w:sz="4" w:space="0" w:color="auto"/>
            </w:tcBorders>
          </w:tcPr>
          <w:p w14:paraId="05B8B288"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r>
      <w:tr w:rsidR="005F57F3" w:rsidRPr="006774D3" w14:paraId="05B8B28D" w14:textId="77777777" w:rsidTr="00346F25">
        <w:trPr>
          <w:cantSplit/>
        </w:trPr>
        <w:tc>
          <w:tcPr>
            <w:tcW w:w="3794" w:type="dxa"/>
            <w:tcBorders>
              <w:top w:val="nil"/>
              <w:left w:val="single" w:sz="4" w:space="0" w:color="auto"/>
            </w:tcBorders>
          </w:tcPr>
          <w:p w14:paraId="05B8B28A"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CHR hlutfall n (%)</w:t>
            </w:r>
          </w:p>
        </w:tc>
        <w:tc>
          <w:tcPr>
            <w:tcW w:w="2753" w:type="dxa"/>
            <w:tcBorders>
              <w:top w:val="nil"/>
            </w:tcBorders>
          </w:tcPr>
          <w:p w14:paraId="05B8B28B"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534 (96,6%)*</w:t>
            </w:r>
          </w:p>
        </w:tc>
        <w:tc>
          <w:tcPr>
            <w:tcW w:w="2775" w:type="dxa"/>
            <w:tcBorders>
              <w:top w:val="nil"/>
              <w:right w:val="single" w:sz="4" w:space="0" w:color="auto"/>
            </w:tcBorders>
          </w:tcPr>
          <w:p w14:paraId="05B8B28C"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313 (56,6%)*</w:t>
            </w:r>
          </w:p>
        </w:tc>
      </w:tr>
      <w:tr w:rsidR="005F57F3" w:rsidRPr="006774D3" w14:paraId="05B8B291" w14:textId="77777777" w:rsidTr="00346F25">
        <w:trPr>
          <w:cantSplit/>
        </w:trPr>
        <w:tc>
          <w:tcPr>
            <w:tcW w:w="3794" w:type="dxa"/>
            <w:tcBorders>
              <w:left w:val="single" w:sz="4" w:space="0" w:color="auto"/>
            </w:tcBorders>
          </w:tcPr>
          <w:p w14:paraId="05B8B28E"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[95% CI]</w:t>
            </w:r>
          </w:p>
        </w:tc>
        <w:tc>
          <w:tcPr>
            <w:tcW w:w="2753" w:type="dxa"/>
          </w:tcPr>
          <w:p w14:paraId="05B8B28F"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[94,7%, 97,9%]</w:t>
            </w:r>
          </w:p>
        </w:tc>
        <w:tc>
          <w:tcPr>
            <w:tcW w:w="2775" w:type="dxa"/>
            <w:tcBorders>
              <w:right w:val="single" w:sz="4" w:space="0" w:color="auto"/>
            </w:tcBorders>
          </w:tcPr>
          <w:p w14:paraId="05B8B290"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[52,4%, 60,8%]</w:t>
            </w:r>
          </w:p>
        </w:tc>
      </w:tr>
      <w:tr w:rsidR="005F57F3" w:rsidRPr="006774D3" w14:paraId="05B8B295" w14:textId="77777777" w:rsidTr="00346F25">
        <w:trPr>
          <w:cantSplit/>
        </w:trPr>
        <w:tc>
          <w:tcPr>
            <w:tcW w:w="3794" w:type="dxa"/>
            <w:tcBorders>
              <w:left w:val="single" w:sz="4" w:space="0" w:color="auto"/>
            </w:tcBorders>
          </w:tcPr>
          <w:p w14:paraId="05B8B292"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p>
        </w:tc>
        <w:tc>
          <w:tcPr>
            <w:tcW w:w="2753" w:type="dxa"/>
          </w:tcPr>
          <w:p w14:paraId="05B8B293"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c>
          <w:tcPr>
            <w:tcW w:w="2775" w:type="dxa"/>
            <w:tcBorders>
              <w:right w:val="single" w:sz="4" w:space="0" w:color="auto"/>
            </w:tcBorders>
          </w:tcPr>
          <w:p w14:paraId="05B8B294"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r>
      <w:tr w:rsidR="005F57F3" w:rsidRPr="006774D3" w14:paraId="05B8B299" w14:textId="77777777" w:rsidTr="00346F25">
        <w:trPr>
          <w:cantSplit/>
        </w:trPr>
        <w:tc>
          <w:tcPr>
            <w:tcW w:w="3794" w:type="dxa"/>
            <w:tcBorders>
              <w:left w:val="single" w:sz="4" w:space="0" w:color="auto"/>
            </w:tcBorders>
          </w:tcPr>
          <w:p w14:paraId="05B8B296" w14:textId="77777777" w:rsidR="005F57F3" w:rsidRPr="006774D3" w:rsidRDefault="005F57F3" w:rsidP="00346F25">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Litningasvörun</w:t>
            </w:r>
          </w:p>
        </w:tc>
        <w:tc>
          <w:tcPr>
            <w:tcW w:w="2753" w:type="dxa"/>
          </w:tcPr>
          <w:p w14:paraId="05B8B297"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c>
          <w:tcPr>
            <w:tcW w:w="2775" w:type="dxa"/>
            <w:tcBorders>
              <w:right w:val="single" w:sz="4" w:space="0" w:color="auto"/>
            </w:tcBorders>
          </w:tcPr>
          <w:p w14:paraId="05B8B298"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r>
      <w:tr w:rsidR="005F57F3" w:rsidRPr="006774D3" w14:paraId="05B8B29D" w14:textId="77777777" w:rsidTr="00346F25">
        <w:trPr>
          <w:cantSplit/>
        </w:trPr>
        <w:tc>
          <w:tcPr>
            <w:tcW w:w="3794" w:type="dxa"/>
            <w:tcBorders>
              <w:left w:val="single" w:sz="4" w:space="0" w:color="auto"/>
            </w:tcBorders>
          </w:tcPr>
          <w:p w14:paraId="05B8B29A"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n (%)</w:t>
            </w:r>
          </w:p>
        </w:tc>
        <w:tc>
          <w:tcPr>
            <w:tcW w:w="2753" w:type="dxa"/>
          </w:tcPr>
          <w:p w14:paraId="05B8B29B"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490 (88,6%)*</w:t>
            </w:r>
          </w:p>
        </w:tc>
        <w:tc>
          <w:tcPr>
            <w:tcW w:w="2775" w:type="dxa"/>
            <w:tcBorders>
              <w:right w:val="single" w:sz="4" w:space="0" w:color="auto"/>
            </w:tcBorders>
          </w:tcPr>
          <w:p w14:paraId="05B8B29C"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129 (23,3%)*</w:t>
            </w:r>
          </w:p>
        </w:tc>
      </w:tr>
      <w:tr w:rsidR="005F57F3" w:rsidRPr="006774D3" w14:paraId="05B8B2A1" w14:textId="77777777" w:rsidTr="00346F25">
        <w:trPr>
          <w:cantSplit/>
        </w:trPr>
        <w:tc>
          <w:tcPr>
            <w:tcW w:w="3794" w:type="dxa"/>
            <w:tcBorders>
              <w:left w:val="single" w:sz="4" w:space="0" w:color="auto"/>
            </w:tcBorders>
          </w:tcPr>
          <w:p w14:paraId="05B8B29E"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[95% CI]</w:t>
            </w:r>
          </w:p>
        </w:tc>
        <w:tc>
          <w:tcPr>
            <w:tcW w:w="2753" w:type="dxa"/>
          </w:tcPr>
          <w:p w14:paraId="05B8B29F"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[85,7%, 91,1%]</w:t>
            </w:r>
          </w:p>
        </w:tc>
        <w:tc>
          <w:tcPr>
            <w:tcW w:w="2775" w:type="dxa"/>
            <w:tcBorders>
              <w:right w:val="single" w:sz="4" w:space="0" w:color="auto"/>
            </w:tcBorders>
          </w:tcPr>
          <w:p w14:paraId="05B8B2A0"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[19,9%, 27,1%]</w:t>
            </w:r>
          </w:p>
        </w:tc>
      </w:tr>
      <w:tr w:rsidR="005F57F3" w:rsidRPr="006774D3" w14:paraId="05B8B2A5" w14:textId="77777777" w:rsidTr="00346F25">
        <w:trPr>
          <w:cantSplit/>
        </w:trPr>
        <w:tc>
          <w:tcPr>
            <w:tcW w:w="3794" w:type="dxa"/>
            <w:tcBorders>
              <w:left w:val="single" w:sz="4" w:space="0" w:color="auto"/>
            </w:tcBorders>
          </w:tcPr>
          <w:p w14:paraId="05B8B2A2"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Full CyR n (%)</w:t>
            </w:r>
          </w:p>
        </w:tc>
        <w:tc>
          <w:tcPr>
            <w:tcW w:w="2753" w:type="dxa"/>
          </w:tcPr>
          <w:p w14:paraId="05B8B2A3"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45</w:t>
            </w:r>
            <w:r w:rsidR="00072EEF" w:rsidRPr="006774D3">
              <w:rPr>
                <w:rStyle w:val="PageNumber"/>
                <w:rFonts w:ascii="Times New Roman" w:hAnsi="Times New Roman"/>
                <w:color w:val="000000"/>
                <w:sz w:val="22"/>
                <w:szCs w:val="22"/>
              </w:rPr>
              <w:t>6</w:t>
            </w:r>
            <w:r w:rsidRPr="006774D3">
              <w:rPr>
                <w:rStyle w:val="PageNumber"/>
                <w:rFonts w:ascii="Times New Roman" w:hAnsi="Times New Roman"/>
                <w:color w:val="000000"/>
                <w:sz w:val="22"/>
                <w:szCs w:val="22"/>
              </w:rPr>
              <w:t xml:space="preserve"> (82,</w:t>
            </w:r>
            <w:r w:rsidR="00072EEF" w:rsidRPr="006774D3">
              <w:rPr>
                <w:rStyle w:val="PageNumber"/>
                <w:rFonts w:ascii="Times New Roman" w:hAnsi="Times New Roman"/>
                <w:color w:val="000000"/>
                <w:sz w:val="22"/>
                <w:szCs w:val="22"/>
              </w:rPr>
              <w:t>5</w:t>
            </w:r>
            <w:r w:rsidRPr="006774D3">
              <w:rPr>
                <w:rStyle w:val="PageNumber"/>
                <w:rFonts w:ascii="Times New Roman" w:hAnsi="Times New Roman"/>
                <w:color w:val="000000"/>
                <w:sz w:val="22"/>
                <w:szCs w:val="22"/>
              </w:rPr>
              <w:t>%)*</w:t>
            </w:r>
          </w:p>
        </w:tc>
        <w:tc>
          <w:tcPr>
            <w:tcW w:w="2775" w:type="dxa"/>
            <w:tcBorders>
              <w:right w:val="single" w:sz="4" w:space="0" w:color="auto"/>
            </w:tcBorders>
          </w:tcPr>
          <w:p w14:paraId="05B8B2A4"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64 (11,6%)*</w:t>
            </w:r>
          </w:p>
        </w:tc>
      </w:tr>
      <w:tr w:rsidR="005F57F3" w:rsidRPr="006774D3" w14:paraId="05B8B2A9" w14:textId="77777777" w:rsidTr="00346F25">
        <w:trPr>
          <w:cantSplit/>
        </w:trPr>
        <w:tc>
          <w:tcPr>
            <w:tcW w:w="3794" w:type="dxa"/>
            <w:tcBorders>
              <w:left w:val="single" w:sz="4" w:space="0" w:color="auto"/>
            </w:tcBorders>
          </w:tcPr>
          <w:p w14:paraId="05B8B2A6"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Að hluta CyR n (%)</w:t>
            </w:r>
          </w:p>
        </w:tc>
        <w:tc>
          <w:tcPr>
            <w:tcW w:w="2753" w:type="dxa"/>
          </w:tcPr>
          <w:p w14:paraId="05B8B2A7"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w:t>
            </w:r>
            <w:r w:rsidR="00072EEF" w:rsidRPr="006774D3">
              <w:rPr>
                <w:rStyle w:val="PageNumber"/>
                <w:rFonts w:ascii="Times New Roman" w:hAnsi="Times New Roman"/>
                <w:color w:val="000000"/>
                <w:sz w:val="22"/>
                <w:szCs w:val="22"/>
              </w:rPr>
              <w:t>4</w:t>
            </w:r>
            <w:r w:rsidRPr="006774D3">
              <w:rPr>
                <w:rStyle w:val="PageNumber"/>
                <w:rFonts w:ascii="Times New Roman" w:hAnsi="Times New Roman"/>
                <w:color w:val="000000"/>
                <w:sz w:val="22"/>
                <w:szCs w:val="22"/>
              </w:rPr>
              <w:t xml:space="preserve"> (6,</w:t>
            </w:r>
            <w:r w:rsidR="00072EEF" w:rsidRPr="006774D3">
              <w:rPr>
                <w:rStyle w:val="PageNumber"/>
                <w:rFonts w:ascii="Times New Roman" w:hAnsi="Times New Roman"/>
                <w:color w:val="000000"/>
                <w:sz w:val="22"/>
                <w:szCs w:val="22"/>
              </w:rPr>
              <w:t>1</w:t>
            </w:r>
            <w:r w:rsidRPr="006774D3">
              <w:rPr>
                <w:rStyle w:val="PageNumber"/>
                <w:rFonts w:ascii="Times New Roman" w:hAnsi="Times New Roman"/>
                <w:color w:val="000000"/>
                <w:sz w:val="22"/>
                <w:szCs w:val="22"/>
              </w:rPr>
              <w:t>%)</w:t>
            </w:r>
          </w:p>
        </w:tc>
        <w:tc>
          <w:tcPr>
            <w:tcW w:w="2775" w:type="dxa"/>
            <w:tcBorders>
              <w:right w:val="single" w:sz="4" w:space="0" w:color="auto"/>
            </w:tcBorders>
          </w:tcPr>
          <w:p w14:paraId="05B8B2A8"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65 (11,8%)</w:t>
            </w:r>
          </w:p>
        </w:tc>
      </w:tr>
      <w:tr w:rsidR="005F57F3" w:rsidRPr="006774D3" w14:paraId="05B8B2AD" w14:textId="77777777" w:rsidTr="00346F25">
        <w:trPr>
          <w:cantSplit/>
        </w:trPr>
        <w:tc>
          <w:tcPr>
            <w:tcW w:w="3794" w:type="dxa"/>
            <w:tcBorders>
              <w:left w:val="single" w:sz="4" w:space="0" w:color="auto"/>
              <w:bottom w:val="nil"/>
            </w:tcBorders>
          </w:tcPr>
          <w:p w14:paraId="05B8B2AA"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p>
        </w:tc>
        <w:tc>
          <w:tcPr>
            <w:tcW w:w="2753" w:type="dxa"/>
            <w:tcBorders>
              <w:bottom w:val="nil"/>
            </w:tcBorders>
          </w:tcPr>
          <w:p w14:paraId="05B8B2AB"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c>
          <w:tcPr>
            <w:tcW w:w="2775" w:type="dxa"/>
            <w:tcBorders>
              <w:bottom w:val="nil"/>
              <w:right w:val="single" w:sz="4" w:space="0" w:color="auto"/>
            </w:tcBorders>
          </w:tcPr>
          <w:p w14:paraId="05B8B2AC"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r>
      <w:tr w:rsidR="005F57F3" w:rsidRPr="006774D3" w14:paraId="05B8B2B1" w14:textId="77777777" w:rsidTr="00346F25">
        <w:trPr>
          <w:cantSplit/>
        </w:trPr>
        <w:tc>
          <w:tcPr>
            <w:tcW w:w="3794" w:type="dxa"/>
            <w:tcBorders>
              <w:left w:val="single" w:sz="4" w:space="0" w:color="auto"/>
              <w:bottom w:val="nil"/>
            </w:tcBorders>
          </w:tcPr>
          <w:p w14:paraId="05B8B2AE" w14:textId="77777777" w:rsidR="005F57F3" w:rsidRPr="006774D3" w:rsidRDefault="005F57F3" w:rsidP="00346F25">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Sameindasvörun</w:t>
            </w:r>
            <w:r w:rsidR="008478EE" w:rsidRPr="006774D3">
              <w:rPr>
                <w:rStyle w:val="PageNumber"/>
                <w:rFonts w:ascii="Times New Roman" w:hAnsi="Times New Roman"/>
                <w:color w:val="000000"/>
                <w:sz w:val="22"/>
                <w:szCs w:val="22"/>
              </w:rPr>
              <w:t>**</w:t>
            </w:r>
          </w:p>
        </w:tc>
        <w:tc>
          <w:tcPr>
            <w:tcW w:w="2753" w:type="dxa"/>
            <w:tcBorders>
              <w:bottom w:val="nil"/>
            </w:tcBorders>
          </w:tcPr>
          <w:p w14:paraId="05B8B2AF"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c>
          <w:tcPr>
            <w:tcW w:w="2775" w:type="dxa"/>
            <w:tcBorders>
              <w:bottom w:val="nil"/>
              <w:right w:val="single" w:sz="4" w:space="0" w:color="auto"/>
            </w:tcBorders>
          </w:tcPr>
          <w:p w14:paraId="05B8B2B0" w14:textId="77777777" w:rsidR="005F57F3" w:rsidRPr="006774D3" w:rsidRDefault="005F57F3" w:rsidP="00346F25">
            <w:pPr>
              <w:pStyle w:val="Table"/>
              <w:keepLines w:val="0"/>
              <w:spacing w:before="0" w:after="0"/>
              <w:jc w:val="center"/>
              <w:rPr>
                <w:rStyle w:val="PageNumber"/>
                <w:rFonts w:ascii="Times New Roman" w:hAnsi="Times New Roman"/>
                <w:color w:val="000000"/>
                <w:sz w:val="22"/>
                <w:szCs w:val="22"/>
              </w:rPr>
            </w:pPr>
          </w:p>
        </w:tc>
      </w:tr>
      <w:tr w:rsidR="005F57F3" w:rsidRPr="006774D3" w14:paraId="05B8B2B5" w14:textId="77777777" w:rsidTr="00346F25">
        <w:trPr>
          <w:cantSplit/>
        </w:trPr>
        <w:tc>
          <w:tcPr>
            <w:tcW w:w="3794" w:type="dxa"/>
            <w:tcBorders>
              <w:left w:val="single" w:sz="4" w:space="0" w:color="auto"/>
              <w:bottom w:val="nil"/>
            </w:tcBorders>
          </w:tcPr>
          <w:p w14:paraId="05B8B2B2"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12 mánuði (%)</w:t>
            </w:r>
          </w:p>
        </w:tc>
        <w:tc>
          <w:tcPr>
            <w:tcW w:w="2753" w:type="dxa"/>
            <w:tcBorders>
              <w:bottom w:val="nil"/>
            </w:tcBorders>
          </w:tcPr>
          <w:p w14:paraId="05B8B2B3" w14:textId="77777777" w:rsidR="005F57F3" w:rsidRPr="006774D3"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153/305=50,2%</w:t>
            </w:r>
          </w:p>
        </w:tc>
        <w:tc>
          <w:tcPr>
            <w:tcW w:w="2775" w:type="dxa"/>
            <w:tcBorders>
              <w:bottom w:val="nil"/>
              <w:right w:val="single" w:sz="4" w:space="0" w:color="auto"/>
            </w:tcBorders>
          </w:tcPr>
          <w:p w14:paraId="05B8B2B4" w14:textId="77777777" w:rsidR="005F57F3" w:rsidRPr="006774D3"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8/83=9,6%</w:t>
            </w:r>
          </w:p>
        </w:tc>
      </w:tr>
      <w:tr w:rsidR="005F57F3" w:rsidRPr="006774D3" w14:paraId="05B8B2B9" w14:textId="77777777" w:rsidTr="00346F25">
        <w:trPr>
          <w:cantSplit/>
        </w:trPr>
        <w:tc>
          <w:tcPr>
            <w:tcW w:w="3794" w:type="dxa"/>
            <w:tcBorders>
              <w:left w:val="single" w:sz="4" w:space="0" w:color="auto"/>
              <w:bottom w:val="nil"/>
            </w:tcBorders>
          </w:tcPr>
          <w:p w14:paraId="05B8B2B6" w14:textId="77777777" w:rsidR="005F57F3" w:rsidRPr="006774D3" w:rsidRDefault="005F57F3"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24 mánuði (%)</w:t>
            </w:r>
          </w:p>
        </w:tc>
        <w:tc>
          <w:tcPr>
            <w:tcW w:w="2753" w:type="dxa"/>
            <w:tcBorders>
              <w:bottom w:val="nil"/>
            </w:tcBorders>
          </w:tcPr>
          <w:p w14:paraId="05B8B2B7" w14:textId="77777777" w:rsidR="005F57F3" w:rsidRPr="006774D3"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73/104=70,2%</w:t>
            </w:r>
          </w:p>
        </w:tc>
        <w:tc>
          <w:tcPr>
            <w:tcW w:w="2775" w:type="dxa"/>
            <w:tcBorders>
              <w:bottom w:val="nil"/>
              <w:right w:val="single" w:sz="4" w:space="0" w:color="auto"/>
            </w:tcBorders>
          </w:tcPr>
          <w:p w14:paraId="05B8B2B8" w14:textId="77777777" w:rsidR="005F57F3" w:rsidRPr="006774D3"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3/12=25%</w:t>
            </w:r>
          </w:p>
        </w:tc>
      </w:tr>
      <w:tr w:rsidR="00072EEF" w:rsidRPr="006774D3" w14:paraId="05B8B2BD" w14:textId="77777777" w:rsidTr="00346F25">
        <w:trPr>
          <w:cantSplit/>
        </w:trPr>
        <w:tc>
          <w:tcPr>
            <w:tcW w:w="3794" w:type="dxa"/>
            <w:tcBorders>
              <w:left w:val="single" w:sz="4" w:space="0" w:color="auto"/>
              <w:bottom w:val="nil"/>
            </w:tcBorders>
          </w:tcPr>
          <w:p w14:paraId="05B8B2BA" w14:textId="77777777" w:rsidR="00072EEF" w:rsidRPr="006774D3" w:rsidRDefault="00072EEF" w:rsidP="00346F25">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84 mánuði (%)</w:t>
            </w:r>
          </w:p>
        </w:tc>
        <w:tc>
          <w:tcPr>
            <w:tcW w:w="2753" w:type="dxa"/>
            <w:tcBorders>
              <w:bottom w:val="nil"/>
            </w:tcBorders>
          </w:tcPr>
          <w:p w14:paraId="05B8B2BB" w14:textId="77777777" w:rsidR="00072EEF" w:rsidRPr="006774D3" w:rsidDel="00072EEF"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102/116=87,9%</w:t>
            </w:r>
          </w:p>
        </w:tc>
        <w:tc>
          <w:tcPr>
            <w:tcW w:w="2775" w:type="dxa"/>
            <w:tcBorders>
              <w:bottom w:val="nil"/>
              <w:right w:val="single" w:sz="4" w:space="0" w:color="auto"/>
            </w:tcBorders>
          </w:tcPr>
          <w:p w14:paraId="05B8B2BC" w14:textId="77777777" w:rsidR="00072EEF" w:rsidRPr="006774D3" w:rsidDel="00072EEF" w:rsidRDefault="00072EEF" w:rsidP="00346F25">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3/4=75%</w:t>
            </w:r>
          </w:p>
        </w:tc>
      </w:tr>
      <w:tr w:rsidR="005F57F3" w:rsidRPr="006774D3" w14:paraId="05B8B2C4" w14:textId="77777777" w:rsidTr="00346F25">
        <w:trPr>
          <w:cantSplit/>
        </w:trPr>
        <w:tc>
          <w:tcPr>
            <w:tcW w:w="9322" w:type="dxa"/>
            <w:gridSpan w:val="3"/>
            <w:tcBorders>
              <w:top w:val="single" w:sz="4" w:space="0" w:color="auto"/>
              <w:left w:val="single" w:sz="4" w:space="0" w:color="auto"/>
              <w:bottom w:val="single" w:sz="4" w:space="0" w:color="auto"/>
              <w:right w:val="single" w:sz="4" w:space="0" w:color="auto"/>
            </w:tcBorders>
          </w:tcPr>
          <w:p w14:paraId="05B8B2BE" w14:textId="77777777" w:rsidR="005F57F3" w:rsidRPr="006774D3" w:rsidRDefault="005F57F3" w:rsidP="00346F25">
            <w:pPr>
              <w:pStyle w:val="Table"/>
              <w:keepNext w:val="0"/>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 p&lt;0,001, Fischers exact test</w:t>
            </w:r>
          </w:p>
          <w:p w14:paraId="05B8B2BF" w14:textId="77777777" w:rsidR="005F57F3" w:rsidRPr="006774D3" w:rsidRDefault="005F57F3" w:rsidP="00346F25">
            <w:pPr>
              <w:pStyle w:val="Table"/>
              <w:keepNext w:val="0"/>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 xml:space="preserve">** </w:t>
            </w:r>
            <w:r w:rsidR="00072EEF" w:rsidRPr="006774D3">
              <w:rPr>
                <w:rStyle w:val="PageNumber"/>
                <w:rFonts w:ascii="Times New Roman" w:hAnsi="Times New Roman"/>
                <w:color w:val="000000"/>
                <w:sz w:val="22"/>
                <w:szCs w:val="22"/>
              </w:rPr>
              <w:t xml:space="preserve">Hlutfall sameindasvörunar </w:t>
            </w:r>
            <w:r w:rsidR="00610200" w:rsidRPr="006774D3">
              <w:rPr>
                <w:rStyle w:val="PageNumber"/>
                <w:rFonts w:ascii="Times New Roman" w:hAnsi="Times New Roman"/>
                <w:color w:val="000000"/>
                <w:sz w:val="22"/>
                <w:szCs w:val="22"/>
              </w:rPr>
              <w:t>er byggt</w:t>
            </w:r>
            <w:r w:rsidR="00072EEF" w:rsidRPr="006774D3">
              <w:rPr>
                <w:rStyle w:val="PageNumber"/>
                <w:rFonts w:ascii="Times New Roman" w:hAnsi="Times New Roman"/>
                <w:color w:val="000000"/>
                <w:sz w:val="22"/>
                <w:szCs w:val="22"/>
              </w:rPr>
              <w:t xml:space="preserve"> á fyrirliggjandi úrtaki.</w:t>
            </w:r>
          </w:p>
          <w:p w14:paraId="05B8B2C0" w14:textId="77777777" w:rsidR="005F57F3" w:rsidRPr="006774D3" w:rsidRDefault="005F57F3" w:rsidP="00346F25">
            <w:pPr>
              <w:outlineLvl w:val="0"/>
              <w:rPr>
                <w:color w:val="000000"/>
                <w:sz w:val="22"/>
                <w:szCs w:val="22"/>
              </w:rPr>
            </w:pPr>
            <w:r w:rsidRPr="006774D3">
              <w:rPr>
                <w:b/>
                <w:color w:val="000000"/>
                <w:sz w:val="22"/>
                <w:szCs w:val="22"/>
              </w:rPr>
              <w:t>Skilmerki blóðsvörunar (öll svörun skal staðfest eftir ≥ 4 vikur)</w:t>
            </w:r>
            <w:r w:rsidRPr="006774D3">
              <w:rPr>
                <w:color w:val="000000"/>
                <w:sz w:val="22"/>
                <w:szCs w:val="22"/>
              </w:rPr>
              <w:t>:</w:t>
            </w:r>
          </w:p>
          <w:p w14:paraId="05B8B2C1" w14:textId="77777777" w:rsidR="005F57F3" w:rsidRPr="006774D3" w:rsidRDefault="005F57F3" w:rsidP="00346F25">
            <w:pPr>
              <w:outlineLvl w:val="0"/>
              <w:rPr>
                <w:color w:val="000000"/>
                <w:sz w:val="22"/>
                <w:szCs w:val="22"/>
              </w:rPr>
            </w:pPr>
            <w:r w:rsidRPr="006774D3">
              <w:rPr>
                <w:color w:val="000000"/>
                <w:sz w:val="22"/>
                <w:szCs w:val="22"/>
              </w:rPr>
              <w:t>WBC &lt; 10 x 10</w:t>
            </w:r>
            <w:r w:rsidRPr="006774D3">
              <w:rPr>
                <w:color w:val="000000"/>
                <w:sz w:val="22"/>
                <w:szCs w:val="22"/>
                <w:vertAlign w:val="superscript"/>
              </w:rPr>
              <w:t>9</w:t>
            </w:r>
            <w:r w:rsidRPr="006774D3">
              <w:rPr>
                <w:color w:val="000000"/>
                <w:sz w:val="22"/>
                <w:szCs w:val="22"/>
              </w:rPr>
              <w:t>/l, blóðflögur &lt; 450 x 10</w:t>
            </w:r>
            <w:r w:rsidRPr="006774D3">
              <w:rPr>
                <w:color w:val="000000"/>
                <w:sz w:val="22"/>
                <w:szCs w:val="22"/>
                <w:vertAlign w:val="superscript"/>
              </w:rPr>
              <w:t>9</w:t>
            </w:r>
            <w:r w:rsidRPr="006774D3">
              <w:rPr>
                <w:color w:val="000000"/>
                <w:sz w:val="22"/>
                <w:szCs w:val="22"/>
              </w:rPr>
              <w:t>/l, merglingar+miðmerglingar &lt; 5% í blóði, engar kímfrumur og formerglingar í blóði, blákyrningar &lt; 20%, engin utanmergstengsl.</w:t>
            </w:r>
          </w:p>
          <w:p w14:paraId="05B8B2C2" w14:textId="77777777" w:rsidR="005F57F3" w:rsidRPr="006774D3" w:rsidRDefault="005F57F3" w:rsidP="00346F25">
            <w:pPr>
              <w:outlineLvl w:val="0"/>
              <w:rPr>
                <w:color w:val="000000"/>
                <w:sz w:val="22"/>
                <w:szCs w:val="22"/>
              </w:rPr>
            </w:pPr>
            <w:r w:rsidRPr="006774D3">
              <w:rPr>
                <w:b/>
                <w:color w:val="000000"/>
                <w:sz w:val="22"/>
                <w:szCs w:val="22"/>
              </w:rPr>
              <w:t>Skilmerki litningasvörunar</w:t>
            </w:r>
            <w:r w:rsidRPr="006774D3">
              <w:rPr>
                <w:color w:val="000000"/>
                <w:sz w:val="22"/>
                <w:szCs w:val="22"/>
              </w:rPr>
              <w:t>: Full (0% Ph+ metafasar), að hluta (1</w:t>
            </w:r>
            <w:r w:rsidRPr="006774D3">
              <w:rPr>
                <w:color w:val="000000"/>
                <w:sz w:val="22"/>
                <w:szCs w:val="22"/>
              </w:rPr>
              <w:noBreakHyphen/>
              <w:t>35%), lítil (36</w:t>
            </w:r>
            <w:r w:rsidRPr="006774D3">
              <w:rPr>
                <w:color w:val="000000"/>
                <w:sz w:val="22"/>
                <w:szCs w:val="22"/>
              </w:rPr>
              <w:noBreakHyphen/>
              <w:t>65%) eða lágmarks (66</w:t>
            </w:r>
            <w:r w:rsidRPr="006774D3">
              <w:rPr>
                <w:color w:val="000000"/>
                <w:sz w:val="22"/>
                <w:szCs w:val="22"/>
              </w:rPr>
              <w:noBreakHyphen/>
              <w:t>95%). Meiriháttar svörun (0</w:t>
            </w:r>
            <w:r w:rsidRPr="006774D3">
              <w:rPr>
                <w:color w:val="000000"/>
                <w:sz w:val="22"/>
                <w:szCs w:val="22"/>
              </w:rPr>
              <w:noBreakHyphen/>
              <w:t>35%) sameinar bæði fullkomna svörun og svörun að hluta.</w:t>
            </w:r>
          </w:p>
          <w:p w14:paraId="05B8B2C3" w14:textId="77777777" w:rsidR="005F57F3" w:rsidRPr="006774D3" w:rsidRDefault="005F57F3" w:rsidP="00346F25">
            <w:pPr>
              <w:pStyle w:val="Table"/>
              <w:keepNext w:val="0"/>
              <w:keepLines w:val="0"/>
              <w:spacing w:before="0" w:after="0"/>
              <w:rPr>
                <w:rStyle w:val="PageNumber"/>
                <w:rFonts w:ascii="Times New Roman" w:hAnsi="Times New Roman"/>
                <w:color w:val="000000"/>
                <w:sz w:val="22"/>
                <w:szCs w:val="22"/>
              </w:rPr>
            </w:pPr>
            <w:r w:rsidRPr="006774D3">
              <w:rPr>
                <w:rFonts w:ascii="Times New Roman" w:hAnsi="Times New Roman"/>
                <w:b/>
                <w:color w:val="000000"/>
                <w:sz w:val="22"/>
                <w:szCs w:val="22"/>
              </w:rPr>
              <w:t>Skilmerki meiriháttar sameindasvörunar</w:t>
            </w:r>
            <w:r w:rsidRPr="006774D3">
              <w:rPr>
                <w:rFonts w:ascii="Times New Roman" w:hAnsi="Times New Roman"/>
                <w:color w:val="000000"/>
                <w:sz w:val="22"/>
                <w:szCs w:val="22"/>
              </w:rPr>
              <w:t>: Minnkun um ≥ 3 logaritma í magni Bcr</w:t>
            </w:r>
            <w:r w:rsidRPr="006774D3">
              <w:rPr>
                <w:rFonts w:ascii="Times New Roman" w:hAnsi="Times New Roman"/>
                <w:color w:val="000000"/>
                <w:sz w:val="22"/>
                <w:szCs w:val="22"/>
              </w:rPr>
              <w:noBreakHyphen/>
              <w:t>Abl afrita í útlægu blóði (mælt með rauntíma megindlegu „reverse transcriptasa“ PCR prófi) miðað við staðlað upphafsgildi.</w:t>
            </w:r>
          </w:p>
        </w:tc>
      </w:tr>
    </w:tbl>
    <w:p w14:paraId="05B8B2C5" w14:textId="77777777" w:rsidR="005F57F3" w:rsidRPr="006774D3" w:rsidRDefault="005F57F3" w:rsidP="00F77C66">
      <w:pPr>
        <w:pStyle w:val="EndnoteText"/>
        <w:spacing w:before="0" w:after="0"/>
        <w:ind w:left="0" w:firstLine="0"/>
        <w:rPr>
          <w:rStyle w:val="PageNumber"/>
          <w:color w:val="000000"/>
          <w:sz w:val="22"/>
          <w:szCs w:val="22"/>
          <w:lang w:val="is-IS"/>
        </w:rPr>
      </w:pPr>
    </w:p>
    <w:p w14:paraId="05B8B2C6" w14:textId="77777777" w:rsidR="005F57F3" w:rsidRPr="006774D3" w:rsidRDefault="005F57F3" w:rsidP="00F77C66">
      <w:pPr>
        <w:pStyle w:val="EndnoteText"/>
        <w:spacing w:before="0" w:after="0"/>
        <w:ind w:left="0" w:firstLine="0"/>
        <w:rPr>
          <w:rStyle w:val="PageNumber"/>
          <w:color w:val="000000"/>
          <w:sz w:val="22"/>
          <w:szCs w:val="22"/>
          <w:lang w:val="is-IS"/>
        </w:rPr>
      </w:pPr>
      <w:r w:rsidRPr="006774D3">
        <w:rPr>
          <w:rStyle w:val="PageNumber"/>
          <w:color w:val="000000"/>
          <w:sz w:val="22"/>
          <w:szCs w:val="22"/>
          <w:lang w:val="is-IS"/>
        </w:rPr>
        <w:t xml:space="preserve">Hlutföll </w:t>
      </w:r>
      <w:r w:rsidR="00C20DAC" w:rsidRPr="006774D3">
        <w:rPr>
          <w:rStyle w:val="PageNumber"/>
          <w:color w:val="000000"/>
          <w:sz w:val="22"/>
          <w:szCs w:val="22"/>
          <w:lang w:val="is-IS"/>
        </w:rPr>
        <w:t>heildar</w:t>
      </w:r>
      <w:r w:rsidRPr="006774D3">
        <w:rPr>
          <w:rStyle w:val="PageNumber"/>
          <w:color w:val="000000"/>
          <w:sz w:val="22"/>
          <w:szCs w:val="22"/>
          <w:lang w:val="is-IS"/>
        </w:rPr>
        <w:t>blóðsvörunar, meiriháttar litningasvörunar og full</w:t>
      </w:r>
      <w:r w:rsidR="00F56305" w:rsidRPr="006774D3">
        <w:rPr>
          <w:rStyle w:val="PageNumber"/>
          <w:color w:val="000000"/>
          <w:sz w:val="22"/>
          <w:szCs w:val="22"/>
          <w:lang w:val="is-IS"/>
        </w:rPr>
        <w:t>rar</w:t>
      </w:r>
      <w:r w:rsidRPr="006774D3">
        <w:rPr>
          <w:rStyle w:val="PageNumber"/>
          <w:color w:val="000000"/>
          <w:sz w:val="22"/>
          <w:szCs w:val="22"/>
          <w:lang w:val="is-IS"/>
        </w:rPr>
        <w:t xml:space="preserve"> litningasvörunar eftir fyrstu (first</w:t>
      </w:r>
      <w:r w:rsidRPr="006774D3">
        <w:rPr>
          <w:rStyle w:val="PageNumber"/>
          <w:color w:val="000000"/>
          <w:sz w:val="22"/>
          <w:szCs w:val="22"/>
          <w:lang w:val="is-IS"/>
        </w:rPr>
        <w:noBreakHyphen/>
        <w:t>line) meðferð voru metin með Kaplan</w:t>
      </w:r>
      <w:r w:rsidRPr="006774D3">
        <w:rPr>
          <w:rStyle w:val="PageNumber"/>
          <w:color w:val="000000"/>
          <w:sz w:val="22"/>
          <w:szCs w:val="22"/>
          <w:lang w:val="is-IS"/>
        </w:rPr>
        <w:noBreakHyphen/>
        <w:t>Meier aðferð og þeir sem ekki svöruðu meðferð voru ekki hafðir með í útreikningunum frá þeim degi þegar síðasta skoðun fór fram. Á grundvelli þessarar aðferðar er áætlaður ávinningur hvað varðar uppsöfnuð svörunarhlutföll fyrir fyrstu (first</w:t>
      </w:r>
      <w:r w:rsidRPr="006774D3">
        <w:rPr>
          <w:rStyle w:val="PageNumber"/>
          <w:color w:val="000000"/>
          <w:sz w:val="22"/>
          <w:szCs w:val="22"/>
          <w:lang w:val="is-IS"/>
        </w:rPr>
        <w:noBreakHyphen/>
        <w:t xml:space="preserve">line) meðferð með Glivec, frá 12 mánaða meðferð til </w:t>
      </w:r>
      <w:r w:rsidR="007C60F6" w:rsidRPr="006774D3">
        <w:rPr>
          <w:rStyle w:val="PageNumber"/>
          <w:color w:val="000000"/>
          <w:sz w:val="22"/>
          <w:szCs w:val="22"/>
          <w:lang w:val="is-IS"/>
        </w:rPr>
        <w:t>84 </w:t>
      </w:r>
      <w:r w:rsidRPr="006774D3">
        <w:rPr>
          <w:rStyle w:val="PageNumber"/>
          <w:color w:val="000000"/>
          <w:sz w:val="22"/>
          <w:szCs w:val="22"/>
          <w:lang w:val="is-IS"/>
        </w:rPr>
        <w:t xml:space="preserve">mánaða meðferð, sem hér segir: CHR fer úr 96,4% í 98,4% og CCyR fer úr 69,5% í </w:t>
      </w:r>
      <w:r w:rsidR="007C60F6" w:rsidRPr="006774D3">
        <w:rPr>
          <w:rStyle w:val="PageNumber"/>
          <w:color w:val="000000"/>
          <w:sz w:val="22"/>
          <w:szCs w:val="22"/>
          <w:lang w:val="is-IS"/>
        </w:rPr>
        <w:t>87,2</w:t>
      </w:r>
      <w:r w:rsidRPr="006774D3">
        <w:rPr>
          <w:rStyle w:val="PageNumber"/>
          <w:color w:val="000000"/>
          <w:sz w:val="22"/>
          <w:szCs w:val="22"/>
          <w:lang w:val="is-IS"/>
        </w:rPr>
        <w:t>%.</w:t>
      </w:r>
    </w:p>
    <w:p w14:paraId="05B8B2C7" w14:textId="77777777" w:rsidR="005F57F3" w:rsidRPr="006774D3" w:rsidRDefault="005F57F3" w:rsidP="00F77C66">
      <w:pPr>
        <w:pStyle w:val="EndnoteText"/>
        <w:spacing w:before="0" w:after="0"/>
        <w:ind w:left="0" w:firstLine="0"/>
        <w:rPr>
          <w:rStyle w:val="PageNumber"/>
          <w:color w:val="000000"/>
          <w:sz w:val="22"/>
          <w:szCs w:val="22"/>
          <w:lang w:val="is-IS"/>
        </w:rPr>
      </w:pPr>
    </w:p>
    <w:p w14:paraId="05B8B2C8" w14:textId="77777777" w:rsidR="005F57F3" w:rsidRPr="006774D3" w:rsidRDefault="005F57F3" w:rsidP="00F77C66">
      <w:pPr>
        <w:pStyle w:val="EndnoteText"/>
        <w:spacing w:before="0" w:after="0"/>
        <w:ind w:left="0" w:firstLine="0"/>
        <w:rPr>
          <w:rStyle w:val="PageNumber"/>
          <w:color w:val="000000"/>
          <w:sz w:val="22"/>
          <w:szCs w:val="22"/>
          <w:lang w:val="is-IS"/>
        </w:rPr>
      </w:pPr>
      <w:r w:rsidRPr="006774D3">
        <w:rPr>
          <w:rStyle w:val="PageNumber"/>
          <w:color w:val="000000"/>
          <w:sz w:val="22"/>
          <w:szCs w:val="22"/>
          <w:lang w:val="is-IS"/>
        </w:rPr>
        <w:t xml:space="preserve">Að lokinni </w:t>
      </w:r>
      <w:r w:rsidR="007C60F6" w:rsidRPr="006774D3">
        <w:rPr>
          <w:rStyle w:val="PageNumber"/>
          <w:color w:val="000000"/>
          <w:sz w:val="22"/>
          <w:szCs w:val="22"/>
          <w:lang w:val="is-IS"/>
        </w:rPr>
        <w:t>7 </w:t>
      </w:r>
      <w:r w:rsidRPr="006774D3">
        <w:rPr>
          <w:rStyle w:val="PageNumber"/>
          <w:color w:val="000000"/>
          <w:sz w:val="22"/>
          <w:szCs w:val="22"/>
          <w:lang w:val="is-IS"/>
        </w:rPr>
        <w:t xml:space="preserve">ára eftirfylgni voru </w:t>
      </w:r>
      <w:r w:rsidR="007C60F6" w:rsidRPr="006774D3">
        <w:rPr>
          <w:rStyle w:val="PageNumber"/>
          <w:color w:val="000000"/>
          <w:sz w:val="22"/>
          <w:szCs w:val="22"/>
          <w:lang w:val="is-IS"/>
        </w:rPr>
        <w:t xml:space="preserve">93 </w:t>
      </w:r>
      <w:r w:rsidRPr="006774D3">
        <w:rPr>
          <w:rStyle w:val="PageNumber"/>
          <w:color w:val="000000"/>
          <w:sz w:val="22"/>
          <w:szCs w:val="22"/>
          <w:lang w:val="is-IS"/>
        </w:rPr>
        <w:t>(</w:t>
      </w:r>
      <w:r w:rsidR="007C60F6" w:rsidRPr="006774D3">
        <w:rPr>
          <w:rStyle w:val="PageNumber"/>
          <w:color w:val="000000"/>
          <w:sz w:val="22"/>
          <w:szCs w:val="22"/>
          <w:lang w:val="is-IS"/>
        </w:rPr>
        <w:t>16,8</w:t>
      </w:r>
      <w:r w:rsidRPr="006774D3">
        <w:rPr>
          <w:rStyle w:val="PageNumber"/>
          <w:color w:val="000000"/>
          <w:sz w:val="22"/>
          <w:szCs w:val="22"/>
          <w:lang w:val="is-IS"/>
        </w:rPr>
        <w:t xml:space="preserve">%) tilvik um versnun sjúkdómsins hjá hópnum sem fékk Glivec: Í </w:t>
      </w:r>
      <w:r w:rsidR="007C60F6" w:rsidRPr="006774D3">
        <w:rPr>
          <w:rStyle w:val="PageNumber"/>
          <w:color w:val="000000"/>
          <w:sz w:val="22"/>
          <w:szCs w:val="22"/>
          <w:lang w:val="is-IS"/>
        </w:rPr>
        <w:t xml:space="preserve">37 </w:t>
      </w:r>
      <w:r w:rsidRPr="006774D3">
        <w:rPr>
          <w:rStyle w:val="PageNumber"/>
          <w:color w:val="000000"/>
          <w:sz w:val="22"/>
          <w:szCs w:val="22"/>
          <w:lang w:val="is-IS"/>
        </w:rPr>
        <w:t>(6,</w:t>
      </w:r>
      <w:r w:rsidR="007C60F6" w:rsidRPr="006774D3">
        <w:rPr>
          <w:rStyle w:val="PageNumber"/>
          <w:color w:val="000000"/>
          <w:sz w:val="22"/>
          <w:szCs w:val="22"/>
          <w:lang w:val="is-IS"/>
        </w:rPr>
        <w:t>7</w:t>
      </w:r>
      <w:r w:rsidRPr="006774D3">
        <w:rPr>
          <w:rStyle w:val="PageNumber"/>
          <w:color w:val="000000"/>
          <w:sz w:val="22"/>
          <w:szCs w:val="22"/>
          <w:lang w:val="is-IS"/>
        </w:rPr>
        <w:t xml:space="preserve">%) tilvikum var um að ræða versnun í hröðunarfasa/bráðafasa, í </w:t>
      </w:r>
      <w:r w:rsidR="00A3117F" w:rsidRPr="006774D3">
        <w:rPr>
          <w:rStyle w:val="PageNumber"/>
          <w:color w:val="000000"/>
          <w:sz w:val="22"/>
          <w:szCs w:val="22"/>
          <w:lang w:val="is-IS"/>
        </w:rPr>
        <w:t xml:space="preserve">31 </w:t>
      </w:r>
      <w:r w:rsidRPr="006774D3">
        <w:rPr>
          <w:rStyle w:val="PageNumber"/>
          <w:color w:val="000000"/>
          <w:sz w:val="22"/>
          <w:szCs w:val="22"/>
          <w:lang w:val="is-IS"/>
        </w:rPr>
        <w:t>(5,</w:t>
      </w:r>
      <w:r w:rsidR="00A3117F" w:rsidRPr="006774D3">
        <w:rPr>
          <w:rStyle w:val="PageNumber"/>
          <w:color w:val="000000"/>
          <w:sz w:val="22"/>
          <w:szCs w:val="22"/>
          <w:lang w:val="is-IS"/>
        </w:rPr>
        <w:t>6</w:t>
      </w:r>
      <w:r w:rsidRPr="006774D3">
        <w:rPr>
          <w:rStyle w:val="PageNumber"/>
          <w:color w:val="000000"/>
          <w:sz w:val="22"/>
          <w:szCs w:val="22"/>
          <w:lang w:val="is-IS"/>
        </w:rPr>
        <w:t xml:space="preserve">%) tilvikum var um að ræða tap á MCyR, í </w:t>
      </w:r>
      <w:r w:rsidR="00A3117F" w:rsidRPr="006774D3">
        <w:rPr>
          <w:rStyle w:val="PageNumber"/>
          <w:color w:val="000000"/>
          <w:sz w:val="22"/>
          <w:szCs w:val="22"/>
          <w:lang w:val="is-IS"/>
        </w:rPr>
        <w:t xml:space="preserve">15 </w:t>
      </w:r>
      <w:r w:rsidRPr="006774D3">
        <w:rPr>
          <w:rStyle w:val="PageNumber"/>
          <w:color w:val="000000"/>
          <w:sz w:val="22"/>
          <w:szCs w:val="22"/>
          <w:lang w:val="is-IS"/>
        </w:rPr>
        <w:t>(2,</w:t>
      </w:r>
      <w:r w:rsidR="00A3117F" w:rsidRPr="006774D3">
        <w:rPr>
          <w:rStyle w:val="PageNumber"/>
          <w:color w:val="000000"/>
          <w:sz w:val="22"/>
          <w:szCs w:val="22"/>
          <w:lang w:val="is-IS"/>
        </w:rPr>
        <w:t>7</w:t>
      </w:r>
      <w:r w:rsidRPr="006774D3">
        <w:rPr>
          <w:rStyle w:val="PageNumber"/>
          <w:color w:val="000000"/>
          <w:sz w:val="22"/>
          <w:szCs w:val="22"/>
          <w:lang w:val="is-IS"/>
        </w:rPr>
        <w:t xml:space="preserve">%) tilvikum var um að ræða tap á CHR eða fjölgun hvítra blóðkorna og í </w:t>
      </w:r>
      <w:r w:rsidR="00A3117F" w:rsidRPr="006774D3">
        <w:rPr>
          <w:rStyle w:val="PageNumber"/>
          <w:color w:val="000000"/>
          <w:sz w:val="22"/>
          <w:szCs w:val="22"/>
          <w:lang w:val="is-IS"/>
        </w:rPr>
        <w:t xml:space="preserve">10 </w:t>
      </w:r>
      <w:r w:rsidRPr="006774D3">
        <w:rPr>
          <w:rStyle w:val="PageNumber"/>
          <w:color w:val="000000"/>
          <w:sz w:val="22"/>
          <w:szCs w:val="22"/>
          <w:lang w:val="is-IS"/>
        </w:rPr>
        <w:t>(1,</w:t>
      </w:r>
      <w:r w:rsidR="00A3117F" w:rsidRPr="006774D3">
        <w:rPr>
          <w:rStyle w:val="PageNumber"/>
          <w:color w:val="000000"/>
          <w:sz w:val="22"/>
          <w:szCs w:val="22"/>
          <w:lang w:val="is-IS"/>
        </w:rPr>
        <w:t>8</w:t>
      </w:r>
      <w:r w:rsidRPr="006774D3">
        <w:rPr>
          <w:rStyle w:val="PageNumber"/>
          <w:color w:val="000000"/>
          <w:sz w:val="22"/>
          <w:szCs w:val="22"/>
          <w:lang w:val="is-IS"/>
        </w:rPr>
        <w:t xml:space="preserve">%) tilvikum var um að ræða dauðsföll sem ekki tengdust CML. Á hinn bóginn voru </w:t>
      </w:r>
      <w:r w:rsidR="00A3117F" w:rsidRPr="006774D3">
        <w:rPr>
          <w:rStyle w:val="PageNumber"/>
          <w:color w:val="000000"/>
          <w:sz w:val="22"/>
          <w:szCs w:val="22"/>
          <w:lang w:val="is-IS"/>
        </w:rPr>
        <w:t xml:space="preserve">165 </w:t>
      </w:r>
      <w:r w:rsidRPr="006774D3">
        <w:rPr>
          <w:rStyle w:val="PageNumber"/>
          <w:color w:val="000000"/>
          <w:sz w:val="22"/>
          <w:szCs w:val="22"/>
          <w:lang w:val="is-IS"/>
        </w:rPr>
        <w:t>(</w:t>
      </w:r>
      <w:r w:rsidR="00A3117F" w:rsidRPr="006774D3">
        <w:rPr>
          <w:rStyle w:val="PageNumber"/>
          <w:color w:val="000000"/>
          <w:sz w:val="22"/>
          <w:szCs w:val="22"/>
          <w:lang w:val="is-IS"/>
        </w:rPr>
        <w:t>29,8</w:t>
      </w:r>
      <w:r w:rsidRPr="006774D3">
        <w:rPr>
          <w:rStyle w:val="PageNumber"/>
          <w:color w:val="000000"/>
          <w:sz w:val="22"/>
          <w:szCs w:val="22"/>
          <w:lang w:val="is-IS"/>
        </w:rPr>
        <w:t>%) tilvik í hópnum sem fékk IFN+Ara</w:t>
      </w:r>
      <w:r w:rsidRPr="006774D3">
        <w:rPr>
          <w:rStyle w:val="PageNumber"/>
          <w:color w:val="000000"/>
          <w:sz w:val="22"/>
          <w:szCs w:val="22"/>
          <w:lang w:val="is-IS"/>
        </w:rPr>
        <w:noBreakHyphen/>
        <w:t xml:space="preserve">C, þar af </w:t>
      </w:r>
      <w:r w:rsidR="00A3117F" w:rsidRPr="006774D3">
        <w:rPr>
          <w:rStyle w:val="PageNumber"/>
          <w:color w:val="000000"/>
          <w:sz w:val="22"/>
          <w:szCs w:val="22"/>
          <w:lang w:val="is-IS"/>
        </w:rPr>
        <w:t>130 </w:t>
      </w:r>
      <w:r w:rsidRPr="006774D3">
        <w:rPr>
          <w:rStyle w:val="PageNumber"/>
          <w:color w:val="000000"/>
          <w:sz w:val="22"/>
          <w:szCs w:val="22"/>
          <w:lang w:val="is-IS"/>
        </w:rPr>
        <w:t>tilvik sem komu fyrir í fyrstu (first</w:t>
      </w:r>
      <w:r w:rsidRPr="006774D3">
        <w:rPr>
          <w:rStyle w:val="PageNumber"/>
          <w:color w:val="000000"/>
          <w:sz w:val="22"/>
          <w:szCs w:val="22"/>
          <w:lang w:val="is-IS"/>
        </w:rPr>
        <w:noBreakHyphen/>
        <w:t>line) meðferð með IFN+Ara</w:t>
      </w:r>
      <w:r w:rsidRPr="006774D3">
        <w:rPr>
          <w:rStyle w:val="PageNumber"/>
          <w:color w:val="000000"/>
          <w:sz w:val="22"/>
          <w:szCs w:val="22"/>
          <w:lang w:val="is-IS"/>
        </w:rPr>
        <w:noBreakHyphen/>
        <w:t>C.</w:t>
      </w:r>
    </w:p>
    <w:p w14:paraId="05B8B2C9" w14:textId="77777777" w:rsidR="005F57F3" w:rsidRPr="006774D3" w:rsidRDefault="005F57F3" w:rsidP="00F77C66">
      <w:pPr>
        <w:outlineLvl w:val="0"/>
        <w:rPr>
          <w:color w:val="000000"/>
          <w:sz w:val="22"/>
          <w:szCs w:val="22"/>
        </w:rPr>
      </w:pPr>
    </w:p>
    <w:p w14:paraId="05B8B2CA" w14:textId="77777777" w:rsidR="005F57F3" w:rsidRPr="006774D3" w:rsidRDefault="005F57F3" w:rsidP="00F77C66">
      <w:pPr>
        <w:outlineLvl w:val="0"/>
        <w:rPr>
          <w:color w:val="000000"/>
          <w:sz w:val="22"/>
          <w:szCs w:val="22"/>
        </w:rPr>
      </w:pPr>
      <w:r w:rsidRPr="006774D3">
        <w:rPr>
          <w:color w:val="000000"/>
          <w:sz w:val="22"/>
          <w:szCs w:val="22"/>
        </w:rPr>
        <w:t xml:space="preserve">Áætlað hlutfall sjúklinga sem voru án versnunar í hröðunarfasa eða bráðafasa eftir </w:t>
      </w:r>
      <w:r w:rsidR="00A3117F" w:rsidRPr="006774D3">
        <w:rPr>
          <w:color w:val="000000"/>
          <w:sz w:val="22"/>
          <w:szCs w:val="22"/>
        </w:rPr>
        <w:t>84 </w:t>
      </w:r>
      <w:r w:rsidRPr="006774D3">
        <w:rPr>
          <w:color w:val="000000"/>
          <w:sz w:val="22"/>
          <w:szCs w:val="22"/>
        </w:rPr>
        <w:t>mánuði var marktækt hærra fyrir Glivec hópinn samanborið við IFN hópinn (92,</w:t>
      </w:r>
      <w:r w:rsidR="00A3117F" w:rsidRPr="006774D3">
        <w:rPr>
          <w:color w:val="000000"/>
          <w:sz w:val="22"/>
          <w:szCs w:val="22"/>
        </w:rPr>
        <w:t>5</w:t>
      </w:r>
      <w:r w:rsidRPr="006774D3">
        <w:rPr>
          <w:color w:val="000000"/>
          <w:sz w:val="22"/>
          <w:szCs w:val="22"/>
        </w:rPr>
        <w:t xml:space="preserve">% samanborið við </w:t>
      </w:r>
      <w:r w:rsidR="00A3117F" w:rsidRPr="006774D3">
        <w:rPr>
          <w:color w:val="000000"/>
          <w:sz w:val="22"/>
          <w:szCs w:val="22"/>
        </w:rPr>
        <w:t>85,1</w:t>
      </w:r>
      <w:r w:rsidRPr="006774D3">
        <w:rPr>
          <w:color w:val="000000"/>
          <w:sz w:val="22"/>
          <w:szCs w:val="22"/>
        </w:rPr>
        <w:t xml:space="preserve">%, p&lt;0,001). Árlegt hlutfall versnunar í hröðunarfasa eða bráðafasa minnkaði eftir því sem meðferðin var lengri og var innan við 1% á ári á fjórða og fimmta árinu. Áætlað hlutfall lifunar án versnunar eftir </w:t>
      </w:r>
      <w:r w:rsidR="00A3117F" w:rsidRPr="006774D3">
        <w:rPr>
          <w:color w:val="000000"/>
          <w:sz w:val="22"/>
          <w:szCs w:val="22"/>
        </w:rPr>
        <w:t>84 </w:t>
      </w:r>
      <w:r w:rsidRPr="006774D3">
        <w:rPr>
          <w:color w:val="000000"/>
          <w:sz w:val="22"/>
          <w:szCs w:val="22"/>
        </w:rPr>
        <w:t xml:space="preserve">mánuði var </w:t>
      </w:r>
      <w:r w:rsidR="00A3117F" w:rsidRPr="006774D3">
        <w:rPr>
          <w:color w:val="000000"/>
          <w:sz w:val="22"/>
          <w:szCs w:val="22"/>
        </w:rPr>
        <w:t>81,2</w:t>
      </w:r>
      <w:r w:rsidRPr="006774D3">
        <w:rPr>
          <w:color w:val="000000"/>
          <w:sz w:val="22"/>
          <w:szCs w:val="22"/>
        </w:rPr>
        <w:t xml:space="preserve">% í Glivec hópnum og </w:t>
      </w:r>
      <w:r w:rsidR="00A3117F" w:rsidRPr="006774D3">
        <w:rPr>
          <w:color w:val="000000"/>
          <w:sz w:val="22"/>
          <w:szCs w:val="22"/>
        </w:rPr>
        <w:t>60,6</w:t>
      </w:r>
      <w:r w:rsidRPr="006774D3">
        <w:rPr>
          <w:color w:val="000000"/>
          <w:sz w:val="22"/>
          <w:szCs w:val="22"/>
        </w:rPr>
        <w:t>% í samanburðarhópnum (p&lt;0,001). Árleg hlutföll hvaða vers</w:t>
      </w:r>
      <w:r w:rsidR="000A472F" w:rsidRPr="006774D3">
        <w:rPr>
          <w:color w:val="000000"/>
          <w:sz w:val="22"/>
          <w:szCs w:val="22"/>
        </w:rPr>
        <w:t>n</w:t>
      </w:r>
      <w:r w:rsidRPr="006774D3">
        <w:rPr>
          <w:color w:val="000000"/>
          <w:sz w:val="22"/>
          <w:szCs w:val="22"/>
        </w:rPr>
        <w:t>unar sem er, fyrir Glivec, lækkuðu einnig með tímanum.</w:t>
      </w:r>
    </w:p>
    <w:p w14:paraId="05B8B2CB" w14:textId="77777777" w:rsidR="005F57F3" w:rsidRPr="006774D3" w:rsidRDefault="005F57F3" w:rsidP="00F77C66">
      <w:pPr>
        <w:outlineLvl w:val="0"/>
        <w:rPr>
          <w:color w:val="000000"/>
          <w:sz w:val="22"/>
          <w:szCs w:val="22"/>
        </w:rPr>
      </w:pPr>
    </w:p>
    <w:p w14:paraId="05B8B2CC" w14:textId="77777777" w:rsidR="005F57F3" w:rsidRPr="006774D3" w:rsidRDefault="005F57F3" w:rsidP="00F77C66">
      <w:pPr>
        <w:outlineLvl w:val="0"/>
        <w:rPr>
          <w:color w:val="000000"/>
          <w:sz w:val="22"/>
          <w:szCs w:val="22"/>
        </w:rPr>
      </w:pPr>
      <w:r w:rsidRPr="006774D3">
        <w:rPr>
          <w:color w:val="000000"/>
          <w:sz w:val="22"/>
          <w:szCs w:val="22"/>
        </w:rPr>
        <w:t xml:space="preserve">Alls dó </w:t>
      </w:r>
      <w:r w:rsidR="00A3117F" w:rsidRPr="006774D3">
        <w:rPr>
          <w:color w:val="000000"/>
          <w:sz w:val="22"/>
          <w:szCs w:val="22"/>
        </w:rPr>
        <w:t>71 </w:t>
      </w:r>
      <w:r w:rsidRPr="006774D3">
        <w:rPr>
          <w:color w:val="000000"/>
          <w:sz w:val="22"/>
          <w:szCs w:val="22"/>
        </w:rPr>
        <w:t>sjúkling</w:t>
      </w:r>
      <w:r w:rsidR="00647875" w:rsidRPr="006774D3">
        <w:rPr>
          <w:color w:val="000000"/>
          <w:sz w:val="22"/>
          <w:szCs w:val="22"/>
        </w:rPr>
        <w:t>ur</w:t>
      </w:r>
      <w:r w:rsidRPr="006774D3">
        <w:rPr>
          <w:color w:val="000000"/>
          <w:sz w:val="22"/>
          <w:szCs w:val="22"/>
        </w:rPr>
        <w:t xml:space="preserve"> (</w:t>
      </w:r>
      <w:r w:rsidR="00A3117F" w:rsidRPr="006774D3">
        <w:rPr>
          <w:color w:val="000000"/>
          <w:sz w:val="22"/>
          <w:szCs w:val="22"/>
        </w:rPr>
        <w:t>12,8</w:t>
      </w:r>
      <w:r w:rsidRPr="006774D3">
        <w:rPr>
          <w:color w:val="000000"/>
          <w:sz w:val="22"/>
          <w:szCs w:val="22"/>
        </w:rPr>
        <w:t xml:space="preserve">%) í hópnum sem fékk Glivec og </w:t>
      </w:r>
      <w:r w:rsidR="00A3117F" w:rsidRPr="006774D3">
        <w:rPr>
          <w:color w:val="000000"/>
          <w:sz w:val="22"/>
          <w:szCs w:val="22"/>
        </w:rPr>
        <w:t>85 </w:t>
      </w:r>
      <w:r w:rsidRPr="006774D3">
        <w:rPr>
          <w:color w:val="000000"/>
          <w:sz w:val="22"/>
          <w:szCs w:val="22"/>
        </w:rPr>
        <w:t>sjúklingar (</w:t>
      </w:r>
      <w:r w:rsidR="00A3117F" w:rsidRPr="006774D3">
        <w:rPr>
          <w:color w:val="000000"/>
          <w:sz w:val="22"/>
          <w:szCs w:val="22"/>
        </w:rPr>
        <w:t>15,4</w:t>
      </w:r>
      <w:r w:rsidRPr="006774D3">
        <w:rPr>
          <w:color w:val="000000"/>
          <w:sz w:val="22"/>
          <w:szCs w:val="22"/>
        </w:rPr>
        <w:t>%) í hópnum sem fékk IFN+Ara</w:t>
      </w:r>
      <w:r w:rsidRPr="006774D3">
        <w:rPr>
          <w:color w:val="000000"/>
          <w:sz w:val="22"/>
          <w:szCs w:val="22"/>
        </w:rPr>
        <w:noBreakHyphen/>
        <w:t xml:space="preserve">C. Eftir </w:t>
      </w:r>
      <w:r w:rsidR="00A3117F" w:rsidRPr="006774D3">
        <w:rPr>
          <w:color w:val="000000"/>
          <w:sz w:val="22"/>
          <w:szCs w:val="22"/>
        </w:rPr>
        <w:t>84 </w:t>
      </w:r>
      <w:r w:rsidRPr="006774D3">
        <w:rPr>
          <w:color w:val="000000"/>
          <w:sz w:val="22"/>
          <w:szCs w:val="22"/>
        </w:rPr>
        <w:t xml:space="preserve">mánuði er áætluð heildarlifun </w:t>
      </w:r>
      <w:r w:rsidR="00A3117F" w:rsidRPr="006774D3">
        <w:rPr>
          <w:color w:val="000000"/>
          <w:sz w:val="22"/>
          <w:szCs w:val="22"/>
        </w:rPr>
        <w:t>86,4</w:t>
      </w:r>
      <w:r w:rsidRPr="006774D3">
        <w:rPr>
          <w:color w:val="000000"/>
          <w:sz w:val="22"/>
          <w:szCs w:val="22"/>
        </w:rPr>
        <w:t>% (</w:t>
      </w:r>
      <w:r w:rsidR="00A3117F" w:rsidRPr="006774D3">
        <w:rPr>
          <w:color w:val="000000"/>
          <w:sz w:val="22"/>
          <w:szCs w:val="22"/>
        </w:rPr>
        <w:t>83</w:t>
      </w:r>
      <w:r w:rsidRPr="006774D3">
        <w:rPr>
          <w:color w:val="000000"/>
          <w:sz w:val="22"/>
          <w:szCs w:val="22"/>
        </w:rPr>
        <w:t xml:space="preserve">, </w:t>
      </w:r>
      <w:r w:rsidR="00A3117F" w:rsidRPr="006774D3">
        <w:rPr>
          <w:color w:val="000000"/>
          <w:sz w:val="22"/>
          <w:szCs w:val="22"/>
        </w:rPr>
        <w:t>90</w:t>
      </w:r>
      <w:r w:rsidRPr="006774D3">
        <w:rPr>
          <w:color w:val="000000"/>
          <w:sz w:val="22"/>
          <w:szCs w:val="22"/>
        </w:rPr>
        <w:t xml:space="preserve">) samanborið við </w:t>
      </w:r>
      <w:r w:rsidR="00A3117F" w:rsidRPr="006774D3">
        <w:rPr>
          <w:color w:val="000000"/>
          <w:sz w:val="22"/>
          <w:szCs w:val="22"/>
        </w:rPr>
        <w:t>83,3</w:t>
      </w:r>
      <w:r w:rsidRPr="006774D3">
        <w:rPr>
          <w:color w:val="000000"/>
          <w:sz w:val="22"/>
          <w:szCs w:val="22"/>
        </w:rPr>
        <w:t>% (</w:t>
      </w:r>
      <w:r w:rsidR="00A3117F" w:rsidRPr="006774D3">
        <w:rPr>
          <w:color w:val="000000"/>
          <w:sz w:val="22"/>
          <w:szCs w:val="22"/>
        </w:rPr>
        <w:t>80</w:t>
      </w:r>
      <w:r w:rsidRPr="006774D3">
        <w:rPr>
          <w:color w:val="000000"/>
          <w:sz w:val="22"/>
          <w:szCs w:val="22"/>
        </w:rPr>
        <w:t xml:space="preserve">, </w:t>
      </w:r>
      <w:r w:rsidR="00A3117F" w:rsidRPr="006774D3">
        <w:rPr>
          <w:color w:val="000000"/>
          <w:sz w:val="22"/>
          <w:szCs w:val="22"/>
        </w:rPr>
        <w:t>87</w:t>
      </w:r>
      <w:r w:rsidRPr="006774D3">
        <w:rPr>
          <w:color w:val="000000"/>
          <w:sz w:val="22"/>
          <w:szCs w:val="22"/>
        </w:rPr>
        <w:t>) í slembuðu Glivec og IFN+Ara</w:t>
      </w:r>
      <w:r w:rsidRPr="006774D3">
        <w:rPr>
          <w:color w:val="000000"/>
          <w:sz w:val="22"/>
          <w:szCs w:val="22"/>
        </w:rPr>
        <w:noBreakHyphen/>
        <w:t>C hópunum, tilgreint í sömu röð (p=0,0</w:t>
      </w:r>
      <w:r w:rsidR="00A3117F" w:rsidRPr="006774D3">
        <w:rPr>
          <w:color w:val="000000"/>
          <w:sz w:val="22"/>
          <w:szCs w:val="22"/>
        </w:rPr>
        <w:t>73</w:t>
      </w:r>
      <w:r w:rsidRPr="006774D3">
        <w:rPr>
          <w:color w:val="000000"/>
          <w:sz w:val="22"/>
          <w:szCs w:val="22"/>
        </w:rPr>
        <w:t>, log</w:t>
      </w:r>
      <w:r w:rsidRPr="006774D3">
        <w:rPr>
          <w:color w:val="000000"/>
          <w:sz w:val="22"/>
          <w:szCs w:val="22"/>
        </w:rPr>
        <w:noBreakHyphen/>
        <w:t>rank próf). Þessi endapunktur, þ.e. tími fram að atviki, einkennist mjög af því hve margir skiptu úr IFN+Ara</w:t>
      </w:r>
      <w:r w:rsidRPr="006774D3">
        <w:rPr>
          <w:color w:val="000000"/>
          <w:sz w:val="22"/>
          <w:szCs w:val="22"/>
        </w:rPr>
        <w:noBreakHyphen/>
        <w:t xml:space="preserve">C hópnum yfir í Glivec hópinn. Áhrif meðferðar með Glivec á lifun í stöðugum fasa nýgreinds CML hafa verið rannsökuð frekar með </w:t>
      </w:r>
      <w:r w:rsidR="00786D88" w:rsidRPr="006774D3">
        <w:rPr>
          <w:color w:val="000000"/>
          <w:sz w:val="22"/>
          <w:szCs w:val="22"/>
        </w:rPr>
        <w:t>afturskyggnri rannsókn</w:t>
      </w:r>
      <w:r w:rsidRPr="006774D3">
        <w:rPr>
          <w:color w:val="000000"/>
          <w:sz w:val="22"/>
          <w:szCs w:val="22"/>
        </w:rPr>
        <w:t xml:space="preserve"> á fyrrgreindum upplýsingum um Glivec ásamt grunngögnum úr annarri III. stigs rannsókn á IFN+Ara</w:t>
      </w:r>
      <w:r w:rsidRPr="006774D3">
        <w:rPr>
          <w:color w:val="000000"/>
          <w:sz w:val="22"/>
          <w:szCs w:val="22"/>
        </w:rPr>
        <w:noBreakHyphen/>
        <w:t xml:space="preserve">C (n=325) sem notað var með sama hætti. Í þessari </w:t>
      </w:r>
      <w:r w:rsidR="00786D88" w:rsidRPr="006774D3">
        <w:rPr>
          <w:color w:val="000000"/>
          <w:sz w:val="22"/>
          <w:szCs w:val="22"/>
        </w:rPr>
        <w:t>afturskyggnu rannsókn</w:t>
      </w:r>
      <w:r w:rsidRPr="006774D3">
        <w:rPr>
          <w:color w:val="000000"/>
          <w:sz w:val="22"/>
          <w:szCs w:val="22"/>
        </w:rPr>
        <w:t xml:space="preserve"> var sýnt fram á yfirburði Glivec samanborið við IFN+Ara</w:t>
      </w:r>
      <w:r w:rsidRPr="006774D3">
        <w:rPr>
          <w:color w:val="000000"/>
          <w:sz w:val="22"/>
          <w:szCs w:val="22"/>
        </w:rPr>
        <w:noBreakHyphen/>
        <w:t>C hvað varðar heildarlifun (p&lt; 0,001); innan 42 mánaða voru 47 (8,5%) sjúklingar sem fengu Glivec og 63 (19,4%) sjúklingar sem fengu IFN+Ara</w:t>
      </w:r>
      <w:r w:rsidRPr="006774D3">
        <w:rPr>
          <w:color w:val="000000"/>
          <w:sz w:val="22"/>
          <w:szCs w:val="22"/>
        </w:rPr>
        <w:noBreakHyphen/>
        <w:t>C dánir.</w:t>
      </w:r>
    </w:p>
    <w:p w14:paraId="05B8B2CD" w14:textId="77777777" w:rsidR="005F57F3" w:rsidRPr="006774D3" w:rsidRDefault="005F57F3" w:rsidP="00F77C66">
      <w:pPr>
        <w:outlineLvl w:val="0"/>
        <w:rPr>
          <w:color w:val="000000"/>
          <w:sz w:val="22"/>
          <w:szCs w:val="22"/>
        </w:rPr>
      </w:pPr>
    </w:p>
    <w:p w14:paraId="05B8B2CE" w14:textId="77777777" w:rsidR="005F57F3" w:rsidRPr="006774D3" w:rsidRDefault="005F57F3" w:rsidP="00F77C66">
      <w:pPr>
        <w:outlineLvl w:val="0"/>
        <w:rPr>
          <w:color w:val="000000"/>
          <w:sz w:val="22"/>
          <w:szCs w:val="22"/>
        </w:rPr>
      </w:pPr>
      <w:r w:rsidRPr="006774D3">
        <w:rPr>
          <w:color w:val="000000"/>
          <w:sz w:val="22"/>
          <w:szCs w:val="22"/>
        </w:rPr>
        <w:t xml:space="preserve">Stærðargráða litningasvörunar og sameindasvörunar hafði greinileg áhrif á langtíma niðurstöður hjá sjúklingum sem fengu Glivec. Áætlað var að </w:t>
      </w:r>
      <w:r w:rsidR="00A3117F" w:rsidRPr="006774D3">
        <w:rPr>
          <w:color w:val="000000"/>
          <w:sz w:val="22"/>
          <w:szCs w:val="22"/>
        </w:rPr>
        <w:t>96</w:t>
      </w:r>
      <w:r w:rsidRPr="006774D3">
        <w:rPr>
          <w:color w:val="000000"/>
          <w:sz w:val="22"/>
          <w:szCs w:val="22"/>
        </w:rPr>
        <w:t xml:space="preserve">% (93%) sjúklinga með CCyR (PCyR) eftir 12 mánuði væru án versnunar í hröðunarfasa/bráðafasa eftir </w:t>
      </w:r>
      <w:r w:rsidR="00A3117F" w:rsidRPr="006774D3">
        <w:rPr>
          <w:color w:val="000000"/>
          <w:sz w:val="22"/>
          <w:szCs w:val="22"/>
        </w:rPr>
        <w:t>84 </w:t>
      </w:r>
      <w:r w:rsidRPr="006774D3">
        <w:rPr>
          <w:color w:val="000000"/>
          <w:sz w:val="22"/>
          <w:szCs w:val="22"/>
        </w:rPr>
        <w:t xml:space="preserve">mánuði, en einungis 81% sjúklinga án MCyR eftir 12 mánuði voru án versnunar í langt gengið CML eftir </w:t>
      </w:r>
      <w:r w:rsidR="00A3117F" w:rsidRPr="006774D3">
        <w:rPr>
          <w:color w:val="000000"/>
          <w:sz w:val="22"/>
          <w:szCs w:val="22"/>
        </w:rPr>
        <w:t>84 </w:t>
      </w:r>
      <w:r w:rsidRPr="006774D3">
        <w:rPr>
          <w:color w:val="000000"/>
          <w:sz w:val="22"/>
          <w:szCs w:val="22"/>
        </w:rPr>
        <w:t>mánuði (p&lt; 0,001 fyrir heildina, p=0,2</w:t>
      </w:r>
      <w:r w:rsidR="00A3117F" w:rsidRPr="006774D3">
        <w:rPr>
          <w:color w:val="000000"/>
          <w:sz w:val="22"/>
          <w:szCs w:val="22"/>
        </w:rPr>
        <w:t>5</w:t>
      </w:r>
      <w:r w:rsidRPr="006774D3">
        <w:rPr>
          <w:color w:val="000000"/>
          <w:sz w:val="22"/>
          <w:szCs w:val="22"/>
        </w:rPr>
        <w:t xml:space="preserve"> milli CCyR og PCyR). Hjá sjúklingum með fækkun Bcr</w:t>
      </w:r>
      <w:r w:rsidRPr="006774D3">
        <w:rPr>
          <w:color w:val="000000"/>
          <w:sz w:val="22"/>
          <w:szCs w:val="22"/>
        </w:rPr>
        <w:noBreakHyphen/>
        <w:t xml:space="preserve">Abl afrita um að minnsta kosti 3 logaritma eftir 12 mánuði voru líkur á að ekki hefði komið fram versnun í hröðunarfasa/bráðafasa </w:t>
      </w:r>
      <w:r w:rsidR="00A3117F" w:rsidRPr="006774D3">
        <w:rPr>
          <w:color w:val="000000"/>
          <w:sz w:val="22"/>
          <w:szCs w:val="22"/>
        </w:rPr>
        <w:t>99</w:t>
      </w:r>
      <w:r w:rsidRPr="006774D3">
        <w:rPr>
          <w:color w:val="000000"/>
          <w:sz w:val="22"/>
          <w:szCs w:val="22"/>
        </w:rPr>
        <w:t xml:space="preserve">% eftir </w:t>
      </w:r>
      <w:r w:rsidR="00A3117F" w:rsidRPr="006774D3">
        <w:rPr>
          <w:color w:val="000000"/>
          <w:sz w:val="22"/>
          <w:szCs w:val="22"/>
        </w:rPr>
        <w:t>84 </w:t>
      </w:r>
      <w:r w:rsidRPr="006774D3">
        <w:rPr>
          <w:color w:val="000000"/>
          <w:sz w:val="22"/>
          <w:szCs w:val="22"/>
        </w:rPr>
        <w:t>mánuði. Svipaðar niðurstöður komu fram á grundvelli 18 mánaða áfangagreiningar.</w:t>
      </w:r>
    </w:p>
    <w:p w14:paraId="05B8B2CF" w14:textId="77777777" w:rsidR="005F57F3" w:rsidRPr="006774D3" w:rsidRDefault="005F57F3" w:rsidP="00F77C66">
      <w:pPr>
        <w:outlineLvl w:val="0"/>
        <w:rPr>
          <w:color w:val="000000"/>
          <w:sz w:val="22"/>
          <w:szCs w:val="22"/>
        </w:rPr>
      </w:pPr>
    </w:p>
    <w:p w14:paraId="05B8B2D0" w14:textId="77777777" w:rsidR="005F57F3" w:rsidRPr="006774D3" w:rsidRDefault="005F57F3" w:rsidP="00F77C66">
      <w:pPr>
        <w:outlineLvl w:val="0"/>
        <w:rPr>
          <w:color w:val="000000"/>
          <w:sz w:val="22"/>
          <w:szCs w:val="22"/>
        </w:rPr>
      </w:pPr>
      <w:r w:rsidRPr="006774D3">
        <w:rPr>
          <w:color w:val="000000"/>
          <w:sz w:val="22"/>
          <w:szCs w:val="22"/>
        </w:rPr>
        <w:t>Í þessari rannsókn var heimilt að auka skammtinn úr 400 mg á sólarhring í 600 mg á sólarhring og síðan úr 600 mg í 800 mg á sólarhring. 42 mánaða eftirfylgni sýndi staðfest tap (innan 4 vikna) á litningasvörun hjá 11 sjúklingum. Hjá 4 af þessum 11 sjúklingum var skammturinn aukinn í 800 mg á sólarhring og 2 sjúklinganna endurheimtu litningasvörun (1 að hluta og 1 alveg, auk þess sem sá síðarnefndi náði einnig sameindasvörun), en af þeim 7 sjúklingum sem ekki fengu aukinn skammt náði einungis einn full</w:t>
      </w:r>
      <w:r w:rsidR="00202BA8" w:rsidRPr="006774D3">
        <w:rPr>
          <w:color w:val="000000"/>
          <w:sz w:val="22"/>
          <w:szCs w:val="22"/>
        </w:rPr>
        <w:t xml:space="preserve">ri </w:t>
      </w:r>
      <w:r w:rsidRPr="006774D3">
        <w:rPr>
          <w:color w:val="000000"/>
          <w:sz w:val="22"/>
          <w:szCs w:val="22"/>
        </w:rPr>
        <w:t>litningasvörun. Hlutfall sumra aukaverkana var hærra hjá þeim 40 sjúklingum þar sem skammturinn var aukinn í 800 mg á sólarhring en hjá sjúklingaþýðinu fyrir skammta</w:t>
      </w:r>
      <w:r w:rsidRPr="006774D3">
        <w:rPr>
          <w:color w:val="000000"/>
          <w:sz w:val="22"/>
          <w:szCs w:val="22"/>
        </w:rPr>
        <w:softHyphen/>
        <w:t>aukningu (n=551). Algengustu auka</w:t>
      </w:r>
      <w:r w:rsidRPr="006774D3">
        <w:rPr>
          <w:color w:val="000000"/>
          <w:sz w:val="22"/>
          <w:szCs w:val="22"/>
        </w:rPr>
        <w:softHyphen/>
        <w:t>verkanirnar voru blæðingar í meltingarvegi, tárubólga og hækkuð gildi transaminasa eða bilirubins. Frá öðrum aukaverkunum var greint með lægri eða sömu tíðni.</w:t>
      </w:r>
    </w:p>
    <w:p w14:paraId="05B8B2D1" w14:textId="77777777" w:rsidR="005F57F3" w:rsidRPr="006774D3" w:rsidRDefault="005F57F3" w:rsidP="00F77C66">
      <w:pPr>
        <w:pStyle w:val="Authors"/>
        <w:keepNext w:val="0"/>
        <w:spacing w:before="0"/>
        <w:outlineLvl w:val="0"/>
        <w:rPr>
          <w:rFonts w:ascii="Times New Roman" w:hAnsi="Times New Roman"/>
          <w:iCs/>
          <w:color w:val="000000"/>
          <w:szCs w:val="22"/>
          <w:lang w:val="is-IS"/>
        </w:rPr>
      </w:pPr>
    </w:p>
    <w:p w14:paraId="05B8B2D2" w14:textId="77777777" w:rsidR="005F57F3" w:rsidRPr="006774D3" w:rsidRDefault="005F57F3" w:rsidP="00F77C66">
      <w:pPr>
        <w:outlineLvl w:val="0"/>
        <w:rPr>
          <w:color w:val="000000"/>
          <w:sz w:val="22"/>
          <w:szCs w:val="22"/>
        </w:rPr>
      </w:pPr>
      <w:r w:rsidRPr="006774D3">
        <w:rPr>
          <w:i/>
          <w:color w:val="000000"/>
          <w:sz w:val="22"/>
          <w:szCs w:val="22"/>
        </w:rPr>
        <w:t>Stöðugur fasi, interferon árangurslaust</w:t>
      </w:r>
      <w:r w:rsidRPr="006774D3">
        <w:rPr>
          <w:iCs/>
          <w:color w:val="000000"/>
          <w:sz w:val="22"/>
          <w:szCs w:val="22"/>
        </w:rPr>
        <w:t xml:space="preserve">: </w:t>
      </w:r>
      <w:r w:rsidRPr="006774D3">
        <w:rPr>
          <w:color w:val="000000"/>
          <w:sz w:val="22"/>
          <w:szCs w:val="22"/>
        </w:rPr>
        <w:t>532 fullorðnir sjúklingar voru meðhöndlaðir með 400 mg upphafs</w:t>
      </w:r>
      <w:r w:rsidRPr="006774D3">
        <w:rPr>
          <w:color w:val="000000"/>
          <w:sz w:val="22"/>
          <w:szCs w:val="22"/>
        </w:rPr>
        <w:softHyphen/>
        <w:t>skammti. Sjúklingum var skipt í þrjá meginflokka: Án blóðsvörunar (29%), án litningasvörunar (35%) eða óþol fyrir interferoni (36%). Miðgildi meðferðar sem sjúklingar höfðu fengið fyrir IFN meðferð var 14 mánuðir, þar sem gefnir voru skammtar ≥ 25 x 10</w:t>
      </w:r>
      <w:r w:rsidRPr="006774D3">
        <w:rPr>
          <w:color w:val="000000"/>
          <w:sz w:val="22"/>
          <w:szCs w:val="22"/>
          <w:vertAlign w:val="superscript"/>
        </w:rPr>
        <w:t>6</w:t>
      </w:r>
      <w:r w:rsidRPr="006774D3">
        <w:rPr>
          <w:color w:val="000000"/>
          <w:sz w:val="22"/>
          <w:szCs w:val="22"/>
        </w:rPr>
        <w:t xml:space="preserve"> a.e./viku og voru allir seint í stöðugum fasa, með 32 mánaða miðgildi tíma frá sjúkdómsgreiningu. Fyrsta </w:t>
      </w:r>
      <w:r w:rsidRPr="006774D3">
        <w:rPr>
          <w:color w:val="000000"/>
          <w:sz w:val="22"/>
          <w:szCs w:val="22"/>
        </w:rPr>
        <w:lastRenderedPageBreak/>
        <w:t>verkunarbreyta rannsóknarinnar var hlutfall meiriháttar litningasvörunar (fullkomin svörun að viðbættri svörun að hluta, 0 til 35% Ph+ metafasar í beinmerg).</w:t>
      </w:r>
    </w:p>
    <w:p w14:paraId="05B8B2D3" w14:textId="77777777" w:rsidR="005F57F3" w:rsidRPr="006774D3" w:rsidRDefault="005F57F3" w:rsidP="00F77C66">
      <w:pPr>
        <w:outlineLvl w:val="0"/>
        <w:rPr>
          <w:color w:val="000000"/>
          <w:sz w:val="22"/>
          <w:szCs w:val="22"/>
        </w:rPr>
      </w:pPr>
    </w:p>
    <w:p w14:paraId="05B8B2D4" w14:textId="77777777" w:rsidR="005F57F3" w:rsidRPr="006774D3" w:rsidRDefault="005F57F3" w:rsidP="00F77C66">
      <w:pPr>
        <w:outlineLvl w:val="0"/>
        <w:rPr>
          <w:color w:val="000000"/>
          <w:sz w:val="22"/>
          <w:szCs w:val="22"/>
        </w:rPr>
      </w:pPr>
      <w:r w:rsidRPr="006774D3">
        <w:rPr>
          <w:color w:val="000000"/>
          <w:sz w:val="22"/>
          <w:szCs w:val="22"/>
        </w:rPr>
        <w:t>Í þessari rannsókn náðu 65% sjúklinga meiriháttar litningasvörun sem var fullkomin hjá 53% (staðfest 43%) sjúklinga (tafla </w:t>
      </w:r>
      <w:r w:rsidR="00142B05" w:rsidRPr="006774D3">
        <w:rPr>
          <w:color w:val="000000"/>
          <w:sz w:val="22"/>
          <w:szCs w:val="22"/>
        </w:rPr>
        <w:t>3</w:t>
      </w:r>
      <w:r w:rsidRPr="006774D3">
        <w:rPr>
          <w:color w:val="000000"/>
          <w:sz w:val="22"/>
          <w:szCs w:val="22"/>
        </w:rPr>
        <w:t xml:space="preserve">). </w:t>
      </w:r>
      <w:r w:rsidR="003C5A06" w:rsidRPr="006774D3">
        <w:rPr>
          <w:color w:val="000000"/>
          <w:sz w:val="22"/>
          <w:szCs w:val="22"/>
        </w:rPr>
        <w:t>Heildar</w:t>
      </w:r>
      <w:r w:rsidRPr="006774D3">
        <w:rPr>
          <w:color w:val="000000"/>
          <w:sz w:val="22"/>
          <w:szCs w:val="22"/>
        </w:rPr>
        <w:t>blóðsvörun náðist hjá 95% sjúklinga.</w:t>
      </w:r>
    </w:p>
    <w:p w14:paraId="05B8B2D5" w14:textId="77777777" w:rsidR="005F57F3" w:rsidRPr="006774D3" w:rsidRDefault="005F57F3" w:rsidP="00F77C66">
      <w:pPr>
        <w:pStyle w:val="EndnoteText"/>
        <w:overflowPunct w:val="0"/>
        <w:autoSpaceDE w:val="0"/>
        <w:autoSpaceDN w:val="0"/>
        <w:adjustRightInd w:val="0"/>
        <w:spacing w:before="0" w:after="0"/>
        <w:ind w:left="0" w:firstLine="0"/>
        <w:textAlignment w:val="baseline"/>
        <w:outlineLvl w:val="0"/>
        <w:rPr>
          <w:color w:val="000000"/>
          <w:sz w:val="22"/>
          <w:szCs w:val="22"/>
          <w:lang w:val="is-IS"/>
        </w:rPr>
      </w:pPr>
    </w:p>
    <w:p w14:paraId="05B8B2D6" w14:textId="77777777" w:rsidR="005F57F3" w:rsidRPr="006774D3" w:rsidRDefault="005F57F3" w:rsidP="00F77C66">
      <w:pPr>
        <w:outlineLvl w:val="0"/>
        <w:rPr>
          <w:color w:val="000000"/>
          <w:sz w:val="22"/>
          <w:szCs w:val="22"/>
        </w:rPr>
      </w:pPr>
      <w:r w:rsidRPr="006774D3">
        <w:rPr>
          <w:i/>
          <w:color w:val="000000"/>
          <w:sz w:val="22"/>
          <w:szCs w:val="22"/>
        </w:rPr>
        <w:t>Hröðunarfasi</w:t>
      </w:r>
      <w:r w:rsidRPr="006774D3">
        <w:rPr>
          <w:iCs/>
          <w:color w:val="000000"/>
          <w:sz w:val="22"/>
          <w:szCs w:val="22"/>
        </w:rPr>
        <w:t xml:space="preserve">: </w:t>
      </w:r>
      <w:r w:rsidRPr="006774D3">
        <w:rPr>
          <w:color w:val="000000"/>
          <w:sz w:val="22"/>
          <w:szCs w:val="22"/>
        </w:rPr>
        <w:t>235 fullorðnir sjúklingar með sjúkdóminn í hröðunarfasa tóku þátt í rannsókninni. Fyrstu 77 sjúklingarnir byrjuðu á 400 mg, síðan var rannsóknaráætlun breytt til að leyfa stærri skammta og þeir 158 sjúklingar sem eftir voru byrjuðu á 600 mg.</w:t>
      </w:r>
    </w:p>
    <w:p w14:paraId="05B8B2D7" w14:textId="77777777" w:rsidR="005F57F3" w:rsidRPr="006774D3" w:rsidRDefault="005F57F3" w:rsidP="00F77C66">
      <w:pPr>
        <w:outlineLvl w:val="0"/>
        <w:rPr>
          <w:color w:val="000000"/>
          <w:sz w:val="22"/>
          <w:szCs w:val="22"/>
        </w:rPr>
      </w:pPr>
    </w:p>
    <w:p w14:paraId="05B8B2D8" w14:textId="77777777" w:rsidR="005F57F3" w:rsidRPr="006774D3" w:rsidRDefault="005F57F3" w:rsidP="00F77C66">
      <w:pPr>
        <w:outlineLvl w:val="0"/>
        <w:rPr>
          <w:color w:val="000000"/>
          <w:sz w:val="22"/>
          <w:szCs w:val="22"/>
        </w:rPr>
      </w:pPr>
      <w:r w:rsidRPr="006774D3">
        <w:rPr>
          <w:color w:val="000000"/>
          <w:sz w:val="22"/>
          <w:szCs w:val="22"/>
        </w:rPr>
        <w:t xml:space="preserve">Fyrsta verkunarbreytan var hlutfall blóðsvörunar, sem annaðhvort var greint frá sem </w:t>
      </w:r>
      <w:r w:rsidR="008C146A" w:rsidRPr="006774D3">
        <w:rPr>
          <w:color w:val="000000"/>
          <w:sz w:val="22"/>
          <w:szCs w:val="22"/>
        </w:rPr>
        <w:t>heildar</w:t>
      </w:r>
      <w:r w:rsidRPr="006774D3">
        <w:rPr>
          <w:color w:val="000000"/>
          <w:sz w:val="22"/>
          <w:szCs w:val="22"/>
        </w:rPr>
        <w:t>blóð</w:t>
      </w:r>
      <w:r w:rsidRPr="006774D3">
        <w:rPr>
          <w:color w:val="000000"/>
          <w:sz w:val="22"/>
          <w:szCs w:val="22"/>
        </w:rPr>
        <w:softHyphen/>
        <w:t>svörun, engri vísbendingu um hvítblæði (þ.e. úthreinsun kímfrumna úr merg og blóði, en án þess að ná eðlilegum blóðgildum eins og við fullkomna svörun) eða afturhvarfi í stöðugan fasa CML. Staðfest blóðsvörun náðist hjá 71,5% sjúklinga (tafla </w:t>
      </w:r>
      <w:r w:rsidR="00142B05" w:rsidRPr="006774D3">
        <w:rPr>
          <w:color w:val="000000"/>
          <w:sz w:val="22"/>
          <w:szCs w:val="22"/>
        </w:rPr>
        <w:t>3</w:t>
      </w:r>
      <w:r w:rsidRPr="006774D3">
        <w:rPr>
          <w:color w:val="000000"/>
          <w:sz w:val="22"/>
          <w:szCs w:val="22"/>
        </w:rPr>
        <w:t>). Mikilvægt var að 27,7% sjúklinganna náðu líka meiriháttar litningasvörun, sem var fullkomin hjá 20,4% (staðfest 16%) þeirra. Hjá sjúklingum sem fengu 600 mg er núverandi mat á mið</w:t>
      </w:r>
      <w:r w:rsidRPr="006774D3">
        <w:rPr>
          <w:color w:val="000000"/>
          <w:sz w:val="22"/>
          <w:szCs w:val="22"/>
        </w:rPr>
        <w:softHyphen/>
        <w:t>gildi áætlaðrar lifunar án versnunar sjúkdóms 22,9 mánuðir og núverandi mat á miðgildi heildar lifunar er 42,5 mánuðir.</w:t>
      </w:r>
    </w:p>
    <w:p w14:paraId="05B8B2D9" w14:textId="77777777" w:rsidR="005F57F3" w:rsidRPr="006774D3" w:rsidRDefault="005F57F3" w:rsidP="00F77C66">
      <w:pPr>
        <w:outlineLvl w:val="0"/>
        <w:rPr>
          <w:color w:val="000000"/>
          <w:sz w:val="22"/>
          <w:szCs w:val="22"/>
        </w:rPr>
      </w:pPr>
    </w:p>
    <w:p w14:paraId="05B8B2DA" w14:textId="77777777" w:rsidR="005F57F3" w:rsidRPr="006774D3" w:rsidRDefault="005F57F3" w:rsidP="00F77C66">
      <w:pPr>
        <w:outlineLvl w:val="0"/>
        <w:rPr>
          <w:color w:val="000000"/>
          <w:sz w:val="22"/>
          <w:szCs w:val="22"/>
        </w:rPr>
      </w:pPr>
      <w:r w:rsidRPr="006774D3">
        <w:rPr>
          <w:i/>
          <w:color w:val="000000"/>
          <w:sz w:val="22"/>
          <w:szCs w:val="22"/>
        </w:rPr>
        <w:t>Kyrningabráðafasi (myeloid blast crisis)</w:t>
      </w:r>
      <w:r w:rsidRPr="006774D3">
        <w:rPr>
          <w:iCs/>
          <w:color w:val="000000"/>
          <w:sz w:val="22"/>
          <w:szCs w:val="22"/>
        </w:rPr>
        <w:t xml:space="preserve">: </w:t>
      </w:r>
      <w:r w:rsidRPr="006774D3">
        <w:rPr>
          <w:color w:val="000000"/>
          <w:sz w:val="22"/>
          <w:szCs w:val="22"/>
        </w:rPr>
        <w:t>260 sjúklingar með kyrningabráðafasa tóku þátt í rannsókninni. 95 (37%) höfðu áður fengið krabbameinslyfjameðferð, annaðhvort við hröðunarfasa eða bráðafasa (formeð</w:t>
      </w:r>
      <w:r w:rsidRPr="006774D3">
        <w:rPr>
          <w:color w:val="000000"/>
          <w:sz w:val="22"/>
          <w:szCs w:val="22"/>
        </w:rPr>
        <w:softHyphen/>
        <w:t>höndlaðir sjúklingar), en ekki 165 (63%) þeirra (ómeðhöndlaðir sjúklingar). Fyrstu 37 sjúklingarnir byrjuðu á 400 mg, en eftir það var rannsóknaráætlun breytt til að leyfa stærri skammta og þeir 223 sem eftir voru byrjuðu á 600 mg.</w:t>
      </w:r>
    </w:p>
    <w:p w14:paraId="05B8B2DB" w14:textId="77777777" w:rsidR="005F57F3" w:rsidRPr="006774D3" w:rsidRDefault="005F57F3" w:rsidP="00F77C66">
      <w:pPr>
        <w:pStyle w:val="Authors"/>
        <w:keepNext w:val="0"/>
        <w:spacing w:before="0"/>
        <w:outlineLvl w:val="0"/>
        <w:rPr>
          <w:rFonts w:ascii="Times New Roman" w:hAnsi="Times New Roman"/>
          <w:color w:val="000000"/>
          <w:szCs w:val="22"/>
          <w:lang w:val="is-IS"/>
        </w:rPr>
      </w:pPr>
    </w:p>
    <w:p w14:paraId="05B8B2DC" w14:textId="77777777" w:rsidR="005F57F3" w:rsidRPr="006774D3" w:rsidRDefault="005F57F3" w:rsidP="00F77C66">
      <w:pPr>
        <w:outlineLvl w:val="0"/>
        <w:rPr>
          <w:color w:val="000000"/>
          <w:sz w:val="22"/>
          <w:szCs w:val="22"/>
        </w:rPr>
      </w:pPr>
      <w:r w:rsidRPr="006774D3">
        <w:rPr>
          <w:color w:val="000000"/>
          <w:sz w:val="22"/>
          <w:szCs w:val="22"/>
        </w:rPr>
        <w:t xml:space="preserve">Fyrsta verkunarbreytan var hlutfall blóðsvörunar, sem annaðhvort var greint frá sem </w:t>
      </w:r>
      <w:r w:rsidR="008C146A" w:rsidRPr="006774D3">
        <w:rPr>
          <w:color w:val="000000"/>
          <w:sz w:val="22"/>
          <w:szCs w:val="22"/>
        </w:rPr>
        <w:t>heildar</w:t>
      </w:r>
      <w:r w:rsidRPr="006774D3">
        <w:rPr>
          <w:color w:val="000000"/>
          <w:sz w:val="22"/>
          <w:szCs w:val="22"/>
        </w:rPr>
        <w:t>blóð</w:t>
      </w:r>
      <w:r w:rsidRPr="006774D3">
        <w:rPr>
          <w:color w:val="000000"/>
          <w:sz w:val="22"/>
          <w:szCs w:val="22"/>
        </w:rPr>
        <w:softHyphen/>
        <w:t>svörun, engri vísbendingu um hvítblæði eða afturhvarfi í stöðugan fasa CML og var gengið út frá sömu forsendum og í rannsókninni á hröðunarfasa. Í þessari rannsókn náðu 31% sjúklinga blóðsvörun (36% sjúklinga sem höfðu ekki verið meðhöndlaðir áður og 22% sjúklinga sem höfðu áður fengið meðferð). Hlutfall svörunar var einnig hærra hjá sjúklingum sem fengu 600 mg (33%) samanborið við sjúklinga sem fengu 400 mg (16%, p=0,0220). Fyrirliggjandi mat á miðgildi lifunar þeirra sem höfðu ekki verið meðhöndlaðir áður var 7,7 mánuðir og 4,7 mánuðir hjá þeim sem fengið höfðu meðferð.</w:t>
      </w:r>
    </w:p>
    <w:p w14:paraId="05B8B2DD" w14:textId="77777777" w:rsidR="005F57F3" w:rsidRPr="006774D3" w:rsidRDefault="005F57F3" w:rsidP="00F77C66">
      <w:pPr>
        <w:rPr>
          <w:i/>
          <w:color w:val="000000"/>
          <w:sz w:val="22"/>
          <w:szCs w:val="22"/>
        </w:rPr>
      </w:pPr>
    </w:p>
    <w:p w14:paraId="05B8B2DE" w14:textId="77777777" w:rsidR="005F57F3" w:rsidRPr="006774D3" w:rsidRDefault="005F57F3" w:rsidP="00F77C66">
      <w:pPr>
        <w:rPr>
          <w:color w:val="000000"/>
          <w:sz w:val="22"/>
          <w:szCs w:val="22"/>
        </w:rPr>
      </w:pPr>
      <w:r w:rsidRPr="006774D3">
        <w:rPr>
          <w:i/>
          <w:color w:val="000000"/>
          <w:sz w:val="22"/>
          <w:szCs w:val="22"/>
        </w:rPr>
        <w:t>Eitilfrumuhvítblæði í bráðafasa (lymphoid blast crisis)</w:t>
      </w:r>
      <w:r w:rsidRPr="006774D3">
        <w:rPr>
          <w:iCs/>
          <w:color w:val="000000"/>
          <w:sz w:val="22"/>
          <w:szCs w:val="22"/>
        </w:rPr>
        <w:t xml:space="preserve">: </w:t>
      </w:r>
      <w:r w:rsidRPr="006774D3">
        <w:rPr>
          <w:color w:val="000000"/>
          <w:sz w:val="22"/>
          <w:szCs w:val="22"/>
        </w:rPr>
        <w:t>Takmarkaður fjöldi sjúklinga var skráður í I stigs rannsóknir (n=10). Hlutfall blóðsvörunar var 70% og stóð í 2</w:t>
      </w:r>
      <w:r w:rsidRPr="006774D3">
        <w:rPr>
          <w:color w:val="000000"/>
          <w:sz w:val="22"/>
          <w:szCs w:val="22"/>
        </w:rPr>
        <w:noBreakHyphen/>
        <w:t>3 mánuði.</w:t>
      </w:r>
    </w:p>
    <w:p w14:paraId="05B8B2DF" w14:textId="77777777" w:rsidR="005F57F3" w:rsidRPr="006774D3" w:rsidRDefault="005F57F3" w:rsidP="00F77C66">
      <w:pPr>
        <w:outlineLvl w:val="0"/>
        <w:rPr>
          <w:color w:val="000000"/>
          <w:sz w:val="22"/>
          <w:szCs w:val="22"/>
        </w:rPr>
      </w:pPr>
    </w:p>
    <w:p w14:paraId="05B8B2E0" w14:textId="77777777" w:rsidR="005F57F3" w:rsidRPr="006774D3" w:rsidRDefault="005F57F3" w:rsidP="00346F25">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lastRenderedPageBreak/>
        <w:t>Tafla </w:t>
      </w:r>
      <w:r w:rsidR="00142B05" w:rsidRPr="006774D3">
        <w:rPr>
          <w:rFonts w:ascii="Times New Roman" w:hAnsi="Times New Roman"/>
          <w:color w:val="000000"/>
          <w:sz w:val="22"/>
          <w:szCs w:val="22"/>
          <w:lang w:val="is-IS"/>
        </w:rPr>
        <w:t>3</w:t>
      </w:r>
      <w:r w:rsidRPr="006774D3">
        <w:rPr>
          <w:rFonts w:ascii="Times New Roman" w:hAnsi="Times New Roman"/>
          <w:color w:val="000000"/>
          <w:sz w:val="22"/>
          <w:szCs w:val="22"/>
          <w:lang w:val="is-IS"/>
        </w:rPr>
        <w:tab/>
        <w:t>Svörun í CML rannsóknum hjá fullorðnum</w:t>
      </w:r>
    </w:p>
    <w:p w14:paraId="05B8B2E1" w14:textId="77777777" w:rsidR="005F57F3" w:rsidRPr="006774D3" w:rsidRDefault="005F57F3" w:rsidP="00346F25">
      <w:pPr>
        <w:keepNext/>
        <w:outlineLvl w:val="0"/>
        <w:rPr>
          <w:color w:val="000000"/>
          <w:sz w:val="22"/>
          <w:szCs w:val="22"/>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6"/>
        <w:gridCol w:w="2100"/>
        <w:gridCol w:w="2020"/>
        <w:gridCol w:w="2137"/>
      </w:tblGrid>
      <w:tr w:rsidR="005F57F3" w:rsidRPr="006774D3" w14:paraId="05B8B2F0" w14:textId="77777777" w:rsidTr="00346F25">
        <w:trPr>
          <w:cantSplit/>
        </w:trPr>
        <w:tc>
          <w:tcPr>
            <w:tcW w:w="3076" w:type="dxa"/>
          </w:tcPr>
          <w:p w14:paraId="05B8B2E2" w14:textId="77777777" w:rsidR="005F57F3" w:rsidRPr="006774D3" w:rsidRDefault="005F57F3" w:rsidP="00346F25">
            <w:pPr>
              <w:pStyle w:val="Authors"/>
              <w:spacing w:before="0"/>
              <w:outlineLvl w:val="0"/>
              <w:rPr>
                <w:rFonts w:ascii="Times New Roman" w:hAnsi="Times New Roman"/>
                <w:color w:val="000000"/>
                <w:szCs w:val="22"/>
                <w:lang w:val="is-IS"/>
              </w:rPr>
            </w:pPr>
          </w:p>
        </w:tc>
        <w:tc>
          <w:tcPr>
            <w:tcW w:w="2100" w:type="dxa"/>
          </w:tcPr>
          <w:p w14:paraId="05B8B2E3" w14:textId="77777777" w:rsidR="005F57F3" w:rsidRPr="006774D3" w:rsidRDefault="005F57F3" w:rsidP="00346F25">
            <w:pPr>
              <w:keepNext/>
              <w:jc w:val="center"/>
              <w:outlineLvl w:val="0"/>
              <w:rPr>
                <w:color w:val="000000"/>
                <w:sz w:val="22"/>
                <w:szCs w:val="22"/>
              </w:rPr>
            </w:pPr>
            <w:r w:rsidRPr="006774D3">
              <w:rPr>
                <w:color w:val="000000"/>
                <w:sz w:val="22"/>
                <w:szCs w:val="22"/>
              </w:rPr>
              <w:t>Rannsókn 0110</w:t>
            </w:r>
          </w:p>
          <w:p w14:paraId="05B8B2E4" w14:textId="77777777" w:rsidR="005F57F3" w:rsidRPr="006774D3" w:rsidRDefault="005F57F3" w:rsidP="00346F25">
            <w:pPr>
              <w:keepNext/>
              <w:jc w:val="center"/>
              <w:outlineLvl w:val="0"/>
              <w:rPr>
                <w:color w:val="000000"/>
                <w:sz w:val="22"/>
                <w:szCs w:val="22"/>
              </w:rPr>
            </w:pPr>
            <w:r w:rsidRPr="006774D3">
              <w:rPr>
                <w:color w:val="000000"/>
                <w:sz w:val="22"/>
                <w:szCs w:val="22"/>
              </w:rPr>
              <w:t>Upplýsingar eftir 37 mánuði</w:t>
            </w:r>
          </w:p>
          <w:p w14:paraId="05B8B2E5" w14:textId="77777777" w:rsidR="005F57F3" w:rsidRPr="006774D3" w:rsidRDefault="005F57F3" w:rsidP="00346F25">
            <w:pPr>
              <w:keepNext/>
              <w:jc w:val="center"/>
              <w:outlineLvl w:val="0"/>
              <w:rPr>
                <w:color w:val="000000"/>
                <w:sz w:val="22"/>
                <w:szCs w:val="22"/>
              </w:rPr>
            </w:pPr>
            <w:r w:rsidRPr="006774D3">
              <w:rPr>
                <w:color w:val="000000"/>
                <w:sz w:val="22"/>
                <w:szCs w:val="22"/>
              </w:rPr>
              <w:t>Stöðugur fasi,</w:t>
            </w:r>
          </w:p>
          <w:p w14:paraId="05B8B2E6" w14:textId="77777777" w:rsidR="005F57F3" w:rsidRPr="006774D3" w:rsidRDefault="005F57F3" w:rsidP="00346F25">
            <w:pPr>
              <w:keepNext/>
              <w:jc w:val="center"/>
              <w:outlineLvl w:val="0"/>
              <w:rPr>
                <w:color w:val="000000"/>
                <w:sz w:val="22"/>
                <w:szCs w:val="22"/>
              </w:rPr>
            </w:pPr>
            <w:r w:rsidRPr="006774D3">
              <w:rPr>
                <w:color w:val="000000"/>
                <w:sz w:val="22"/>
                <w:szCs w:val="22"/>
              </w:rPr>
              <w:t>IFN án árangurs</w:t>
            </w:r>
          </w:p>
          <w:p w14:paraId="05B8B2E7" w14:textId="77777777" w:rsidR="005F57F3" w:rsidRPr="006774D3" w:rsidRDefault="005F57F3" w:rsidP="00346F25">
            <w:pPr>
              <w:keepNext/>
              <w:jc w:val="center"/>
              <w:outlineLvl w:val="0"/>
              <w:rPr>
                <w:color w:val="000000"/>
                <w:sz w:val="22"/>
                <w:szCs w:val="22"/>
              </w:rPr>
            </w:pPr>
            <w:r w:rsidRPr="006774D3">
              <w:rPr>
                <w:color w:val="000000"/>
                <w:sz w:val="22"/>
                <w:szCs w:val="22"/>
              </w:rPr>
              <w:t>(n=532)</w:t>
            </w:r>
          </w:p>
        </w:tc>
        <w:tc>
          <w:tcPr>
            <w:tcW w:w="2020" w:type="dxa"/>
            <w:tcBorders>
              <w:bottom w:val="single" w:sz="4" w:space="0" w:color="auto"/>
            </w:tcBorders>
          </w:tcPr>
          <w:p w14:paraId="05B8B2E8" w14:textId="77777777" w:rsidR="005F57F3" w:rsidRPr="006774D3" w:rsidRDefault="005F57F3" w:rsidP="00346F25">
            <w:pPr>
              <w:keepNext/>
              <w:jc w:val="center"/>
              <w:outlineLvl w:val="0"/>
              <w:rPr>
                <w:color w:val="000000"/>
                <w:sz w:val="22"/>
                <w:szCs w:val="22"/>
              </w:rPr>
            </w:pPr>
            <w:r w:rsidRPr="006774D3">
              <w:rPr>
                <w:color w:val="000000"/>
                <w:sz w:val="22"/>
                <w:szCs w:val="22"/>
              </w:rPr>
              <w:t>Rannsókn 0109</w:t>
            </w:r>
          </w:p>
          <w:p w14:paraId="05B8B2E9" w14:textId="77777777" w:rsidR="005F57F3" w:rsidRPr="006774D3" w:rsidRDefault="005F57F3" w:rsidP="00346F25">
            <w:pPr>
              <w:keepNext/>
              <w:jc w:val="center"/>
              <w:outlineLvl w:val="0"/>
              <w:rPr>
                <w:color w:val="000000"/>
                <w:sz w:val="22"/>
                <w:szCs w:val="22"/>
              </w:rPr>
            </w:pPr>
            <w:r w:rsidRPr="006774D3">
              <w:rPr>
                <w:color w:val="000000"/>
                <w:sz w:val="22"/>
                <w:szCs w:val="22"/>
              </w:rPr>
              <w:t>Upplýsingar eftir 40,5 mánuði</w:t>
            </w:r>
          </w:p>
          <w:p w14:paraId="05B8B2EA" w14:textId="77777777" w:rsidR="005F57F3" w:rsidRPr="006774D3" w:rsidRDefault="005F57F3" w:rsidP="00346F25">
            <w:pPr>
              <w:keepNext/>
              <w:jc w:val="center"/>
              <w:outlineLvl w:val="0"/>
              <w:rPr>
                <w:color w:val="000000"/>
                <w:sz w:val="22"/>
                <w:szCs w:val="22"/>
              </w:rPr>
            </w:pPr>
            <w:r w:rsidRPr="006774D3">
              <w:rPr>
                <w:color w:val="000000"/>
                <w:sz w:val="22"/>
                <w:szCs w:val="22"/>
              </w:rPr>
              <w:t>Hröðunarfasi,</w:t>
            </w:r>
          </w:p>
          <w:p w14:paraId="05B8B2EB" w14:textId="77777777" w:rsidR="005F57F3" w:rsidRPr="006774D3" w:rsidRDefault="005F57F3" w:rsidP="00346F25">
            <w:pPr>
              <w:keepNext/>
              <w:jc w:val="center"/>
              <w:outlineLvl w:val="0"/>
              <w:rPr>
                <w:color w:val="000000"/>
                <w:sz w:val="22"/>
                <w:szCs w:val="22"/>
              </w:rPr>
            </w:pPr>
            <w:r w:rsidRPr="006774D3">
              <w:rPr>
                <w:color w:val="000000"/>
                <w:sz w:val="22"/>
                <w:szCs w:val="22"/>
              </w:rPr>
              <w:t>(n=235)</w:t>
            </w:r>
          </w:p>
        </w:tc>
        <w:tc>
          <w:tcPr>
            <w:tcW w:w="2137" w:type="dxa"/>
          </w:tcPr>
          <w:p w14:paraId="05B8B2EC" w14:textId="77777777" w:rsidR="005F57F3" w:rsidRPr="006774D3" w:rsidRDefault="005F57F3" w:rsidP="00346F25">
            <w:pPr>
              <w:keepNext/>
              <w:jc w:val="center"/>
              <w:outlineLvl w:val="0"/>
              <w:rPr>
                <w:color w:val="000000"/>
                <w:sz w:val="22"/>
                <w:szCs w:val="22"/>
              </w:rPr>
            </w:pPr>
            <w:r w:rsidRPr="006774D3">
              <w:rPr>
                <w:color w:val="000000"/>
                <w:sz w:val="22"/>
                <w:szCs w:val="22"/>
              </w:rPr>
              <w:t>Rannsókn 0102</w:t>
            </w:r>
          </w:p>
          <w:p w14:paraId="05B8B2ED" w14:textId="77777777" w:rsidR="005F57F3" w:rsidRPr="006774D3" w:rsidRDefault="005F57F3" w:rsidP="00346F25">
            <w:pPr>
              <w:keepNext/>
              <w:jc w:val="center"/>
              <w:outlineLvl w:val="0"/>
              <w:rPr>
                <w:color w:val="000000"/>
                <w:sz w:val="22"/>
                <w:szCs w:val="22"/>
              </w:rPr>
            </w:pPr>
            <w:r w:rsidRPr="006774D3">
              <w:rPr>
                <w:color w:val="000000"/>
                <w:sz w:val="22"/>
                <w:szCs w:val="22"/>
              </w:rPr>
              <w:t>Upplýsingar eftir 38 mánuði</w:t>
            </w:r>
          </w:p>
          <w:p w14:paraId="05B8B2EE" w14:textId="77777777" w:rsidR="005F57F3" w:rsidRPr="006774D3" w:rsidRDefault="005F57F3" w:rsidP="00346F25">
            <w:pPr>
              <w:keepNext/>
              <w:jc w:val="center"/>
              <w:outlineLvl w:val="0"/>
              <w:rPr>
                <w:color w:val="000000"/>
                <w:sz w:val="22"/>
                <w:szCs w:val="22"/>
              </w:rPr>
            </w:pPr>
            <w:r w:rsidRPr="006774D3">
              <w:rPr>
                <w:color w:val="000000"/>
                <w:sz w:val="22"/>
                <w:szCs w:val="22"/>
              </w:rPr>
              <w:t>Kyrningabráðafasi,</w:t>
            </w:r>
          </w:p>
          <w:p w14:paraId="05B8B2EF" w14:textId="77777777" w:rsidR="005F57F3" w:rsidRPr="006774D3" w:rsidRDefault="005F57F3" w:rsidP="00346F25">
            <w:pPr>
              <w:keepNext/>
              <w:jc w:val="center"/>
              <w:outlineLvl w:val="0"/>
              <w:rPr>
                <w:color w:val="000000"/>
                <w:sz w:val="22"/>
                <w:szCs w:val="22"/>
              </w:rPr>
            </w:pPr>
            <w:r w:rsidRPr="006774D3">
              <w:rPr>
                <w:color w:val="000000"/>
                <w:sz w:val="22"/>
                <w:szCs w:val="22"/>
              </w:rPr>
              <w:t>(n=260)</w:t>
            </w:r>
          </w:p>
        </w:tc>
      </w:tr>
      <w:tr w:rsidR="005F57F3" w:rsidRPr="006774D3" w14:paraId="05B8B2F3" w14:textId="77777777" w:rsidTr="00346F25">
        <w:trPr>
          <w:cantSplit/>
        </w:trPr>
        <w:tc>
          <w:tcPr>
            <w:tcW w:w="3076" w:type="dxa"/>
            <w:tcBorders>
              <w:bottom w:val="single" w:sz="4" w:space="0" w:color="auto"/>
            </w:tcBorders>
          </w:tcPr>
          <w:p w14:paraId="05B8B2F1" w14:textId="77777777" w:rsidR="005F57F3" w:rsidRPr="006774D3" w:rsidRDefault="005F57F3" w:rsidP="00346F25">
            <w:pPr>
              <w:keepNext/>
              <w:outlineLvl w:val="0"/>
              <w:rPr>
                <w:color w:val="000000"/>
                <w:sz w:val="22"/>
                <w:szCs w:val="22"/>
              </w:rPr>
            </w:pPr>
          </w:p>
        </w:tc>
        <w:tc>
          <w:tcPr>
            <w:tcW w:w="6257" w:type="dxa"/>
            <w:gridSpan w:val="3"/>
            <w:tcBorders>
              <w:bottom w:val="single" w:sz="4" w:space="0" w:color="auto"/>
            </w:tcBorders>
          </w:tcPr>
          <w:p w14:paraId="05B8B2F2" w14:textId="77777777" w:rsidR="005F57F3" w:rsidRPr="006774D3" w:rsidRDefault="005F57F3" w:rsidP="00346F25">
            <w:pPr>
              <w:keepNext/>
              <w:jc w:val="center"/>
              <w:outlineLvl w:val="0"/>
              <w:rPr>
                <w:color w:val="000000"/>
                <w:sz w:val="22"/>
                <w:szCs w:val="22"/>
              </w:rPr>
            </w:pPr>
            <w:r w:rsidRPr="006774D3">
              <w:rPr>
                <w:color w:val="000000"/>
                <w:sz w:val="22"/>
                <w:szCs w:val="22"/>
              </w:rPr>
              <w:t>% sjúklinga (CI</w:t>
            </w:r>
            <w:r w:rsidRPr="006774D3">
              <w:rPr>
                <w:color w:val="000000"/>
                <w:sz w:val="22"/>
                <w:szCs w:val="22"/>
                <w:vertAlign w:val="subscript"/>
              </w:rPr>
              <w:t>95%</w:t>
            </w:r>
            <w:r w:rsidRPr="006774D3">
              <w:rPr>
                <w:color w:val="000000"/>
                <w:sz w:val="22"/>
                <w:szCs w:val="22"/>
              </w:rPr>
              <w:t>)</w:t>
            </w:r>
          </w:p>
        </w:tc>
      </w:tr>
      <w:tr w:rsidR="005F57F3" w:rsidRPr="006774D3" w14:paraId="05B8B2F8" w14:textId="77777777" w:rsidTr="00346F25">
        <w:trPr>
          <w:cantSplit/>
        </w:trPr>
        <w:tc>
          <w:tcPr>
            <w:tcW w:w="3076" w:type="dxa"/>
            <w:tcBorders>
              <w:bottom w:val="nil"/>
            </w:tcBorders>
          </w:tcPr>
          <w:p w14:paraId="05B8B2F4" w14:textId="77777777" w:rsidR="005F57F3" w:rsidRPr="006774D3" w:rsidRDefault="005F57F3" w:rsidP="00346F25">
            <w:pPr>
              <w:keepNext/>
              <w:outlineLvl w:val="0"/>
              <w:rPr>
                <w:color w:val="000000"/>
                <w:sz w:val="22"/>
                <w:szCs w:val="22"/>
              </w:rPr>
            </w:pPr>
            <w:r w:rsidRPr="006774D3">
              <w:rPr>
                <w:color w:val="000000"/>
                <w:sz w:val="22"/>
                <w:szCs w:val="22"/>
              </w:rPr>
              <w:t>Blóðsvörun</w:t>
            </w:r>
            <w:r w:rsidRPr="006774D3">
              <w:rPr>
                <w:color w:val="000000"/>
                <w:sz w:val="22"/>
                <w:szCs w:val="22"/>
                <w:vertAlign w:val="superscript"/>
              </w:rPr>
              <w:t>1</w:t>
            </w:r>
          </w:p>
        </w:tc>
        <w:tc>
          <w:tcPr>
            <w:tcW w:w="2100" w:type="dxa"/>
            <w:tcBorders>
              <w:bottom w:val="nil"/>
            </w:tcBorders>
          </w:tcPr>
          <w:p w14:paraId="05B8B2F5" w14:textId="77777777" w:rsidR="005F57F3" w:rsidRPr="006774D3" w:rsidRDefault="005F57F3" w:rsidP="00346F25">
            <w:pPr>
              <w:keepNext/>
              <w:jc w:val="center"/>
              <w:outlineLvl w:val="0"/>
              <w:rPr>
                <w:color w:val="000000"/>
                <w:sz w:val="22"/>
                <w:szCs w:val="22"/>
              </w:rPr>
            </w:pPr>
            <w:r w:rsidRPr="006774D3">
              <w:rPr>
                <w:color w:val="000000"/>
                <w:sz w:val="22"/>
                <w:szCs w:val="22"/>
              </w:rPr>
              <w:t>95% (92,3</w:t>
            </w:r>
            <w:r w:rsidRPr="006774D3">
              <w:rPr>
                <w:color w:val="000000"/>
                <w:sz w:val="22"/>
                <w:szCs w:val="22"/>
              </w:rPr>
              <w:noBreakHyphen/>
              <w:t>96,3)</w:t>
            </w:r>
          </w:p>
        </w:tc>
        <w:tc>
          <w:tcPr>
            <w:tcW w:w="2020" w:type="dxa"/>
            <w:tcBorders>
              <w:top w:val="single" w:sz="4" w:space="0" w:color="auto"/>
              <w:bottom w:val="nil"/>
            </w:tcBorders>
          </w:tcPr>
          <w:p w14:paraId="05B8B2F6" w14:textId="77777777" w:rsidR="005F57F3" w:rsidRPr="006774D3" w:rsidRDefault="005F57F3" w:rsidP="00346F25">
            <w:pPr>
              <w:keepNext/>
              <w:jc w:val="center"/>
              <w:outlineLvl w:val="0"/>
              <w:rPr>
                <w:color w:val="000000"/>
                <w:sz w:val="22"/>
                <w:szCs w:val="22"/>
              </w:rPr>
            </w:pPr>
            <w:r w:rsidRPr="006774D3">
              <w:rPr>
                <w:color w:val="000000"/>
                <w:sz w:val="22"/>
                <w:szCs w:val="22"/>
              </w:rPr>
              <w:t>71% (65,3</w:t>
            </w:r>
            <w:r w:rsidRPr="006774D3">
              <w:rPr>
                <w:color w:val="000000"/>
                <w:sz w:val="22"/>
                <w:szCs w:val="22"/>
              </w:rPr>
              <w:noBreakHyphen/>
              <w:t>77,2)</w:t>
            </w:r>
          </w:p>
        </w:tc>
        <w:tc>
          <w:tcPr>
            <w:tcW w:w="2137" w:type="dxa"/>
            <w:tcBorders>
              <w:bottom w:val="nil"/>
            </w:tcBorders>
          </w:tcPr>
          <w:p w14:paraId="05B8B2F7" w14:textId="77777777" w:rsidR="005F57F3" w:rsidRPr="006774D3" w:rsidRDefault="005F57F3" w:rsidP="00346F25">
            <w:pPr>
              <w:keepNext/>
              <w:jc w:val="center"/>
              <w:outlineLvl w:val="0"/>
              <w:rPr>
                <w:color w:val="000000"/>
                <w:sz w:val="22"/>
                <w:szCs w:val="22"/>
              </w:rPr>
            </w:pPr>
            <w:r w:rsidRPr="006774D3">
              <w:rPr>
                <w:color w:val="000000"/>
                <w:sz w:val="22"/>
                <w:szCs w:val="22"/>
              </w:rPr>
              <w:t>31% (25,2</w:t>
            </w:r>
            <w:r w:rsidRPr="006774D3">
              <w:rPr>
                <w:color w:val="000000"/>
                <w:sz w:val="22"/>
                <w:szCs w:val="22"/>
              </w:rPr>
              <w:noBreakHyphen/>
              <w:t>36,8)</w:t>
            </w:r>
          </w:p>
        </w:tc>
      </w:tr>
      <w:tr w:rsidR="005F57F3" w:rsidRPr="006774D3" w14:paraId="05B8B2FD" w14:textId="77777777" w:rsidTr="00346F25">
        <w:trPr>
          <w:cantSplit/>
        </w:trPr>
        <w:tc>
          <w:tcPr>
            <w:tcW w:w="3076" w:type="dxa"/>
            <w:tcBorders>
              <w:top w:val="nil"/>
              <w:bottom w:val="nil"/>
            </w:tcBorders>
          </w:tcPr>
          <w:p w14:paraId="05B8B2F9" w14:textId="77777777" w:rsidR="005F57F3" w:rsidRPr="006774D3" w:rsidRDefault="005F57F3" w:rsidP="00346F25">
            <w:pPr>
              <w:keepNext/>
              <w:tabs>
                <w:tab w:val="left" w:pos="180"/>
              </w:tabs>
              <w:ind w:left="180" w:hanging="180"/>
              <w:outlineLvl w:val="0"/>
              <w:rPr>
                <w:color w:val="000000"/>
                <w:sz w:val="22"/>
                <w:szCs w:val="22"/>
              </w:rPr>
            </w:pPr>
            <w:r w:rsidRPr="006774D3">
              <w:rPr>
                <w:color w:val="000000"/>
                <w:sz w:val="22"/>
                <w:szCs w:val="22"/>
              </w:rPr>
              <w:tab/>
            </w:r>
            <w:r w:rsidR="008C146A" w:rsidRPr="006774D3">
              <w:rPr>
                <w:color w:val="000000"/>
                <w:sz w:val="22"/>
                <w:szCs w:val="22"/>
              </w:rPr>
              <w:t>Heildar</w:t>
            </w:r>
            <w:r w:rsidRPr="006774D3">
              <w:rPr>
                <w:color w:val="000000"/>
                <w:sz w:val="22"/>
                <w:szCs w:val="22"/>
              </w:rPr>
              <w:t>blóðsvörun (CHR)</w:t>
            </w:r>
          </w:p>
        </w:tc>
        <w:tc>
          <w:tcPr>
            <w:tcW w:w="2100" w:type="dxa"/>
            <w:tcBorders>
              <w:top w:val="nil"/>
              <w:bottom w:val="nil"/>
            </w:tcBorders>
          </w:tcPr>
          <w:p w14:paraId="05B8B2FA" w14:textId="77777777" w:rsidR="005F57F3" w:rsidRPr="006774D3" w:rsidRDefault="005F57F3" w:rsidP="00346F25">
            <w:pPr>
              <w:keepNext/>
              <w:jc w:val="center"/>
              <w:outlineLvl w:val="0"/>
              <w:rPr>
                <w:color w:val="000000"/>
                <w:sz w:val="22"/>
                <w:szCs w:val="22"/>
              </w:rPr>
            </w:pPr>
            <w:r w:rsidRPr="006774D3">
              <w:rPr>
                <w:color w:val="000000"/>
                <w:sz w:val="22"/>
                <w:szCs w:val="22"/>
              </w:rPr>
              <w:t>95%</w:t>
            </w:r>
          </w:p>
        </w:tc>
        <w:tc>
          <w:tcPr>
            <w:tcW w:w="2020" w:type="dxa"/>
            <w:tcBorders>
              <w:top w:val="nil"/>
              <w:bottom w:val="nil"/>
            </w:tcBorders>
          </w:tcPr>
          <w:p w14:paraId="05B8B2FB" w14:textId="77777777" w:rsidR="005F57F3" w:rsidRPr="006774D3" w:rsidRDefault="005F57F3" w:rsidP="00346F25">
            <w:pPr>
              <w:keepNext/>
              <w:jc w:val="center"/>
              <w:outlineLvl w:val="0"/>
              <w:rPr>
                <w:color w:val="000000"/>
                <w:sz w:val="22"/>
                <w:szCs w:val="22"/>
              </w:rPr>
            </w:pPr>
            <w:r w:rsidRPr="006774D3">
              <w:rPr>
                <w:color w:val="000000"/>
                <w:sz w:val="22"/>
                <w:szCs w:val="22"/>
              </w:rPr>
              <w:t>42%</w:t>
            </w:r>
          </w:p>
        </w:tc>
        <w:tc>
          <w:tcPr>
            <w:tcW w:w="2137" w:type="dxa"/>
            <w:tcBorders>
              <w:top w:val="nil"/>
              <w:bottom w:val="nil"/>
            </w:tcBorders>
          </w:tcPr>
          <w:p w14:paraId="05B8B2FC" w14:textId="77777777" w:rsidR="005F57F3" w:rsidRPr="006774D3" w:rsidRDefault="005F57F3" w:rsidP="00346F25">
            <w:pPr>
              <w:keepNext/>
              <w:jc w:val="center"/>
              <w:outlineLvl w:val="0"/>
              <w:rPr>
                <w:color w:val="000000"/>
                <w:sz w:val="22"/>
                <w:szCs w:val="22"/>
              </w:rPr>
            </w:pPr>
            <w:r w:rsidRPr="006774D3">
              <w:rPr>
                <w:color w:val="000000"/>
                <w:sz w:val="22"/>
                <w:szCs w:val="22"/>
              </w:rPr>
              <w:t>8%</w:t>
            </w:r>
          </w:p>
        </w:tc>
      </w:tr>
      <w:tr w:rsidR="005F57F3" w:rsidRPr="006774D3" w14:paraId="05B8B302" w14:textId="77777777" w:rsidTr="00346F25">
        <w:trPr>
          <w:cantSplit/>
        </w:trPr>
        <w:tc>
          <w:tcPr>
            <w:tcW w:w="3076" w:type="dxa"/>
            <w:tcBorders>
              <w:top w:val="nil"/>
              <w:bottom w:val="nil"/>
            </w:tcBorders>
          </w:tcPr>
          <w:p w14:paraId="05B8B2FE" w14:textId="77777777" w:rsidR="005F57F3" w:rsidRPr="006774D3" w:rsidRDefault="005F57F3" w:rsidP="00346F25">
            <w:pPr>
              <w:keepNext/>
              <w:tabs>
                <w:tab w:val="left" w:pos="180"/>
              </w:tabs>
              <w:ind w:left="180" w:hanging="180"/>
              <w:outlineLvl w:val="0"/>
              <w:rPr>
                <w:color w:val="000000"/>
                <w:sz w:val="22"/>
                <w:szCs w:val="22"/>
              </w:rPr>
            </w:pPr>
            <w:r w:rsidRPr="006774D3">
              <w:rPr>
                <w:color w:val="000000"/>
                <w:sz w:val="22"/>
                <w:szCs w:val="22"/>
              </w:rPr>
              <w:tab/>
              <w:t>Engar vísbendingar um hvítblæði (NEL)</w:t>
            </w:r>
          </w:p>
        </w:tc>
        <w:tc>
          <w:tcPr>
            <w:tcW w:w="2100" w:type="dxa"/>
            <w:tcBorders>
              <w:top w:val="nil"/>
              <w:bottom w:val="nil"/>
            </w:tcBorders>
          </w:tcPr>
          <w:p w14:paraId="05B8B2FF" w14:textId="77777777" w:rsidR="005F57F3" w:rsidRPr="006774D3" w:rsidRDefault="005F57F3" w:rsidP="00346F25">
            <w:pPr>
              <w:keepNext/>
              <w:jc w:val="center"/>
              <w:outlineLvl w:val="0"/>
              <w:rPr>
                <w:color w:val="000000"/>
                <w:sz w:val="22"/>
                <w:szCs w:val="22"/>
              </w:rPr>
            </w:pPr>
            <w:r w:rsidRPr="006774D3">
              <w:rPr>
                <w:color w:val="000000"/>
                <w:sz w:val="22"/>
                <w:szCs w:val="22"/>
              </w:rPr>
              <w:t>Á ekki við</w:t>
            </w:r>
          </w:p>
        </w:tc>
        <w:tc>
          <w:tcPr>
            <w:tcW w:w="2020" w:type="dxa"/>
            <w:tcBorders>
              <w:top w:val="nil"/>
              <w:bottom w:val="nil"/>
            </w:tcBorders>
          </w:tcPr>
          <w:p w14:paraId="05B8B300" w14:textId="77777777" w:rsidR="005F57F3" w:rsidRPr="006774D3" w:rsidRDefault="005F57F3" w:rsidP="00346F25">
            <w:pPr>
              <w:keepNext/>
              <w:jc w:val="center"/>
              <w:outlineLvl w:val="0"/>
              <w:rPr>
                <w:color w:val="000000"/>
                <w:sz w:val="22"/>
                <w:szCs w:val="22"/>
              </w:rPr>
            </w:pPr>
            <w:r w:rsidRPr="006774D3">
              <w:rPr>
                <w:color w:val="000000"/>
                <w:sz w:val="22"/>
                <w:szCs w:val="22"/>
              </w:rPr>
              <w:t>12%</w:t>
            </w:r>
          </w:p>
        </w:tc>
        <w:tc>
          <w:tcPr>
            <w:tcW w:w="2137" w:type="dxa"/>
            <w:tcBorders>
              <w:top w:val="nil"/>
              <w:bottom w:val="nil"/>
            </w:tcBorders>
          </w:tcPr>
          <w:p w14:paraId="05B8B301" w14:textId="77777777" w:rsidR="005F57F3" w:rsidRPr="006774D3" w:rsidRDefault="005F57F3" w:rsidP="00346F25">
            <w:pPr>
              <w:keepNext/>
              <w:jc w:val="center"/>
              <w:outlineLvl w:val="0"/>
              <w:rPr>
                <w:color w:val="000000"/>
                <w:sz w:val="22"/>
                <w:szCs w:val="22"/>
              </w:rPr>
            </w:pPr>
            <w:r w:rsidRPr="006774D3">
              <w:rPr>
                <w:color w:val="000000"/>
                <w:sz w:val="22"/>
                <w:szCs w:val="22"/>
              </w:rPr>
              <w:t>5%</w:t>
            </w:r>
          </w:p>
        </w:tc>
      </w:tr>
      <w:tr w:rsidR="005F57F3" w:rsidRPr="006774D3" w14:paraId="05B8B307" w14:textId="77777777" w:rsidTr="00346F25">
        <w:trPr>
          <w:cantSplit/>
        </w:trPr>
        <w:tc>
          <w:tcPr>
            <w:tcW w:w="3076" w:type="dxa"/>
            <w:tcBorders>
              <w:top w:val="nil"/>
              <w:bottom w:val="single" w:sz="4" w:space="0" w:color="auto"/>
            </w:tcBorders>
          </w:tcPr>
          <w:p w14:paraId="05B8B303" w14:textId="77777777" w:rsidR="005F57F3" w:rsidRPr="006774D3" w:rsidRDefault="005F57F3" w:rsidP="00346F25">
            <w:pPr>
              <w:keepNext/>
              <w:tabs>
                <w:tab w:val="left" w:pos="180"/>
              </w:tabs>
              <w:ind w:left="180" w:hanging="180"/>
              <w:outlineLvl w:val="0"/>
              <w:rPr>
                <w:color w:val="000000"/>
                <w:sz w:val="22"/>
                <w:szCs w:val="22"/>
              </w:rPr>
            </w:pPr>
            <w:r w:rsidRPr="006774D3">
              <w:rPr>
                <w:color w:val="000000"/>
                <w:sz w:val="22"/>
                <w:szCs w:val="22"/>
              </w:rPr>
              <w:tab/>
              <w:t>Aftur í stöðugan fasa (RTC)</w:t>
            </w:r>
          </w:p>
        </w:tc>
        <w:tc>
          <w:tcPr>
            <w:tcW w:w="2100" w:type="dxa"/>
            <w:tcBorders>
              <w:top w:val="nil"/>
              <w:bottom w:val="single" w:sz="4" w:space="0" w:color="auto"/>
            </w:tcBorders>
          </w:tcPr>
          <w:p w14:paraId="05B8B304" w14:textId="77777777" w:rsidR="005F57F3" w:rsidRPr="006774D3" w:rsidRDefault="005F57F3" w:rsidP="00346F25">
            <w:pPr>
              <w:keepNext/>
              <w:jc w:val="center"/>
              <w:outlineLvl w:val="0"/>
              <w:rPr>
                <w:color w:val="000000"/>
                <w:sz w:val="22"/>
                <w:szCs w:val="22"/>
              </w:rPr>
            </w:pPr>
            <w:r w:rsidRPr="006774D3">
              <w:rPr>
                <w:color w:val="000000"/>
                <w:sz w:val="22"/>
                <w:szCs w:val="22"/>
              </w:rPr>
              <w:t>Á ekki við</w:t>
            </w:r>
          </w:p>
        </w:tc>
        <w:tc>
          <w:tcPr>
            <w:tcW w:w="2020" w:type="dxa"/>
            <w:tcBorders>
              <w:top w:val="nil"/>
              <w:bottom w:val="single" w:sz="4" w:space="0" w:color="auto"/>
            </w:tcBorders>
          </w:tcPr>
          <w:p w14:paraId="05B8B305" w14:textId="77777777" w:rsidR="005F57F3" w:rsidRPr="006774D3" w:rsidRDefault="005F57F3" w:rsidP="00346F25">
            <w:pPr>
              <w:keepNext/>
              <w:jc w:val="center"/>
              <w:outlineLvl w:val="0"/>
              <w:rPr>
                <w:color w:val="000000"/>
                <w:sz w:val="22"/>
                <w:szCs w:val="22"/>
              </w:rPr>
            </w:pPr>
            <w:r w:rsidRPr="006774D3">
              <w:rPr>
                <w:color w:val="000000"/>
                <w:sz w:val="22"/>
                <w:szCs w:val="22"/>
              </w:rPr>
              <w:t>17%</w:t>
            </w:r>
          </w:p>
        </w:tc>
        <w:tc>
          <w:tcPr>
            <w:tcW w:w="2137" w:type="dxa"/>
            <w:tcBorders>
              <w:top w:val="nil"/>
              <w:bottom w:val="single" w:sz="4" w:space="0" w:color="auto"/>
            </w:tcBorders>
          </w:tcPr>
          <w:p w14:paraId="05B8B306" w14:textId="77777777" w:rsidR="005F57F3" w:rsidRPr="006774D3" w:rsidRDefault="005F57F3" w:rsidP="00346F25">
            <w:pPr>
              <w:keepNext/>
              <w:jc w:val="center"/>
              <w:outlineLvl w:val="0"/>
              <w:rPr>
                <w:color w:val="000000"/>
                <w:sz w:val="22"/>
                <w:szCs w:val="22"/>
              </w:rPr>
            </w:pPr>
            <w:r w:rsidRPr="006774D3">
              <w:rPr>
                <w:color w:val="000000"/>
                <w:sz w:val="22"/>
                <w:szCs w:val="22"/>
              </w:rPr>
              <w:t>18%</w:t>
            </w:r>
          </w:p>
        </w:tc>
      </w:tr>
      <w:tr w:rsidR="005F57F3" w:rsidRPr="006774D3" w14:paraId="05B8B30C" w14:textId="77777777" w:rsidTr="00346F25">
        <w:trPr>
          <w:cantSplit/>
        </w:trPr>
        <w:tc>
          <w:tcPr>
            <w:tcW w:w="3076" w:type="dxa"/>
            <w:tcBorders>
              <w:top w:val="single" w:sz="4" w:space="0" w:color="auto"/>
              <w:bottom w:val="nil"/>
            </w:tcBorders>
          </w:tcPr>
          <w:p w14:paraId="05B8B308" w14:textId="77777777" w:rsidR="005F57F3" w:rsidRPr="006774D3" w:rsidRDefault="005F57F3" w:rsidP="00346F25">
            <w:pPr>
              <w:keepNext/>
              <w:outlineLvl w:val="0"/>
              <w:rPr>
                <w:color w:val="000000"/>
                <w:sz w:val="22"/>
                <w:szCs w:val="22"/>
              </w:rPr>
            </w:pPr>
            <w:r w:rsidRPr="006774D3">
              <w:rPr>
                <w:color w:val="000000"/>
                <w:sz w:val="22"/>
                <w:szCs w:val="22"/>
              </w:rPr>
              <w:t>Meiriháttar litningasvörun</w:t>
            </w:r>
            <w:r w:rsidRPr="006774D3">
              <w:rPr>
                <w:color w:val="000000"/>
                <w:sz w:val="22"/>
                <w:szCs w:val="22"/>
                <w:vertAlign w:val="superscript"/>
              </w:rPr>
              <w:t>2</w:t>
            </w:r>
          </w:p>
        </w:tc>
        <w:tc>
          <w:tcPr>
            <w:tcW w:w="2100" w:type="dxa"/>
            <w:tcBorders>
              <w:top w:val="single" w:sz="4" w:space="0" w:color="auto"/>
              <w:bottom w:val="nil"/>
            </w:tcBorders>
          </w:tcPr>
          <w:p w14:paraId="05B8B309" w14:textId="77777777" w:rsidR="005F57F3" w:rsidRPr="006774D3" w:rsidRDefault="005F57F3" w:rsidP="00346F25">
            <w:pPr>
              <w:keepNext/>
              <w:jc w:val="center"/>
              <w:outlineLvl w:val="0"/>
              <w:rPr>
                <w:color w:val="000000"/>
                <w:sz w:val="22"/>
                <w:szCs w:val="22"/>
              </w:rPr>
            </w:pPr>
            <w:r w:rsidRPr="006774D3">
              <w:rPr>
                <w:color w:val="000000"/>
                <w:sz w:val="22"/>
                <w:szCs w:val="22"/>
              </w:rPr>
              <w:t>65% (61,2</w:t>
            </w:r>
            <w:r w:rsidRPr="006774D3">
              <w:rPr>
                <w:color w:val="000000"/>
                <w:sz w:val="22"/>
                <w:szCs w:val="22"/>
              </w:rPr>
              <w:noBreakHyphen/>
              <w:t>69,5)</w:t>
            </w:r>
          </w:p>
        </w:tc>
        <w:tc>
          <w:tcPr>
            <w:tcW w:w="2020" w:type="dxa"/>
            <w:tcBorders>
              <w:top w:val="single" w:sz="4" w:space="0" w:color="auto"/>
              <w:bottom w:val="nil"/>
            </w:tcBorders>
          </w:tcPr>
          <w:p w14:paraId="05B8B30A" w14:textId="77777777" w:rsidR="005F57F3" w:rsidRPr="006774D3" w:rsidRDefault="005F57F3" w:rsidP="00346F25">
            <w:pPr>
              <w:keepNext/>
              <w:jc w:val="center"/>
              <w:outlineLvl w:val="0"/>
              <w:rPr>
                <w:color w:val="000000"/>
                <w:sz w:val="22"/>
                <w:szCs w:val="22"/>
              </w:rPr>
            </w:pPr>
            <w:r w:rsidRPr="006774D3">
              <w:rPr>
                <w:color w:val="000000"/>
                <w:sz w:val="22"/>
                <w:szCs w:val="22"/>
              </w:rPr>
              <w:t>28% (22,0</w:t>
            </w:r>
            <w:r w:rsidRPr="006774D3">
              <w:rPr>
                <w:color w:val="000000"/>
                <w:sz w:val="22"/>
                <w:szCs w:val="22"/>
              </w:rPr>
              <w:noBreakHyphen/>
              <w:t>33,9)</w:t>
            </w:r>
          </w:p>
        </w:tc>
        <w:tc>
          <w:tcPr>
            <w:tcW w:w="2137" w:type="dxa"/>
            <w:tcBorders>
              <w:top w:val="single" w:sz="4" w:space="0" w:color="auto"/>
              <w:bottom w:val="nil"/>
            </w:tcBorders>
          </w:tcPr>
          <w:p w14:paraId="05B8B30B" w14:textId="77777777" w:rsidR="005F57F3" w:rsidRPr="006774D3" w:rsidRDefault="005F57F3" w:rsidP="00346F25">
            <w:pPr>
              <w:keepNext/>
              <w:jc w:val="center"/>
              <w:outlineLvl w:val="0"/>
              <w:rPr>
                <w:color w:val="000000"/>
                <w:sz w:val="22"/>
                <w:szCs w:val="22"/>
              </w:rPr>
            </w:pPr>
            <w:r w:rsidRPr="006774D3">
              <w:rPr>
                <w:color w:val="000000"/>
                <w:sz w:val="22"/>
                <w:szCs w:val="22"/>
              </w:rPr>
              <w:t>15% (11,2</w:t>
            </w:r>
            <w:r w:rsidRPr="006774D3">
              <w:rPr>
                <w:color w:val="000000"/>
                <w:sz w:val="22"/>
                <w:szCs w:val="22"/>
              </w:rPr>
              <w:noBreakHyphen/>
              <w:t>20,4)</w:t>
            </w:r>
          </w:p>
        </w:tc>
      </w:tr>
      <w:tr w:rsidR="005F57F3" w:rsidRPr="006774D3" w14:paraId="05B8B311" w14:textId="77777777" w:rsidTr="00346F25">
        <w:trPr>
          <w:cantSplit/>
        </w:trPr>
        <w:tc>
          <w:tcPr>
            <w:tcW w:w="3076" w:type="dxa"/>
            <w:tcBorders>
              <w:top w:val="nil"/>
              <w:bottom w:val="nil"/>
            </w:tcBorders>
          </w:tcPr>
          <w:p w14:paraId="05B8B30D" w14:textId="77777777" w:rsidR="005F57F3" w:rsidRPr="006774D3" w:rsidRDefault="005F57F3" w:rsidP="00346F25">
            <w:pPr>
              <w:keepNext/>
              <w:ind w:left="180"/>
              <w:outlineLvl w:val="0"/>
              <w:rPr>
                <w:color w:val="000000"/>
                <w:sz w:val="22"/>
                <w:szCs w:val="22"/>
              </w:rPr>
            </w:pPr>
            <w:r w:rsidRPr="006774D3">
              <w:rPr>
                <w:color w:val="000000"/>
                <w:sz w:val="22"/>
                <w:szCs w:val="22"/>
              </w:rPr>
              <w:t>Full</w:t>
            </w:r>
          </w:p>
        </w:tc>
        <w:tc>
          <w:tcPr>
            <w:tcW w:w="2100" w:type="dxa"/>
            <w:tcBorders>
              <w:top w:val="nil"/>
              <w:bottom w:val="nil"/>
            </w:tcBorders>
          </w:tcPr>
          <w:p w14:paraId="05B8B30E" w14:textId="77777777" w:rsidR="005F57F3" w:rsidRPr="006774D3" w:rsidRDefault="005F57F3" w:rsidP="00346F25">
            <w:pPr>
              <w:keepNext/>
              <w:jc w:val="center"/>
              <w:outlineLvl w:val="0"/>
              <w:rPr>
                <w:color w:val="000000"/>
                <w:sz w:val="22"/>
                <w:szCs w:val="22"/>
              </w:rPr>
            </w:pPr>
            <w:r w:rsidRPr="006774D3">
              <w:rPr>
                <w:color w:val="000000"/>
                <w:sz w:val="22"/>
                <w:szCs w:val="22"/>
              </w:rPr>
              <w:t>53%</w:t>
            </w:r>
          </w:p>
        </w:tc>
        <w:tc>
          <w:tcPr>
            <w:tcW w:w="2020" w:type="dxa"/>
            <w:tcBorders>
              <w:top w:val="nil"/>
              <w:bottom w:val="nil"/>
            </w:tcBorders>
          </w:tcPr>
          <w:p w14:paraId="05B8B30F" w14:textId="77777777" w:rsidR="005F57F3" w:rsidRPr="006774D3" w:rsidRDefault="005F57F3" w:rsidP="00346F25">
            <w:pPr>
              <w:keepNext/>
              <w:jc w:val="center"/>
              <w:outlineLvl w:val="0"/>
              <w:rPr>
                <w:color w:val="000000"/>
                <w:sz w:val="22"/>
                <w:szCs w:val="22"/>
              </w:rPr>
            </w:pPr>
            <w:r w:rsidRPr="006774D3">
              <w:rPr>
                <w:color w:val="000000"/>
                <w:sz w:val="22"/>
                <w:szCs w:val="22"/>
              </w:rPr>
              <w:t>20%</w:t>
            </w:r>
          </w:p>
        </w:tc>
        <w:tc>
          <w:tcPr>
            <w:tcW w:w="2137" w:type="dxa"/>
            <w:tcBorders>
              <w:top w:val="nil"/>
              <w:bottom w:val="nil"/>
            </w:tcBorders>
          </w:tcPr>
          <w:p w14:paraId="05B8B310" w14:textId="77777777" w:rsidR="005F57F3" w:rsidRPr="006774D3" w:rsidRDefault="005F57F3" w:rsidP="00346F25">
            <w:pPr>
              <w:keepNext/>
              <w:jc w:val="center"/>
              <w:outlineLvl w:val="0"/>
              <w:rPr>
                <w:color w:val="000000"/>
                <w:sz w:val="22"/>
                <w:szCs w:val="22"/>
              </w:rPr>
            </w:pPr>
            <w:r w:rsidRPr="006774D3">
              <w:rPr>
                <w:color w:val="000000"/>
                <w:sz w:val="22"/>
                <w:szCs w:val="22"/>
              </w:rPr>
              <w:t>7%</w:t>
            </w:r>
          </w:p>
        </w:tc>
      </w:tr>
      <w:tr w:rsidR="005F57F3" w:rsidRPr="006774D3" w14:paraId="05B8B316" w14:textId="77777777" w:rsidTr="00346F25">
        <w:trPr>
          <w:cantSplit/>
        </w:trPr>
        <w:tc>
          <w:tcPr>
            <w:tcW w:w="3076" w:type="dxa"/>
            <w:tcBorders>
              <w:top w:val="nil"/>
              <w:bottom w:val="nil"/>
            </w:tcBorders>
          </w:tcPr>
          <w:p w14:paraId="05B8B312" w14:textId="77777777" w:rsidR="005F57F3" w:rsidRPr="006774D3" w:rsidRDefault="005F57F3" w:rsidP="00346F25">
            <w:pPr>
              <w:keepNext/>
              <w:ind w:left="180"/>
              <w:outlineLvl w:val="0"/>
              <w:rPr>
                <w:color w:val="000000"/>
                <w:sz w:val="22"/>
                <w:szCs w:val="22"/>
              </w:rPr>
            </w:pPr>
            <w:r w:rsidRPr="006774D3">
              <w:rPr>
                <w:color w:val="000000"/>
                <w:sz w:val="22"/>
                <w:szCs w:val="22"/>
              </w:rPr>
              <w:t>(Staðfest</w:t>
            </w:r>
            <w:r w:rsidRPr="006774D3">
              <w:rPr>
                <w:color w:val="000000"/>
                <w:sz w:val="22"/>
                <w:szCs w:val="22"/>
                <w:vertAlign w:val="superscript"/>
              </w:rPr>
              <w:t>3</w:t>
            </w:r>
            <w:r w:rsidRPr="006774D3">
              <w:rPr>
                <w:color w:val="000000"/>
                <w:sz w:val="22"/>
                <w:szCs w:val="22"/>
              </w:rPr>
              <w:t xml:space="preserve">) </w:t>
            </w:r>
            <w:r w:rsidRPr="006774D3">
              <w:rPr>
                <w:color w:val="000000"/>
                <w:sz w:val="22"/>
                <w:szCs w:val="22"/>
              </w:rPr>
              <w:sym w:font="Symbol" w:char="F05B"/>
            </w:r>
            <w:r w:rsidRPr="006774D3">
              <w:rPr>
                <w:color w:val="000000"/>
                <w:sz w:val="22"/>
                <w:szCs w:val="22"/>
              </w:rPr>
              <w:t>95% CI</w:t>
            </w:r>
            <w:r w:rsidRPr="006774D3">
              <w:rPr>
                <w:color w:val="000000"/>
                <w:sz w:val="22"/>
                <w:szCs w:val="22"/>
              </w:rPr>
              <w:sym w:font="Symbol" w:char="F05D"/>
            </w:r>
          </w:p>
        </w:tc>
        <w:tc>
          <w:tcPr>
            <w:tcW w:w="2100" w:type="dxa"/>
            <w:tcBorders>
              <w:top w:val="nil"/>
              <w:bottom w:val="nil"/>
            </w:tcBorders>
          </w:tcPr>
          <w:p w14:paraId="05B8B313" w14:textId="77777777" w:rsidR="005F57F3" w:rsidRPr="006774D3" w:rsidRDefault="005F57F3" w:rsidP="00346F25">
            <w:pPr>
              <w:keepNext/>
              <w:jc w:val="center"/>
              <w:outlineLvl w:val="0"/>
              <w:rPr>
                <w:color w:val="000000"/>
                <w:sz w:val="22"/>
                <w:szCs w:val="22"/>
              </w:rPr>
            </w:pPr>
            <w:r w:rsidRPr="006774D3">
              <w:rPr>
                <w:color w:val="000000"/>
                <w:sz w:val="22"/>
                <w:szCs w:val="22"/>
              </w:rPr>
              <w:t xml:space="preserve">(43%) </w:t>
            </w:r>
            <w:r w:rsidRPr="006774D3">
              <w:rPr>
                <w:color w:val="000000"/>
                <w:sz w:val="22"/>
                <w:szCs w:val="22"/>
              </w:rPr>
              <w:sym w:font="Symbol" w:char="F05B"/>
            </w:r>
            <w:r w:rsidRPr="006774D3">
              <w:rPr>
                <w:color w:val="000000"/>
                <w:sz w:val="22"/>
                <w:szCs w:val="22"/>
              </w:rPr>
              <w:t>38,6</w:t>
            </w:r>
            <w:r w:rsidRPr="006774D3">
              <w:rPr>
                <w:color w:val="000000"/>
                <w:sz w:val="22"/>
                <w:szCs w:val="22"/>
              </w:rPr>
              <w:noBreakHyphen/>
              <w:t>47,2</w:t>
            </w:r>
            <w:r w:rsidRPr="006774D3">
              <w:rPr>
                <w:color w:val="000000"/>
                <w:sz w:val="22"/>
                <w:szCs w:val="22"/>
              </w:rPr>
              <w:sym w:font="Symbol" w:char="F05D"/>
            </w:r>
          </w:p>
        </w:tc>
        <w:tc>
          <w:tcPr>
            <w:tcW w:w="2020" w:type="dxa"/>
            <w:tcBorders>
              <w:top w:val="nil"/>
              <w:bottom w:val="nil"/>
            </w:tcBorders>
          </w:tcPr>
          <w:p w14:paraId="05B8B314" w14:textId="77777777" w:rsidR="005F57F3" w:rsidRPr="006774D3" w:rsidRDefault="005F57F3" w:rsidP="00346F25">
            <w:pPr>
              <w:keepNext/>
              <w:jc w:val="center"/>
              <w:outlineLvl w:val="0"/>
              <w:rPr>
                <w:color w:val="000000"/>
                <w:sz w:val="22"/>
                <w:szCs w:val="22"/>
              </w:rPr>
            </w:pPr>
            <w:r w:rsidRPr="006774D3">
              <w:rPr>
                <w:color w:val="000000"/>
                <w:sz w:val="22"/>
                <w:szCs w:val="22"/>
              </w:rPr>
              <w:t xml:space="preserve">(16%) </w:t>
            </w:r>
            <w:r w:rsidRPr="006774D3">
              <w:rPr>
                <w:color w:val="000000"/>
                <w:sz w:val="22"/>
                <w:szCs w:val="22"/>
              </w:rPr>
              <w:sym w:font="Symbol" w:char="F05B"/>
            </w:r>
            <w:r w:rsidRPr="006774D3">
              <w:rPr>
                <w:color w:val="000000"/>
                <w:sz w:val="22"/>
                <w:szCs w:val="22"/>
              </w:rPr>
              <w:t>11,3</w:t>
            </w:r>
            <w:r w:rsidRPr="006774D3">
              <w:rPr>
                <w:color w:val="000000"/>
                <w:sz w:val="22"/>
                <w:szCs w:val="22"/>
              </w:rPr>
              <w:noBreakHyphen/>
              <w:t>21,0</w:t>
            </w:r>
            <w:r w:rsidRPr="006774D3">
              <w:rPr>
                <w:color w:val="000000"/>
                <w:sz w:val="22"/>
                <w:szCs w:val="22"/>
              </w:rPr>
              <w:sym w:font="Symbol" w:char="F05D"/>
            </w:r>
          </w:p>
        </w:tc>
        <w:tc>
          <w:tcPr>
            <w:tcW w:w="2137" w:type="dxa"/>
            <w:tcBorders>
              <w:top w:val="nil"/>
              <w:bottom w:val="nil"/>
            </w:tcBorders>
          </w:tcPr>
          <w:p w14:paraId="05B8B315" w14:textId="77777777" w:rsidR="005F57F3" w:rsidRPr="006774D3" w:rsidRDefault="005F57F3" w:rsidP="00346F25">
            <w:pPr>
              <w:keepNext/>
              <w:jc w:val="center"/>
              <w:outlineLvl w:val="0"/>
              <w:rPr>
                <w:color w:val="000000"/>
                <w:sz w:val="22"/>
                <w:szCs w:val="22"/>
              </w:rPr>
            </w:pPr>
            <w:r w:rsidRPr="006774D3">
              <w:rPr>
                <w:color w:val="000000"/>
                <w:sz w:val="22"/>
                <w:szCs w:val="22"/>
              </w:rPr>
              <w:t>(2%) [0,6</w:t>
            </w:r>
            <w:r w:rsidRPr="006774D3">
              <w:rPr>
                <w:color w:val="000000"/>
                <w:sz w:val="22"/>
                <w:szCs w:val="22"/>
              </w:rPr>
              <w:noBreakHyphen/>
              <w:t>4,4]</w:t>
            </w:r>
          </w:p>
        </w:tc>
      </w:tr>
      <w:tr w:rsidR="005F57F3" w:rsidRPr="006774D3" w14:paraId="05B8B31B" w14:textId="77777777" w:rsidTr="00346F25">
        <w:trPr>
          <w:cantSplit/>
        </w:trPr>
        <w:tc>
          <w:tcPr>
            <w:tcW w:w="3076" w:type="dxa"/>
            <w:tcBorders>
              <w:top w:val="nil"/>
              <w:bottom w:val="single" w:sz="4" w:space="0" w:color="auto"/>
            </w:tcBorders>
          </w:tcPr>
          <w:p w14:paraId="05B8B317" w14:textId="77777777" w:rsidR="005F57F3" w:rsidRPr="006774D3" w:rsidRDefault="005F57F3" w:rsidP="00346F25">
            <w:pPr>
              <w:keepNext/>
              <w:ind w:left="180"/>
              <w:outlineLvl w:val="0"/>
              <w:rPr>
                <w:color w:val="000000"/>
                <w:sz w:val="22"/>
                <w:szCs w:val="22"/>
              </w:rPr>
            </w:pPr>
            <w:r w:rsidRPr="006774D3">
              <w:rPr>
                <w:color w:val="000000"/>
                <w:sz w:val="22"/>
                <w:szCs w:val="22"/>
              </w:rPr>
              <w:t>Að hluta</w:t>
            </w:r>
          </w:p>
        </w:tc>
        <w:tc>
          <w:tcPr>
            <w:tcW w:w="2100" w:type="dxa"/>
            <w:tcBorders>
              <w:top w:val="nil"/>
              <w:bottom w:val="single" w:sz="4" w:space="0" w:color="auto"/>
            </w:tcBorders>
          </w:tcPr>
          <w:p w14:paraId="05B8B318" w14:textId="77777777" w:rsidR="005F57F3" w:rsidRPr="006774D3" w:rsidRDefault="005F57F3" w:rsidP="00346F25">
            <w:pPr>
              <w:keepNext/>
              <w:jc w:val="center"/>
              <w:outlineLvl w:val="0"/>
              <w:rPr>
                <w:color w:val="000000"/>
                <w:sz w:val="22"/>
                <w:szCs w:val="22"/>
              </w:rPr>
            </w:pPr>
            <w:r w:rsidRPr="006774D3">
              <w:rPr>
                <w:color w:val="000000"/>
                <w:sz w:val="22"/>
                <w:szCs w:val="22"/>
              </w:rPr>
              <w:t>12%</w:t>
            </w:r>
          </w:p>
        </w:tc>
        <w:tc>
          <w:tcPr>
            <w:tcW w:w="2020" w:type="dxa"/>
            <w:tcBorders>
              <w:top w:val="nil"/>
              <w:bottom w:val="single" w:sz="4" w:space="0" w:color="auto"/>
            </w:tcBorders>
          </w:tcPr>
          <w:p w14:paraId="05B8B319" w14:textId="77777777" w:rsidR="005F57F3" w:rsidRPr="006774D3" w:rsidRDefault="005F57F3" w:rsidP="00346F25">
            <w:pPr>
              <w:keepNext/>
              <w:jc w:val="center"/>
              <w:outlineLvl w:val="0"/>
              <w:rPr>
                <w:color w:val="000000"/>
                <w:sz w:val="22"/>
                <w:szCs w:val="22"/>
              </w:rPr>
            </w:pPr>
            <w:r w:rsidRPr="006774D3">
              <w:rPr>
                <w:color w:val="000000"/>
                <w:sz w:val="22"/>
                <w:szCs w:val="22"/>
              </w:rPr>
              <w:t>7%</w:t>
            </w:r>
          </w:p>
        </w:tc>
        <w:tc>
          <w:tcPr>
            <w:tcW w:w="2137" w:type="dxa"/>
            <w:tcBorders>
              <w:top w:val="nil"/>
              <w:bottom w:val="single" w:sz="4" w:space="0" w:color="auto"/>
            </w:tcBorders>
          </w:tcPr>
          <w:p w14:paraId="05B8B31A" w14:textId="77777777" w:rsidR="005F57F3" w:rsidRPr="006774D3" w:rsidRDefault="005F57F3" w:rsidP="00346F25">
            <w:pPr>
              <w:keepNext/>
              <w:jc w:val="center"/>
              <w:outlineLvl w:val="0"/>
              <w:rPr>
                <w:color w:val="000000"/>
                <w:sz w:val="22"/>
                <w:szCs w:val="22"/>
              </w:rPr>
            </w:pPr>
            <w:r w:rsidRPr="006774D3">
              <w:rPr>
                <w:color w:val="000000"/>
                <w:sz w:val="22"/>
                <w:szCs w:val="22"/>
              </w:rPr>
              <w:t>8%</w:t>
            </w:r>
          </w:p>
        </w:tc>
      </w:tr>
      <w:tr w:rsidR="005F57F3" w:rsidRPr="006774D3" w14:paraId="05B8B31D" w14:textId="77777777" w:rsidTr="00346F25">
        <w:trPr>
          <w:cantSplit/>
        </w:trPr>
        <w:tc>
          <w:tcPr>
            <w:tcW w:w="9333" w:type="dxa"/>
            <w:gridSpan w:val="4"/>
            <w:tcBorders>
              <w:top w:val="nil"/>
              <w:bottom w:val="nil"/>
            </w:tcBorders>
          </w:tcPr>
          <w:p w14:paraId="05B8B31C" w14:textId="77777777" w:rsidR="005F57F3" w:rsidRPr="006774D3" w:rsidRDefault="005F57F3" w:rsidP="00346F25">
            <w:pPr>
              <w:pStyle w:val="Authors"/>
              <w:spacing w:before="0"/>
              <w:outlineLvl w:val="0"/>
              <w:rPr>
                <w:rFonts w:ascii="Times New Roman" w:hAnsi="Times New Roman"/>
                <w:color w:val="000000"/>
                <w:szCs w:val="22"/>
                <w:lang w:val="is-IS"/>
              </w:rPr>
            </w:pPr>
            <w:r w:rsidRPr="006774D3">
              <w:rPr>
                <w:rFonts w:ascii="Times New Roman" w:hAnsi="Times New Roman"/>
                <w:bCs/>
                <w:color w:val="000000"/>
                <w:szCs w:val="22"/>
                <w:vertAlign w:val="superscript"/>
                <w:lang w:val="is-IS"/>
              </w:rPr>
              <w:t>1</w:t>
            </w:r>
            <w:r w:rsidRPr="006774D3">
              <w:rPr>
                <w:rFonts w:ascii="Times New Roman" w:hAnsi="Times New Roman"/>
                <w:bCs/>
                <w:color w:val="000000"/>
                <w:szCs w:val="22"/>
                <w:lang w:val="is-IS"/>
              </w:rPr>
              <w:t xml:space="preserve"> </w:t>
            </w:r>
            <w:r w:rsidRPr="006774D3">
              <w:rPr>
                <w:rFonts w:ascii="Times New Roman" w:hAnsi="Times New Roman"/>
                <w:b/>
                <w:color w:val="000000"/>
                <w:szCs w:val="22"/>
                <w:lang w:val="is-IS"/>
              </w:rPr>
              <w:t>Skilmerki blóðsvörunar (öll svörun skal staðfest eftir ≥ 4 vikur):</w:t>
            </w:r>
          </w:p>
        </w:tc>
      </w:tr>
      <w:tr w:rsidR="005F57F3" w:rsidRPr="006774D3" w14:paraId="05B8B31F" w14:textId="77777777" w:rsidTr="00346F25">
        <w:trPr>
          <w:cantSplit/>
        </w:trPr>
        <w:tc>
          <w:tcPr>
            <w:tcW w:w="9333" w:type="dxa"/>
            <w:gridSpan w:val="4"/>
            <w:tcBorders>
              <w:top w:val="nil"/>
              <w:bottom w:val="nil"/>
            </w:tcBorders>
          </w:tcPr>
          <w:p w14:paraId="05B8B31E" w14:textId="77777777" w:rsidR="005F57F3" w:rsidRPr="006774D3" w:rsidRDefault="005F57F3" w:rsidP="00346F25">
            <w:pPr>
              <w:keepNext/>
              <w:tabs>
                <w:tab w:val="left" w:pos="540"/>
              </w:tabs>
              <w:ind w:left="540" w:hanging="540"/>
              <w:outlineLvl w:val="0"/>
              <w:rPr>
                <w:color w:val="000000"/>
                <w:sz w:val="22"/>
                <w:szCs w:val="22"/>
              </w:rPr>
            </w:pPr>
            <w:r w:rsidRPr="006774D3">
              <w:rPr>
                <w:color w:val="000000"/>
                <w:sz w:val="22"/>
                <w:szCs w:val="22"/>
              </w:rPr>
              <w:t>CHR:</w:t>
            </w:r>
            <w:r w:rsidRPr="006774D3">
              <w:rPr>
                <w:color w:val="000000"/>
                <w:sz w:val="22"/>
                <w:szCs w:val="22"/>
              </w:rPr>
              <w:tab/>
              <w:t>Rannsókn 0110 [WCB &lt; 10 x 10</w:t>
            </w:r>
            <w:r w:rsidRPr="006774D3">
              <w:rPr>
                <w:color w:val="000000"/>
                <w:sz w:val="22"/>
                <w:szCs w:val="22"/>
                <w:vertAlign w:val="superscript"/>
              </w:rPr>
              <w:t>9</w:t>
            </w:r>
            <w:r w:rsidRPr="006774D3">
              <w:rPr>
                <w:color w:val="000000"/>
                <w:sz w:val="22"/>
                <w:szCs w:val="22"/>
              </w:rPr>
              <w:t>/l, blóðflögur &lt; 450 x 10</w:t>
            </w:r>
            <w:r w:rsidRPr="006774D3">
              <w:rPr>
                <w:color w:val="000000"/>
                <w:sz w:val="22"/>
                <w:szCs w:val="22"/>
                <w:vertAlign w:val="superscript"/>
              </w:rPr>
              <w:t>9</w:t>
            </w:r>
            <w:r w:rsidRPr="006774D3">
              <w:rPr>
                <w:color w:val="000000"/>
                <w:sz w:val="22"/>
                <w:szCs w:val="22"/>
              </w:rPr>
              <w:t>/l, merglingar+miðmerglingar &lt; 5% í blóði, engar kímfrumur (blasts) og formerglingar í blóði, blákyrningar &lt; 20%, engin utanmergs</w:t>
            </w:r>
            <w:r w:rsidRPr="006774D3">
              <w:rPr>
                <w:color w:val="000000"/>
                <w:sz w:val="22"/>
                <w:szCs w:val="22"/>
              </w:rPr>
              <w:softHyphen/>
              <w:t>tengsl] og í rannsóknum 0102 og 0109 [ANC ≥ 1,5 x 10</w:t>
            </w:r>
            <w:r w:rsidRPr="006774D3">
              <w:rPr>
                <w:color w:val="000000"/>
                <w:sz w:val="22"/>
                <w:szCs w:val="22"/>
                <w:vertAlign w:val="superscript"/>
              </w:rPr>
              <w:t>9</w:t>
            </w:r>
            <w:r w:rsidRPr="006774D3">
              <w:rPr>
                <w:color w:val="000000"/>
                <w:sz w:val="22"/>
                <w:szCs w:val="22"/>
              </w:rPr>
              <w:t>/l, blóðflögur ≥ 100 x 10</w:t>
            </w:r>
            <w:r w:rsidRPr="006774D3">
              <w:rPr>
                <w:color w:val="000000"/>
                <w:sz w:val="22"/>
                <w:szCs w:val="22"/>
                <w:vertAlign w:val="superscript"/>
              </w:rPr>
              <w:t>9</w:t>
            </w:r>
            <w:r w:rsidRPr="006774D3">
              <w:rPr>
                <w:color w:val="000000"/>
                <w:sz w:val="22"/>
                <w:szCs w:val="22"/>
              </w:rPr>
              <w:t>/l, engar blóðkímfrumur, BM kímfrumur (blasts) &lt; 5% og enginn sjúkdómur utan mergs].</w:t>
            </w:r>
          </w:p>
        </w:tc>
      </w:tr>
      <w:tr w:rsidR="005F57F3" w:rsidRPr="006774D3" w14:paraId="05B8B321" w14:textId="77777777" w:rsidTr="00346F25">
        <w:trPr>
          <w:cantSplit/>
        </w:trPr>
        <w:tc>
          <w:tcPr>
            <w:tcW w:w="9333" w:type="dxa"/>
            <w:gridSpan w:val="4"/>
            <w:tcBorders>
              <w:top w:val="nil"/>
              <w:bottom w:val="nil"/>
            </w:tcBorders>
          </w:tcPr>
          <w:p w14:paraId="05B8B320" w14:textId="77777777" w:rsidR="005F57F3" w:rsidRPr="006774D3" w:rsidRDefault="005F57F3" w:rsidP="00346F25">
            <w:pPr>
              <w:keepNext/>
              <w:tabs>
                <w:tab w:val="left" w:pos="540"/>
              </w:tabs>
              <w:ind w:left="540" w:hanging="540"/>
              <w:outlineLvl w:val="0"/>
              <w:rPr>
                <w:color w:val="000000"/>
                <w:sz w:val="22"/>
                <w:szCs w:val="22"/>
              </w:rPr>
            </w:pPr>
            <w:r w:rsidRPr="006774D3">
              <w:rPr>
                <w:color w:val="000000"/>
                <w:sz w:val="22"/>
                <w:szCs w:val="22"/>
              </w:rPr>
              <w:t>NEL</w:t>
            </w:r>
            <w:r w:rsidRPr="006774D3">
              <w:rPr>
                <w:color w:val="000000"/>
                <w:sz w:val="22"/>
                <w:szCs w:val="22"/>
              </w:rPr>
              <w:tab/>
              <w:t>Sömu skilmerki og fyrir CHR en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(einungis 0102 og 0109).</w:t>
            </w:r>
          </w:p>
        </w:tc>
      </w:tr>
      <w:tr w:rsidR="005F57F3" w:rsidRPr="006774D3" w14:paraId="05B8B323" w14:textId="77777777" w:rsidTr="00346F25">
        <w:trPr>
          <w:cantSplit/>
        </w:trPr>
        <w:tc>
          <w:tcPr>
            <w:tcW w:w="9333" w:type="dxa"/>
            <w:gridSpan w:val="4"/>
            <w:tcBorders>
              <w:top w:val="nil"/>
              <w:bottom w:val="nil"/>
            </w:tcBorders>
          </w:tcPr>
          <w:p w14:paraId="05B8B322" w14:textId="77777777" w:rsidR="005F57F3" w:rsidRPr="006774D3" w:rsidRDefault="005F57F3" w:rsidP="00346F25">
            <w:pPr>
              <w:keepNext/>
              <w:tabs>
                <w:tab w:val="left" w:pos="540"/>
              </w:tabs>
              <w:ind w:left="540" w:hanging="540"/>
              <w:outlineLvl w:val="0"/>
              <w:rPr>
                <w:color w:val="000000"/>
                <w:sz w:val="22"/>
                <w:szCs w:val="22"/>
              </w:rPr>
            </w:pPr>
            <w:r w:rsidRPr="006774D3">
              <w:rPr>
                <w:color w:val="000000"/>
                <w:sz w:val="22"/>
                <w:szCs w:val="22"/>
              </w:rPr>
              <w:t>RTC</w:t>
            </w:r>
            <w:r w:rsidRPr="006774D3">
              <w:rPr>
                <w:color w:val="000000"/>
                <w:sz w:val="22"/>
                <w:szCs w:val="22"/>
              </w:rPr>
              <w:tab/>
              <w:t>&lt; 15% BM og PB kímfrumur (blasts) &lt; 30% kímfrumur (blasts)+formerglingar í BM og PB, &lt; 20% blákyrningar í PB, enginn sjúkdómur utan mergs, milta og lifrar (einungis fyrir 0102 og 0109).</w:t>
            </w:r>
          </w:p>
        </w:tc>
      </w:tr>
      <w:tr w:rsidR="005F57F3" w:rsidRPr="006774D3" w14:paraId="05B8B325" w14:textId="77777777" w:rsidTr="00346F25">
        <w:trPr>
          <w:cantSplit/>
        </w:trPr>
        <w:tc>
          <w:tcPr>
            <w:tcW w:w="9333" w:type="dxa"/>
            <w:gridSpan w:val="4"/>
            <w:tcBorders>
              <w:top w:val="nil"/>
              <w:bottom w:val="nil"/>
            </w:tcBorders>
          </w:tcPr>
          <w:p w14:paraId="05B8B324" w14:textId="77777777" w:rsidR="005F57F3" w:rsidRPr="006774D3" w:rsidRDefault="005F57F3" w:rsidP="00346F25">
            <w:pPr>
              <w:keepNext/>
              <w:outlineLvl w:val="0"/>
              <w:rPr>
                <w:color w:val="000000"/>
                <w:sz w:val="22"/>
                <w:szCs w:val="22"/>
              </w:rPr>
            </w:pPr>
            <w:r w:rsidRPr="006774D3">
              <w:rPr>
                <w:color w:val="000000"/>
                <w:sz w:val="22"/>
                <w:szCs w:val="22"/>
              </w:rPr>
              <w:t>BM = beinmergur, PB = blóð (peripheral blood)</w:t>
            </w:r>
          </w:p>
        </w:tc>
      </w:tr>
      <w:tr w:rsidR="005F57F3" w:rsidRPr="006774D3" w14:paraId="05B8B327" w14:textId="77777777" w:rsidTr="00346F25">
        <w:trPr>
          <w:cantSplit/>
        </w:trPr>
        <w:tc>
          <w:tcPr>
            <w:tcW w:w="9333" w:type="dxa"/>
            <w:gridSpan w:val="4"/>
            <w:tcBorders>
              <w:top w:val="nil"/>
              <w:bottom w:val="nil"/>
            </w:tcBorders>
          </w:tcPr>
          <w:p w14:paraId="05B8B326" w14:textId="77777777" w:rsidR="005F57F3" w:rsidRPr="006774D3" w:rsidRDefault="005F57F3" w:rsidP="00346F25">
            <w:pPr>
              <w:keepNext/>
              <w:outlineLvl w:val="0"/>
              <w:rPr>
                <w:color w:val="000000"/>
                <w:sz w:val="22"/>
                <w:szCs w:val="22"/>
              </w:rPr>
            </w:pPr>
            <w:r w:rsidRPr="006774D3">
              <w:rPr>
                <w:bCs/>
                <w:color w:val="000000"/>
                <w:sz w:val="22"/>
                <w:szCs w:val="22"/>
                <w:vertAlign w:val="superscript"/>
              </w:rPr>
              <w:t>2</w:t>
            </w:r>
            <w:r w:rsidRPr="006774D3">
              <w:rPr>
                <w:bCs/>
                <w:color w:val="000000"/>
                <w:sz w:val="22"/>
                <w:szCs w:val="22"/>
              </w:rPr>
              <w:t xml:space="preserve"> </w:t>
            </w:r>
            <w:r w:rsidRPr="006774D3">
              <w:rPr>
                <w:b/>
                <w:color w:val="000000"/>
                <w:sz w:val="22"/>
                <w:szCs w:val="22"/>
              </w:rPr>
              <w:t>Skilmerki litningasvörunar:</w:t>
            </w:r>
          </w:p>
        </w:tc>
      </w:tr>
      <w:tr w:rsidR="005F57F3" w:rsidRPr="006774D3" w14:paraId="05B8B329" w14:textId="77777777" w:rsidTr="00346F25">
        <w:trPr>
          <w:cantSplit/>
        </w:trPr>
        <w:tc>
          <w:tcPr>
            <w:tcW w:w="9333" w:type="dxa"/>
            <w:gridSpan w:val="4"/>
            <w:tcBorders>
              <w:top w:val="nil"/>
              <w:bottom w:val="nil"/>
            </w:tcBorders>
          </w:tcPr>
          <w:p w14:paraId="05B8B328" w14:textId="77777777" w:rsidR="005F57F3" w:rsidRPr="006774D3" w:rsidRDefault="005F57F3" w:rsidP="00346F25">
            <w:pPr>
              <w:keepNext/>
              <w:outlineLvl w:val="0"/>
              <w:rPr>
                <w:color w:val="000000"/>
                <w:sz w:val="22"/>
                <w:szCs w:val="22"/>
              </w:rPr>
            </w:pPr>
            <w:r w:rsidRPr="006774D3">
              <w:rPr>
                <w:color w:val="000000"/>
                <w:sz w:val="22"/>
                <w:szCs w:val="22"/>
              </w:rPr>
              <w:t>Meiriháttar svörun sameinar bæði full</w:t>
            </w:r>
            <w:r w:rsidR="0030257E" w:rsidRPr="006774D3">
              <w:rPr>
                <w:color w:val="000000"/>
                <w:sz w:val="22"/>
                <w:szCs w:val="22"/>
              </w:rPr>
              <w:t>a</w:t>
            </w:r>
            <w:r w:rsidRPr="006774D3">
              <w:rPr>
                <w:color w:val="000000"/>
                <w:sz w:val="22"/>
                <w:szCs w:val="22"/>
              </w:rPr>
              <w:t xml:space="preserve"> svörun og svörun að hluta: Full (0% Ph+ metafasar), að hluta (1</w:t>
            </w:r>
            <w:r w:rsidRPr="006774D3">
              <w:rPr>
                <w:color w:val="000000"/>
                <w:sz w:val="22"/>
                <w:szCs w:val="22"/>
              </w:rPr>
              <w:noBreakHyphen/>
              <w:t>35%)</w:t>
            </w:r>
          </w:p>
        </w:tc>
      </w:tr>
      <w:tr w:rsidR="005F57F3" w:rsidRPr="006774D3" w14:paraId="05B8B32B" w14:textId="77777777" w:rsidTr="00346F25">
        <w:trPr>
          <w:cantSplit/>
        </w:trPr>
        <w:tc>
          <w:tcPr>
            <w:tcW w:w="9333" w:type="dxa"/>
            <w:gridSpan w:val="4"/>
            <w:tcBorders>
              <w:top w:val="nil"/>
              <w:bottom w:val="single" w:sz="4" w:space="0" w:color="auto"/>
            </w:tcBorders>
          </w:tcPr>
          <w:p w14:paraId="05B8B32A" w14:textId="77777777" w:rsidR="005F57F3" w:rsidRPr="006774D3" w:rsidRDefault="005F57F3" w:rsidP="00346F25">
            <w:pPr>
              <w:outlineLvl w:val="0"/>
              <w:rPr>
                <w:color w:val="000000"/>
                <w:sz w:val="22"/>
                <w:szCs w:val="22"/>
              </w:rPr>
            </w:pPr>
            <w:r w:rsidRPr="006774D3">
              <w:rPr>
                <w:color w:val="000000"/>
                <w:sz w:val="22"/>
                <w:szCs w:val="22"/>
                <w:vertAlign w:val="superscript"/>
              </w:rPr>
              <w:t>3</w:t>
            </w:r>
            <w:r w:rsidRPr="006774D3">
              <w:rPr>
                <w:color w:val="000000"/>
                <w:sz w:val="22"/>
                <w:szCs w:val="22"/>
              </w:rPr>
              <w:t xml:space="preserve"> Heildar litningasvörun staðfest af öðru beinmergs litningamati framkvæmd a.m.k. einum mánuði eftir fyrstu beinmergsrannsóknina.</w:t>
            </w:r>
          </w:p>
        </w:tc>
      </w:tr>
    </w:tbl>
    <w:p w14:paraId="05B8B32C"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32D" w14:textId="77777777" w:rsidR="005F57F3" w:rsidRPr="006774D3" w:rsidRDefault="005F57F3" w:rsidP="00F77C66">
      <w:pPr>
        <w:rPr>
          <w:color w:val="000000"/>
          <w:sz w:val="22"/>
          <w:szCs w:val="22"/>
        </w:rPr>
      </w:pPr>
      <w:r w:rsidRPr="006774D3">
        <w:rPr>
          <w:i/>
          <w:color w:val="000000"/>
          <w:sz w:val="22"/>
          <w:szCs w:val="22"/>
        </w:rPr>
        <w:t>Börn</w:t>
      </w:r>
      <w:r w:rsidRPr="006774D3">
        <w:rPr>
          <w:iCs/>
          <w:color w:val="000000"/>
          <w:sz w:val="22"/>
          <w:szCs w:val="22"/>
        </w:rPr>
        <w:t xml:space="preserve">: </w:t>
      </w:r>
      <w:r w:rsidRPr="006774D3">
        <w:rPr>
          <w:color w:val="000000"/>
          <w:sz w:val="22"/>
          <w:szCs w:val="22"/>
        </w:rPr>
        <w:t>Alls tóku 26 börn undir 18 ára aldri með annaðhvort CML í stöðugum fasa (n=11) eða CML í bráðafasa eða Ph+ brátt hvítblæði (n=15) þátt í I. stigs rannsókn með skammtaaukningu smám saman. Þetta var hópur með mikla formeðhöndlun, þar sem 46% höfðu fengið áður BMT og 73% höfðu áður fengið fjöllyfja krabbameinslyfjameðferð. Sjúklingar fengu Glivec í skömmtunum 260 mg/m²/sólar</w:t>
      </w:r>
      <w:r w:rsidRPr="006774D3">
        <w:rPr>
          <w:color w:val="000000"/>
          <w:sz w:val="22"/>
          <w:szCs w:val="22"/>
        </w:rPr>
        <w:softHyphen/>
        <w:t>hring (n=5), 340 mg/m²/sólarhring (n=9), 440 mg/m²/sólarhring (n=7) og 570 mg/m²/sólarhring (n=5). Af 9 sjúklingum með CML í stöðugum fasa og með fyrirliggjandi litningaupplýsingar fengu 4 (44%) full</w:t>
      </w:r>
      <w:r w:rsidR="0030257E" w:rsidRPr="006774D3">
        <w:rPr>
          <w:color w:val="000000"/>
          <w:sz w:val="22"/>
          <w:szCs w:val="22"/>
        </w:rPr>
        <w:t>a</w:t>
      </w:r>
      <w:r w:rsidRPr="006774D3">
        <w:rPr>
          <w:color w:val="000000"/>
          <w:sz w:val="22"/>
          <w:szCs w:val="22"/>
        </w:rPr>
        <w:t xml:space="preserve"> litningasvörun og 3 (33%) litningasvörun að hluta við MCyR tíðni af 77%.</w:t>
      </w:r>
    </w:p>
    <w:p w14:paraId="05B8B32E" w14:textId="77777777" w:rsidR="005F57F3" w:rsidRPr="006774D3" w:rsidRDefault="005F57F3" w:rsidP="00F77C66">
      <w:pPr>
        <w:rPr>
          <w:color w:val="000000"/>
          <w:sz w:val="22"/>
          <w:szCs w:val="22"/>
        </w:rPr>
      </w:pPr>
    </w:p>
    <w:p w14:paraId="05B8B32F" w14:textId="77777777" w:rsidR="005F57F3" w:rsidRPr="006774D3" w:rsidRDefault="005F57F3" w:rsidP="00F77C66">
      <w:pPr>
        <w:rPr>
          <w:color w:val="000000"/>
          <w:sz w:val="22"/>
          <w:szCs w:val="22"/>
        </w:rPr>
      </w:pPr>
      <w:r w:rsidRPr="006774D3">
        <w:rPr>
          <w:color w:val="000000"/>
          <w:sz w:val="22"/>
          <w:szCs w:val="22"/>
        </w:rPr>
        <w:t xml:space="preserve">Alls hefur 51 barn með nýlega greint og ómeðhöndlað CML í stöðugum fasa verið tekið inn í opna, fjölsetra II. stigs rannsókn á einum hópi (single arm). Sjúklingarnir fengu meðferð með Glivec 340 mg/m²/sólarhring, án hléa ef engar skammtatakmarkandi eiturverkanir komu fram. Meðferð með Glivec leiðir til skjótrar svörunar hjá nýlega greindum börnum með CML og eftir 8 vikna meðferð hafði náðst </w:t>
      </w:r>
      <w:r w:rsidR="00172F56" w:rsidRPr="006774D3">
        <w:rPr>
          <w:color w:val="000000"/>
          <w:sz w:val="22"/>
          <w:szCs w:val="22"/>
        </w:rPr>
        <w:t>heildar</w:t>
      </w:r>
      <w:r w:rsidRPr="006774D3">
        <w:rPr>
          <w:color w:val="000000"/>
          <w:sz w:val="22"/>
          <w:szCs w:val="22"/>
        </w:rPr>
        <w:t xml:space="preserve">blóðsvörun (complete haematological response: CHR) hjá 78% þeirra. Háu hlutfalli </w:t>
      </w:r>
      <w:r w:rsidR="0030257E" w:rsidRPr="006774D3">
        <w:rPr>
          <w:color w:val="000000"/>
          <w:sz w:val="22"/>
          <w:szCs w:val="22"/>
        </w:rPr>
        <w:t>heildar</w:t>
      </w:r>
      <w:r w:rsidRPr="006774D3">
        <w:rPr>
          <w:color w:val="000000"/>
          <w:sz w:val="22"/>
          <w:szCs w:val="22"/>
        </w:rPr>
        <w:t>blóðsvörunar fylgir full litningasvörun (CCyR: complete cytogenetic response) hjá 65%, sem er sambærilegt við árangur hjá fullorðnum. Að auki náðist litningasvörun að hluta (PCyR: partial cytogenetic response) hjá 16%, þar af meiriháttar litningasvörun (MCyR: major cytogenetic response) hjá 81%. Hjá meirihluta sjúklinga sem náðu full</w:t>
      </w:r>
      <w:r w:rsidR="0030257E" w:rsidRPr="006774D3">
        <w:rPr>
          <w:color w:val="000000"/>
          <w:sz w:val="22"/>
          <w:szCs w:val="22"/>
        </w:rPr>
        <w:t>ri</w:t>
      </w:r>
      <w:r w:rsidR="003C5A06" w:rsidRPr="006774D3">
        <w:rPr>
          <w:color w:val="000000"/>
          <w:sz w:val="22"/>
          <w:szCs w:val="22"/>
        </w:rPr>
        <w:t xml:space="preserve"> </w:t>
      </w:r>
      <w:r w:rsidRPr="006774D3">
        <w:rPr>
          <w:color w:val="000000"/>
          <w:sz w:val="22"/>
          <w:szCs w:val="22"/>
        </w:rPr>
        <w:t>litningasvörun kom full litningasvörun fram á 3. til 10. mánuði og miðgildi tíma að svörun, skv. Kaplan-Meier mati, er 5,6 mánuðir.</w:t>
      </w:r>
    </w:p>
    <w:p w14:paraId="05B8B330" w14:textId="77777777" w:rsidR="005F57F3" w:rsidRPr="006774D3" w:rsidRDefault="005F57F3" w:rsidP="00F77C66">
      <w:pPr>
        <w:rPr>
          <w:color w:val="000000"/>
          <w:sz w:val="22"/>
          <w:szCs w:val="22"/>
        </w:rPr>
      </w:pPr>
    </w:p>
    <w:p w14:paraId="05B8B331" w14:textId="77777777" w:rsidR="00623C5C" w:rsidRPr="006774D3" w:rsidRDefault="00623C5C" w:rsidP="00F77C66">
      <w:pPr>
        <w:rPr>
          <w:color w:val="000000"/>
          <w:sz w:val="22"/>
          <w:szCs w:val="22"/>
        </w:rPr>
      </w:pPr>
      <w:r w:rsidRPr="006774D3">
        <w:rPr>
          <w:color w:val="000000"/>
          <w:sz w:val="22"/>
          <w:szCs w:val="22"/>
        </w:rPr>
        <w:t>Lyfjastofnun Evrópu hefur fallið frá kröfu um að lagðar verði fram niðurstöður úr rannsóknum á Glivec hjá öllum undirhópum barna við Fíladelfíulitnings (bcr</w:t>
      </w:r>
      <w:r w:rsidRPr="006774D3">
        <w:rPr>
          <w:color w:val="000000"/>
          <w:sz w:val="22"/>
          <w:szCs w:val="22"/>
        </w:rPr>
        <w:noBreakHyphen/>
        <w:t>abl yfirfærslu) jákvætt langvarandi kyrningahvítblæði (sjá upplýsingar í kafla 4.2 um notkun handa börnum).</w:t>
      </w:r>
    </w:p>
    <w:p w14:paraId="05B8B332" w14:textId="77777777" w:rsidR="00623C5C" w:rsidRPr="006774D3" w:rsidRDefault="00623C5C" w:rsidP="00F77C66">
      <w:pPr>
        <w:rPr>
          <w:color w:val="000000"/>
          <w:sz w:val="22"/>
          <w:szCs w:val="22"/>
        </w:rPr>
      </w:pPr>
    </w:p>
    <w:p w14:paraId="05B8B333" w14:textId="77777777" w:rsidR="005F57F3" w:rsidRPr="006774D3" w:rsidRDefault="005F57F3" w:rsidP="00F77C66">
      <w:pPr>
        <w:keepNext/>
        <w:rPr>
          <w:color w:val="000000"/>
          <w:sz w:val="22"/>
          <w:szCs w:val="22"/>
          <w:u w:val="single"/>
        </w:rPr>
      </w:pPr>
      <w:r w:rsidRPr="006774D3">
        <w:rPr>
          <w:color w:val="000000"/>
          <w:sz w:val="22"/>
          <w:szCs w:val="22"/>
          <w:u w:val="single"/>
        </w:rPr>
        <w:t>Klínískar rannsóknir á Ph+ ALL</w:t>
      </w:r>
    </w:p>
    <w:p w14:paraId="05B8B334" w14:textId="77777777" w:rsidR="005F57F3" w:rsidRPr="006774D3" w:rsidRDefault="005F57F3" w:rsidP="00346F25">
      <w:pPr>
        <w:rPr>
          <w:color w:val="000000"/>
          <w:sz w:val="22"/>
          <w:szCs w:val="22"/>
        </w:rPr>
      </w:pPr>
      <w:r w:rsidRPr="006774D3">
        <w:rPr>
          <w:i/>
          <w:color w:val="000000"/>
          <w:sz w:val="22"/>
          <w:szCs w:val="22"/>
        </w:rPr>
        <w:t>Nýgreint Ph+ ALL</w:t>
      </w:r>
      <w:r w:rsidRPr="006774D3">
        <w:rPr>
          <w:color w:val="000000"/>
          <w:sz w:val="22"/>
          <w:szCs w:val="22"/>
        </w:rPr>
        <w:t>: Í samanburðarrannsókn (ADE10) þar sem imatinib var borið saman við meðferð sem byggðist á krabbameins</w:t>
      </w:r>
      <w:r w:rsidRPr="006774D3">
        <w:rPr>
          <w:color w:val="000000"/>
          <w:sz w:val="22"/>
          <w:szCs w:val="22"/>
        </w:rPr>
        <w:softHyphen/>
        <w:t xml:space="preserve">lyfjum (chemotherapy induction) hjá 55 nýgreindum sjúklingum sem voru 55 ára eða eldri, hafði imatinib eitt sér í för með sér marktækt hærra hlutfall </w:t>
      </w:r>
      <w:r w:rsidR="008C146A" w:rsidRPr="006774D3">
        <w:rPr>
          <w:color w:val="000000"/>
          <w:sz w:val="22"/>
          <w:szCs w:val="22"/>
        </w:rPr>
        <w:t>heildar</w:t>
      </w:r>
      <w:r w:rsidRPr="006774D3">
        <w:rPr>
          <w:color w:val="000000"/>
          <w:sz w:val="22"/>
          <w:szCs w:val="22"/>
        </w:rPr>
        <w:t>blóðsvörunar en krabba</w:t>
      </w:r>
      <w:r w:rsidRPr="006774D3">
        <w:rPr>
          <w:color w:val="000000"/>
          <w:sz w:val="22"/>
          <w:szCs w:val="22"/>
        </w:rPr>
        <w:softHyphen/>
        <w:t>meinslyfjameðferð (96,3% samanborið við 50%; p=0,0001). Þegar imatinib var notað sem síðasta meðferðar</w:t>
      </w:r>
      <w:r w:rsidRPr="006774D3">
        <w:rPr>
          <w:color w:val="000000"/>
          <w:sz w:val="22"/>
          <w:szCs w:val="22"/>
        </w:rPr>
        <w:softHyphen/>
        <w:t>úrræði (salvage therapy) handa sjúklingum sem svöruðu ekki eða illa krabbameins</w:t>
      </w:r>
      <w:r w:rsidRPr="006774D3">
        <w:rPr>
          <w:color w:val="000000"/>
          <w:sz w:val="22"/>
          <w:szCs w:val="22"/>
        </w:rPr>
        <w:softHyphen/>
        <w:t xml:space="preserve">lyfjameðferð, kom fram </w:t>
      </w:r>
      <w:r w:rsidR="008C146A" w:rsidRPr="006774D3">
        <w:rPr>
          <w:color w:val="000000"/>
          <w:sz w:val="22"/>
          <w:szCs w:val="22"/>
        </w:rPr>
        <w:t>heildar</w:t>
      </w:r>
      <w:r w:rsidRPr="006774D3">
        <w:rPr>
          <w:color w:val="000000"/>
          <w:sz w:val="22"/>
          <w:szCs w:val="22"/>
        </w:rPr>
        <w:t>blóðsvörun hjá 9 sjúklingum (81,8%) af 11. Þessi klínísku áhrif tengdust meiri minnkun bcr</w:t>
      </w:r>
      <w:r w:rsidRPr="006774D3">
        <w:rPr>
          <w:color w:val="000000"/>
          <w:sz w:val="22"/>
          <w:szCs w:val="22"/>
        </w:rPr>
        <w:noBreakHyphen/>
        <w:t>abl umritunar hjá sjúklingum sem fengu imatinib en þeim sem fengu krabbameinslyfjameðferð, eftir 2 vikna meðferð (p= 0,02). Allir sjúklingarnir fengu imatinib og upprætingarmeðferð með krabbameinslyfjum (consolidation chemotherapy) (sjá töflu </w:t>
      </w:r>
      <w:r w:rsidR="00142B05" w:rsidRPr="006774D3">
        <w:rPr>
          <w:color w:val="000000"/>
          <w:sz w:val="22"/>
          <w:szCs w:val="22"/>
        </w:rPr>
        <w:t>4</w:t>
      </w:r>
      <w:r w:rsidRPr="006774D3">
        <w:rPr>
          <w:color w:val="000000"/>
          <w:sz w:val="22"/>
          <w:szCs w:val="22"/>
        </w:rPr>
        <w:t>) eftir aðal</w:t>
      </w:r>
      <w:r w:rsidRPr="006774D3">
        <w:rPr>
          <w:color w:val="000000"/>
          <w:sz w:val="22"/>
          <w:szCs w:val="22"/>
        </w:rPr>
        <w:softHyphen/>
        <w:t>meðferð (induction) og bcr</w:t>
      </w:r>
      <w:r w:rsidRPr="006774D3">
        <w:rPr>
          <w:color w:val="000000"/>
          <w:sz w:val="22"/>
          <w:szCs w:val="22"/>
        </w:rPr>
        <w:noBreakHyphen/>
        <w:t>abl umritun var sambærileg hjá báðum hópunum eftir 8 vikur. Eins og ráð var fyrir gert, á grundvelli þess hvernig rannsóknin var hönnuð, sást enginn munur á lengd sjúkdóms</w:t>
      </w:r>
      <w:r w:rsidRPr="006774D3">
        <w:rPr>
          <w:color w:val="000000"/>
          <w:sz w:val="22"/>
          <w:szCs w:val="22"/>
        </w:rPr>
        <w:softHyphen/>
        <w:t>hlés, lifun án sjúkdómsins eða heildarlifun, enda þótt útkoman væri betri hjá sjúklingum með full</w:t>
      </w:r>
      <w:r w:rsidR="00EB31D5" w:rsidRPr="006774D3">
        <w:rPr>
          <w:color w:val="000000"/>
          <w:sz w:val="22"/>
          <w:szCs w:val="22"/>
        </w:rPr>
        <w:t>a</w:t>
      </w:r>
      <w:r w:rsidRPr="006774D3">
        <w:rPr>
          <w:color w:val="000000"/>
          <w:sz w:val="22"/>
          <w:szCs w:val="22"/>
        </w:rPr>
        <w:t xml:space="preserve"> sameindasvörun og lágmarks sjúkdómshreytur, bæði hvað varðar lengd sjúkdómshlés (p=0,01) og lifun án sjúkdómsins (p=0,02).</w:t>
      </w:r>
    </w:p>
    <w:p w14:paraId="05B8B335" w14:textId="77777777" w:rsidR="005F57F3" w:rsidRPr="006774D3" w:rsidRDefault="005F57F3" w:rsidP="00F77C66">
      <w:pPr>
        <w:rPr>
          <w:color w:val="000000"/>
          <w:sz w:val="22"/>
          <w:szCs w:val="22"/>
        </w:rPr>
      </w:pPr>
    </w:p>
    <w:p w14:paraId="05B8B336" w14:textId="77777777" w:rsidR="005F57F3" w:rsidRPr="006774D3" w:rsidRDefault="005F57F3" w:rsidP="00F77C66">
      <w:pPr>
        <w:rPr>
          <w:color w:val="000000"/>
          <w:sz w:val="22"/>
          <w:szCs w:val="22"/>
        </w:rPr>
      </w:pPr>
      <w:r w:rsidRPr="006774D3">
        <w:rPr>
          <w:color w:val="000000"/>
          <w:sz w:val="22"/>
          <w:szCs w:val="22"/>
        </w:rPr>
        <w:t>Niðurstöður úr hópi 211 sjúklinga með nýgreint Ph+ ALL, í fjórum klínískum rannsóknum án saman</w:t>
      </w:r>
      <w:r w:rsidRPr="006774D3">
        <w:rPr>
          <w:color w:val="000000"/>
          <w:sz w:val="22"/>
          <w:szCs w:val="22"/>
        </w:rPr>
        <w:softHyphen/>
        <w:t>burðar (AAU02, ADE04, AJP01 og AUS01) eru í samræmi við niðurstöðurnar sem lýst er hér að framan. Þegar imatinib var notað sem viðbót við meðferð sem byggist á krabbameinslyfjum (chemotherapy induction) (sjá töflu </w:t>
      </w:r>
      <w:r w:rsidR="00142B05" w:rsidRPr="006774D3">
        <w:rPr>
          <w:color w:val="000000"/>
          <w:sz w:val="22"/>
          <w:szCs w:val="22"/>
        </w:rPr>
        <w:t>4</w:t>
      </w:r>
      <w:r w:rsidRPr="006774D3">
        <w:rPr>
          <w:color w:val="000000"/>
          <w:sz w:val="22"/>
          <w:szCs w:val="22"/>
        </w:rPr>
        <w:t xml:space="preserve">) var hlutfall </w:t>
      </w:r>
      <w:r w:rsidR="008C146A" w:rsidRPr="006774D3">
        <w:rPr>
          <w:color w:val="000000"/>
          <w:sz w:val="22"/>
          <w:szCs w:val="22"/>
        </w:rPr>
        <w:t>heildar</w:t>
      </w:r>
      <w:r w:rsidRPr="006774D3">
        <w:rPr>
          <w:color w:val="000000"/>
          <w:sz w:val="22"/>
          <w:szCs w:val="22"/>
        </w:rPr>
        <w:t>blóðsvörunar 93% (147 af 158 sjúklingum sem unnt var að leggja mat á) og hlutfall meiriháttar litningasvörunar var 90% (19 af 21 sjúklingi sem unnt var að leggja mat á). Hlutfall full</w:t>
      </w:r>
      <w:r w:rsidR="00EB31D5" w:rsidRPr="006774D3">
        <w:rPr>
          <w:color w:val="000000"/>
          <w:sz w:val="22"/>
          <w:szCs w:val="22"/>
        </w:rPr>
        <w:t>rar</w:t>
      </w:r>
      <w:r w:rsidRPr="006774D3">
        <w:rPr>
          <w:color w:val="000000"/>
          <w:sz w:val="22"/>
          <w:szCs w:val="22"/>
        </w:rPr>
        <w:t xml:space="preserve"> sameindasvörunar var 48% (49 af 102 sjúklingum sem unnt var að leggja mat á). Lifun án sjúkdóms (disease</w:t>
      </w:r>
      <w:r w:rsidRPr="006774D3">
        <w:rPr>
          <w:color w:val="000000"/>
          <w:sz w:val="22"/>
          <w:szCs w:val="22"/>
        </w:rPr>
        <w:noBreakHyphen/>
        <w:t>free survival [DFS]) og heildarlifun (overall survival [OS]) var alltaf meiri en 1 ár og hafði yfirburði á sögulegan samanburð (DFS p&lt;0,001; OS p&lt; 0,0001) í tveimur rannsóknum (AJP01 og AUS01).</w:t>
      </w:r>
    </w:p>
    <w:p w14:paraId="05B8B337" w14:textId="77777777" w:rsidR="005F57F3" w:rsidRPr="006774D3" w:rsidRDefault="005F57F3" w:rsidP="00F77C66">
      <w:pPr>
        <w:rPr>
          <w:color w:val="000000"/>
          <w:sz w:val="22"/>
          <w:szCs w:val="22"/>
        </w:rPr>
      </w:pPr>
    </w:p>
    <w:p w14:paraId="05B8B338" w14:textId="77777777" w:rsidR="005F57F3" w:rsidRPr="006774D3" w:rsidRDefault="005F57F3" w:rsidP="00F77C66">
      <w:pPr>
        <w:keepNext/>
        <w:rPr>
          <w:b/>
          <w:color w:val="000000"/>
          <w:sz w:val="22"/>
          <w:szCs w:val="22"/>
        </w:rPr>
      </w:pPr>
      <w:r w:rsidRPr="006774D3">
        <w:rPr>
          <w:b/>
          <w:color w:val="000000"/>
          <w:sz w:val="22"/>
          <w:szCs w:val="22"/>
        </w:rPr>
        <w:t>Tafla </w:t>
      </w:r>
      <w:r w:rsidR="00142B05" w:rsidRPr="006774D3">
        <w:rPr>
          <w:b/>
          <w:color w:val="000000"/>
          <w:sz w:val="22"/>
          <w:szCs w:val="22"/>
        </w:rPr>
        <w:t>4</w:t>
      </w:r>
      <w:r w:rsidRPr="006774D3">
        <w:rPr>
          <w:b/>
          <w:color w:val="000000"/>
          <w:sz w:val="22"/>
          <w:szCs w:val="22"/>
        </w:rPr>
        <w:tab/>
        <w:t>Krabbameinslyfjameðferð samhliða imatinibi</w:t>
      </w:r>
    </w:p>
    <w:p w14:paraId="05B8B339" w14:textId="77777777" w:rsidR="005F57F3" w:rsidRPr="006774D3" w:rsidRDefault="005F57F3" w:rsidP="00F77C66">
      <w:pPr>
        <w:keepNext/>
        <w:rPr>
          <w:color w:val="000000"/>
          <w:sz w:val="22"/>
          <w:szCs w:val="22"/>
        </w:rPr>
      </w:pPr>
    </w:p>
    <w:tbl>
      <w:tblPr>
        <w:tblW w:w="9094"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834"/>
      </w:tblGrid>
      <w:tr w:rsidR="005F57F3" w:rsidRPr="006774D3" w14:paraId="05B8B33C" w14:textId="77777777" w:rsidTr="00364D11">
        <w:trPr>
          <w:cantSplit/>
        </w:trPr>
        <w:tc>
          <w:tcPr>
            <w:tcW w:w="2148" w:type="dxa"/>
            <w:tcBorders>
              <w:top w:val="single" w:sz="4" w:space="0" w:color="auto"/>
              <w:bottom w:val="single" w:sz="4" w:space="0" w:color="auto"/>
            </w:tcBorders>
          </w:tcPr>
          <w:p w14:paraId="05B8B33A"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b/>
                <w:color w:val="000000"/>
                <w:sz w:val="22"/>
                <w:szCs w:val="22"/>
              </w:rPr>
              <w:t>Rannsókn ADE10</w:t>
            </w:r>
          </w:p>
        </w:tc>
        <w:tc>
          <w:tcPr>
            <w:tcW w:w="6946" w:type="dxa"/>
            <w:gridSpan w:val="4"/>
            <w:tcBorders>
              <w:top w:val="single" w:sz="4" w:space="0" w:color="auto"/>
              <w:bottom w:val="single" w:sz="4" w:space="0" w:color="auto"/>
            </w:tcBorders>
          </w:tcPr>
          <w:p w14:paraId="05B8B33B" w14:textId="77777777" w:rsidR="005F57F3" w:rsidRPr="006774D3" w:rsidRDefault="005F57F3" w:rsidP="00F77C66">
            <w:pPr>
              <w:pStyle w:val="Table"/>
              <w:keepLines w:val="0"/>
              <w:spacing w:before="0" w:after="0"/>
              <w:rPr>
                <w:rFonts w:ascii="Times New Roman" w:hAnsi="Times New Roman"/>
                <w:color w:val="000000"/>
                <w:sz w:val="22"/>
                <w:szCs w:val="22"/>
              </w:rPr>
            </w:pPr>
          </w:p>
        </w:tc>
      </w:tr>
      <w:tr w:rsidR="005F57F3" w:rsidRPr="006774D3" w14:paraId="05B8B341" w14:textId="77777777" w:rsidTr="00364D11">
        <w:trPr>
          <w:cantSplit/>
        </w:trPr>
        <w:tc>
          <w:tcPr>
            <w:tcW w:w="2148" w:type="dxa"/>
            <w:tcBorders>
              <w:top w:val="single" w:sz="4" w:space="0" w:color="auto"/>
              <w:bottom w:val="single" w:sz="4" w:space="0" w:color="auto"/>
            </w:tcBorders>
          </w:tcPr>
          <w:p w14:paraId="05B8B33D"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Forkafli</w:t>
            </w:r>
          </w:p>
        </w:tc>
        <w:tc>
          <w:tcPr>
            <w:tcW w:w="6946" w:type="dxa"/>
            <w:gridSpan w:val="4"/>
            <w:tcBorders>
              <w:top w:val="single" w:sz="4" w:space="0" w:color="auto"/>
              <w:bottom w:val="single" w:sz="4" w:space="0" w:color="auto"/>
            </w:tcBorders>
          </w:tcPr>
          <w:p w14:paraId="05B8B33E"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33F"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200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3, 4, 5;</w:t>
            </w:r>
          </w:p>
          <w:p w14:paraId="05B8B340"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12 mg í mænuvökva, dag 1</w:t>
            </w:r>
          </w:p>
        </w:tc>
      </w:tr>
      <w:tr w:rsidR="005F57F3" w:rsidRPr="006774D3" w14:paraId="05B8B348" w14:textId="77777777" w:rsidTr="00364D11">
        <w:trPr>
          <w:cantSplit/>
        </w:trPr>
        <w:tc>
          <w:tcPr>
            <w:tcW w:w="2148" w:type="dxa"/>
            <w:tcBorders>
              <w:top w:val="single" w:sz="4" w:space="0" w:color="auto"/>
              <w:bottom w:val="single" w:sz="4" w:space="0" w:color="auto"/>
            </w:tcBorders>
          </w:tcPr>
          <w:p w14:paraId="05B8B342"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Innleiðing sjúkdómshlés</w:t>
            </w:r>
          </w:p>
        </w:tc>
        <w:tc>
          <w:tcPr>
            <w:tcW w:w="6946" w:type="dxa"/>
            <w:gridSpan w:val="4"/>
            <w:tcBorders>
              <w:top w:val="single" w:sz="4" w:space="0" w:color="auto"/>
              <w:bottom w:val="single" w:sz="4" w:space="0" w:color="auto"/>
            </w:tcBorders>
          </w:tcPr>
          <w:p w14:paraId="05B8B343"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6</w:t>
            </w:r>
            <w:r w:rsidRPr="006774D3">
              <w:rPr>
                <w:rFonts w:ascii="Times New Roman" w:hAnsi="Times New Roman"/>
                <w:color w:val="000000"/>
                <w:sz w:val="22"/>
                <w:szCs w:val="22"/>
              </w:rPr>
              <w:noBreakHyphen/>
              <w:t>7, 13</w:t>
            </w:r>
            <w:r w:rsidRPr="006774D3">
              <w:rPr>
                <w:rFonts w:ascii="Times New Roman" w:hAnsi="Times New Roman"/>
                <w:color w:val="000000"/>
                <w:sz w:val="22"/>
                <w:szCs w:val="22"/>
              </w:rPr>
              <w:noBreakHyphen/>
              <w:t>16;</w:t>
            </w:r>
          </w:p>
          <w:p w14:paraId="05B8B344"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1 mg i.v., daga 7, 14;</w:t>
            </w:r>
          </w:p>
          <w:p w14:paraId="05B8B345"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IDA 8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(0,5 klst.), daga 7, 8, 14, 15;</w:t>
            </w:r>
          </w:p>
          <w:p w14:paraId="05B8B346"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500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i.v.(1 klst.) dag 1;</w:t>
            </w:r>
          </w:p>
          <w:p w14:paraId="05B8B347"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22</w:t>
            </w:r>
            <w:r w:rsidRPr="006774D3">
              <w:rPr>
                <w:rFonts w:ascii="Times New Roman" w:hAnsi="Times New Roman"/>
                <w:color w:val="000000"/>
                <w:sz w:val="22"/>
                <w:szCs w:val="22"/>
              </w:rPr>
              <w:noBreakHyphen/>
              <w:t>25, 29</w:t>
            </w:r>
            <w:r w:rsidRPr="006774D3">
              <w:rPr>
                <w:rFonts w:ascii="Times New Roman" w:hAnsi="Times New Roman"/>
                <w:color w:val="000000"/>
                <w:sz w:val="22"/>
                <w:szCs w:val="22"/>
              </w:rPr>
              <w:noBreakHyphen/>
              <w:t>32</w:t>
            </w:r>
          </w:p>
        </w:tc>
      </w:tr>
      <w:tr w:rsidR="005F57F3" w:rsidRPr="006774D3" w14:paraId="05B8B34C" w14:textId="77777777" w:rsidTr="00364D11">
        <w:trPr>
          <w:cantSplit/>
        </w:trPr>
        <w:tc>
          <w:tcPr>
            <w:tcW w:w="2148" w:type="dxa"/>
            <w:tcBorders>
              <w:top w:val="single" w:sz="4" w:space="0" w:color="auto"/>
              <w:bottom w:val="single" w:sz="4" w:space="0" w:color="auto"/>
            </w:tcBorders>
          </w:tcPr>
          <w:p w14:paraId="05B8B349"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I, III, V</w:t>
            </w:r>
          </w:p>
        </w:tc>
        <w:tc>
          <w:tcPr>
            <w:tcW w:w="6946" w:type="dxa"/>
            <w:gridSpan w:val="4"/>
            <w:tcBorders>
              <w:top w:val="single" w:sz="4" w:space="0" w:color="auto"/>
              <w:bottom w:val="single" w:sz="4" w:space="0" w:color="auto"/>
            </w:tcBorders>
          </w:tcPr>
          <w:p w14:paraId="05B8B34A"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500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daga 1, 15;</w:t>
            </w:r>
          </w:p>
          <w:p w14:paraId="05B8B34B"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6</w:t>
            </w:r>
            <w:r w:rsidRPr="006774D3">
              <w:rPr>
                <w:rFonts w:ascii="Times New Roman" w:hAnsi="Times New Roman"/>
                <w:color w:val="000000"/>
                <w:sz w:val="22"/>
                <w:szCs w:val="22"/>
              </w:rPr>
              <w:noBreakHyphen/>
              <w:t>MP 25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20</w:t>
            </w:r>
          </w:p>
        </w:tc>
      </w:tr>
      <w:tr w:rsidR="005F57F3" w:rsidRPr="006774D3" w14:paraId="05B8B350" w14:textId="77777777" w:rsidTr="00364D11">
        <w:trPr>
          <w:cantSplit/>
        </w:trPr>
        <w:tc>
          <w:tcPr>
            <w:tcW w:w="2148" w:type="dxa"/>
            <w:tcBorders>
              <w:top w:val="single" w:sz="4" w:space="0" w:color="auto"/>
              <w:bottom w:val="single" w:sz="4" w:space="0" w:color="auto"/>
            </w:tcBorders>
          </w:tcPr>
          <w:p w14:paraId="05B8B34D" w14:textId="77777777" w:rsidR="005F57F3"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II, IV</w:t>
            </w:r>
          </w:p>
        </w:tc>
        <w:tc>
          <w:tcPr>
            <w:tcW w:w="6946" w:type="dxa"/>
            <w:gridSpan w:val="4"/>
            <w:tcBorders>
              <w:top w:val="single" w:sz="4" w:space="0" w:color="auto"/>
              <w:bottom w:val="single" w:sz="4" w:space="0" w:color="auto"/>
            </w:tcBorders>
          </w:tcPr>
          <w:p w14:paraId="05B8B34E" w14:textId="77777777" w:rsidR="002572E2"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Ara-C 75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1-5;</w:t>
            </w:r>
          </w:p>
          <w:p w14:paraId="05B8B34F" w14:textId="77777777" w:rsidR="005F57F3"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VM26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1-5</w:t>
            </w:r>
          </w:p>
        </w:tc>
      </w:tr>
      <w:tr w:rsidR="005F57F3" w:rsidRPr="006774D3" w14:paraId="05B8B356" w14:textId="77777777" w:rsidTr="00364D11">
        <w:trPr>
          <w:cantSplit/>
        </w:trPr>
        <w:tc>
          <w:tcPr>
            <w:tcW w:w="2148" w:type="dxa"/>
            <w:tcBorders>
              <w:top w:val="single" w:sz="4" w:space="0" w:color="auto"/>
              <w:bottom w:val="single" w:sz="4" w:space="0" w:color="auto"/>
            </w:tcBorders>
          </w:tcPr>
          <w:p w14:paraId="05B8B351" w14:textId="77777777" w:rsidR="005F57F3" w:rsidRPr="006774D3" w:rsidRDefault="005F57F3" w:rsidP="00346F25">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t>Rannsókn AAU02</w:t>
            </w:r>
          </w:p>
        </w:tc>
        <w:tc>
          <w:tcPr>
            <w:tcW w:w="2652" w:type="dxa"/>
            <w:tcBorders>
              <w:top w:val="single" w:sz="4" w:space="0" w:color="auto"/>
              <w:bottom w:val="single" w:sz="4" w:space="0" w:color="auto"/>
            </w:tcBorders>
          </w:tcPr>
          <w:p w14:paraId="05B8B352" w14:textId="77777777" w:rsidR="005F57F3" w:rsidRPr="006774D3" w:rsidRDefault="005F57F3" w:rsidP="00346F25">
            <w:pPr>
              <w:pStyle w:val="Table"/>
              <w:keepLines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05B8B353" w14:textId="77777777" w:rsidR="005F57F3" w:rsidRPr="006774D3" w:rsidRDefault="005F57F3" w:rsidP="00346F25">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354" w14:textId="77777777" w:rsidR="005F57F3" w:rsidRPr="006774D3" w:rsidRDefault="005F57F3" w:rsidP="00346F25">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355" w14:textId="77777777" w:rsidR="005F57F3" w:rsidRPr="006774D3" w:rsidRDefault="005F57F3" w:rsidP="00346F25">
            <w:pPr>
              <w:pStyle w:val="Table"/>
              <w:keepLines w:val="0"/>
              <w:spacing w:before="0" w:after="0"/>
              <w:rPr>
                <w:rFonts w:ascii="Times New Roman" w:hAnsi="Times New Roman"/>
                <w:color w:val="000000"/>
                <w:sz w:val="22"/>
                <w:szCs w:val="22"/>
              </w:rPr>
            </w:pPr>
          </w:p>
        </w:tc>
      </w:tr>
      <w:tr w:rsidR="005F57F3" w:rsidRPr="006774D3" w14:paraId="05B8B360" w14:textId="77777777" w:rsidTr="00364D11">
        <w:trPr>
          <w:cantSplit/>
        </w:trPr>
        <w:tc>
          <w:tcPr>
            <w:tcW w:w="2148" w:type="dxa"/>
            <w:tcBorders>
              <w:top w:val="single" w:sz="4" w:space="0" w:color="auto"/>
              <w:bottom w:val="single" w:sz="4" w:space="0" w:color="auto"/>
            </w:tcBorders>
          </w:tcPr>
          <w:p w14:paraId="05B8B357"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w:t>
            </w:r>
            <w:r w:rsidRPr="006774D3">
              <w:rPr>
                <w:rFonts w:ascii="Times New Roman" w:hAnsi="Times New Roman"/>
                <w:i/>
                <w:color w:val="000000"/>
                <w:sz w:val="22"/>
                <w:szCs w:val="22"/>
              </w:rPr>
              <w:t>de novo</w:t>
            </w:r>
            <w:r w:rsidRPr="006774D3">
              <w:rPr>
                <w:rFonts w:ascii="Times New Roman" w:hAnsi="Times New Roman"/>
                <w:color w:val="000000"/>
                <w:sz w:val="22"/>
                <w:szCs w:val="22"/>
              </w:rPr>
              <w:t xml:space="preserve"> Ph+ ALL)</w:t>
            </w:r>
          </w:p>
        </w:tc>
        <w:tc>
          <w:tcPr>
            <w:tcW w:w="6946" w:type="dxa"/>
            <w:gridSpan w:val="4"/>
            <w:tcBorders>
              <w:top w:val="single" w:sz="4" w:space="0" w:color="auto"/>
              <w:bottom w:val="single" w:sz="4" w:space="0" w:color="auto"/>
            </w:tcBorders>
          </w:tcPr>
          <w:p w14:paraId="05B8B358"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Daunorubicin 30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1</w:t>
            </w:r>
            <w:r w:rsidRPr="006774D3">
              <w:rPr>
                <w:rFonts w:ascii="Times New Roman" w:hAnsi="Times New Roman"/>
                <w:color w:val="000000"/>
                <w:sz w:val="22"/>
                <w:szCs w:val="22"/>
              </w:rPr>
              <w:noBreakHyphen/>
              <w:t>3, 15</w:t>
            </w:r>
            <w:r w:rsidRPr="006774D3">
              <w:rPr>
                <w:rFonts w:ascii="Times New Roman" w:hAnsi="Times New Roman"/>
                <w:color w:val="000000"/>
                <w:sz w:val="22"/>
                <w:szCs w:val="22"/>
              </w:rPr>
              <w:noBreakHyphen/>
              <w:t>16;</w:t>
            </w:r>
          </w:p>
          <w:p w14:paraId="05B8B359"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heildarskammtur i.v., daga 1, 8, 15, 22;</w:t>
            </w:r>
          </w:p>
          <w:p w14:paraId="05B8B35A"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750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1, 8;</w:t>
            </w:r>
          </w:p>
          <w:p w14:paraId="05B8B35B" w14:textId="77777777" w:rsidR="002572E2" w:rsidRPr="006774D3" w:rsidRDefault="002572E2"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w:t>
            </w:r>
            <w:r w:rsidR="005F57F3" w:rsidRPr="006774D3">
              <w:rPr>
                <w:rFonts w:ascii="Times New Roman" w:hAnsi="Times New Roman"/>
                <w:color w:val="000000"/>
                <w:sz w:val="22"/>
                <w:szCs w:val="22"/>
              </w:rPr>
              <w:t>rednison 60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til inntöku, daga 1</w:t>
            </w:r>
            <w:r w:rsidR="005F57F3" w:rsidRPr="006774D3">
              <w:rPr>
                <w:rFonts w:ascii="Times New Roman" w:hAnsi="Times New Roman"/>
                <w:color w:val="000000"/>
                <w:sz w:val="22"/>
                <w:szCs w:val="22"/>
              </w:rPr>
              <w:noBreakHyphen/>
              <w:t>7, 15</w:t>
            </w:r>
            <w:r w:rsidR="005F57F3" w:rsidRPr="006774D3">
              <w:rPr>
                <w:rFonts w:ascii="Times New Roman" w:hAnsi="Times New Roman"/>
                <w:color w:val="000000"/>
                <w:sz w:val="22"/>
                <w:szCs w:val="22"/>
              </w:rPr>
              <w:noBreakHyphen/>
              <w:t>21;</w:t>
            </w:r>
          </w:p>
          <w:p w14:paraId="05B8B35C"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IDA 9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28;</w:t>
            </w:r>
          </w:p>
          <w:p w14:paraId="05B8B35D"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daga 1, 8, 15, 22;</w:t>
            </w:r>
          </w:p>
          <w:p w14:paraId="05B8B35E"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40 mg í mænuvökva, daga 1, 8, 15, 22;</w:t>
            </w:r>
          </w:p>
          <w:p w14:paraId="05B8B35F" w14:textId="77777777" w:rsidR="005F57F3" w:rsidRPr="006774D3" w:rsidRDefault="002572E2"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w:t>
            </w:r>
            <w:r w:rsidR="005F57F3" w:rsidRPr="006774D3">
              <w:rPr>
                <w:rFonts w:ascii="Times New Roman" w:hAnsi="Times New Roman"/>
                <w:color w:val="000000"/>
                <w:sz w:val="22"/>
                <w:szCs w:val="22"/>
              </w:rPr>
              <w:t>etylprednisolon 40 mg í mænuvökva, daga 1, 8, 15, 22</w:t>
            </w:r>
          </w:p>
        </w:tc>
      </w:tr>
      <w:tr w:rsidR="005F57F3" w:rsidRPr="006774D3" w14:paraId="05B8B366" w14:textId="77777777" w:rsidTr="00364D11">
        <w:trPr>
          <w:cantSplit/>
        </w:trPr>
        <w:tc>
          <w:tcPr>
            <w:tcW w:w="2148" w:type="dxa"/>
            <w:tcBorders>
              <w:top w:val="single" w:sz="4" w:space="0" w:color="auto"/>
              <w:bottom w:val="single" w:sz="4" w:space="0" w:color="auto"/>
            </w:tcBorders>
          </w:tcPr>
          <w:p w14:paraId="05B8B361" w14:textId="77777777" w:rsidR="005F57F3" w:rsidRPr="006774D3" w:rsidRDefault="005F57F3" w:rsidP="00346F25">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w:t>
            </w:r>
            <w:r w:rsidRPr="006774D3">
              <w:rPr>
                <w:rFonts w:ascii="Times New Roman" w:hAnsi="Times New Roman"/>
                <w:i/>
                <w:color w:val="000000"/>
                <w:sz w:val="22"/>
                <w:szCs w:val="22"/>
              </w:rPr>
              <w:t>de novo</w:t>
            </w:r>
            <w:r w:rsidRPr="006774D3">
              <w:rPr>
                <w:rFonts w:ascii="Times New Roman" w:hAnsi="Times New Roman"/>
                <w:color w:val="000000"/>
                <w:sz w:val="22"/>
                <w:szCs w:val="22"/>
              </w:rPr>
              <w:t xml:space="preserve"> Ph+ ALL)</w:t>
            </w:r>
          </w:p>
        </w:tc>
        <w:tc>
          <w:tcPr>
            <w:tcW w:w="6946" w:type="dxa"/>
            <w:gridSpan w:val="4"/>
            <w:tcBorders>
              <w:top w:val="single" w:sz="4" w:space="0" w:color="auto"/>
              <w:bottom w:val="single" w:sz="4" w:space="0" w:color="auto"/>
            </w:tcBorders>
          </w:tcPr>
          <w:p w14:paraId="05B8B362" w14:textId="77777777" w:rsidR="002572E2" w:rsidRPr="006774D3" w:rsidRDefault="005F57F3" w:rsidP="00346F25">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1.000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/12 klst. i.v.(3 klst.), daga 1</w:t>
            </w:r>
            <w:r w:rsidRPr="006774D3">
              <w:rPr>
                <w:rFonts w:ascii="Times New Roman" w:hAnsi="Times New Roman"/>
                <w:color w:val="000000"/>
                <w:sz w:val="22"/>
                <w:szCs w:val="22"/>
              </w:rPr>
              <w:noBreakHyphen/>
              <w:t>4;</w:t>
            </w:r>
          </w:p>
          <w:p w14:paraId="05B8B363" w14:textId="77777777" w:rsidR="002572E2" w:rsidRPr="006774D3" w:rsidRDefault="002572E2" w:rsidP="00346F25">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w:t>
            </w:r>
            <w:r w:rsidR="005F57F3" w:rsidRPr="006774D3">
              <w:rPr>
                <w:rFonts w:ascii="Times New Roman" w:hAnsi="Times New Roman"/>
                <w:color w:val="000000"/>
                <w:sz w:val="22"/>
                <w:szCs w:val="22"/>
              </w:rPr>
              <w:t>itoxantron 10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daga 3</w:t>
            </w:r>
            <w:r w:rsidR="005F57F3" w:rsidRPr="006774D3">
              <w:rPr>
                <w:rFonts w:ascii="Times New Roman" w:hAnsi="Times New Roman"/>
                <w:color w:val="000000"/>
                <w:sz w:val="22"/>
                <w:szCs w:val="22"/>
              </w:rPr>
              <w:noBreakHyphen/>
              <w:t>5;</w:t>
            </w:r>
          </w:p>
          <w:p w14:paraId="05B8B364" w14:textId="77777777" w:rsidR="002572E2" w:rsidRPr="006774D3" w:rsidRDefault="005F57F3" w:rsidP="00346F25">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 1;</w:t>
            </w:r>
          </w:p>
          <w:p w14:paraId="05B8B365" w14:textId="77777777" w:rsidR="005F57F3" w:rsidRPr="006774D3" w:rsidRDefault="002572E2" w:rsidP="00346F25">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w:t>
            </w:r>
            <w:r w:rsidR="005F57F3" w:rsidRPr="006774D3">
              <w:rPr>
                <w:rFonts w:ascii="Times New Roman" w:hAnsi="Times New Roman"/>
                <w:color w:val="000000"/>
                <w:sz w:val="22"/>
                <w:szCs w:val="22"/>
              </w:rPr>
              <w:t>etylprednisolon 40 mg í mænuvökva, dag 1</w:t>
            </w:r>
          </w:p>
        </w:tc>
      </w:tr>
      <w:tr w:rsidR="005F57F3" w:rsidRPr="006774D3" w14:paraId="05B8B36B" w14:textId="77777777" w:rsidTr="00364D11">
        <w:trPr>
          <w:cantSplit/>
        </w:trPr>
        <w:tc>
          <w:tcPr>
            <w:tcW w:w="4800" w:type="dxa"/>
            <w:gridSpan w:val="2"/>
            <w:tcBorders>
              <w:top w:val="single" w:sz="4" w:space="0" w:color="auto"/>
              <w:bottom w:val="single" w:sz="4" w:space="0" w:color="auto"/>
            </w:tcBorders>
          </w:tcPr>
          <w:p w14:paraId="05B8B367" w14:textId="77777777" w:rsidR="005F57F3" w:rsidRPr="006774D3" w:rsidRDefault="005F57F3" w:rsidP="00346F25">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lastRenderedPageBreak/>
              <w:t>Rannsókn ADE04</w:t>
            </w:r>
          </w:p>
        </w:tc>
        <w:tc>
          <w:tcPr>
            <w:tcW w:w="1080" w:type="dxa"/>
            <w:tcBorders>
              <w:top w:val="single" w:sz="4" w:space="0" w:color="auto"/>
              <w:bottom w:val="single" w:sz="4" w:space="0" w:color="auto"/>
            </w:tcBorders>
          </w:tcPr>
          <w:p w14:paraId="05B8B368" w14:textId="77777777" w:rsidR="005F57F3" w:rsidRPr="006774D3" w:rsidRDefault="005F57F3" w:rsidP="00346F25">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369" w14:textId="77777777" w:rsidR="005F57F3" w:rsidRPr="006774D3" w:rsidRDefault="005F57F3" w:rsidP="00346F25">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36A" w14:textId="77777777" w:rsidR="005F57F3" w:rsidRPr="006774D3" w:rsidRDefault="005F57F3" w:rsidP="00346F25">
            <w:pPr>
              <w:pStyle w:val="Table"/>
              <w:keepLines w:val="0"/>
              <w:spacing w:before="0" w:after="0"/>
              <w:rPr>
                <w:rFonts w:ascii="Times New Roman" w:hAnsi="Times New Roman"/>
                <w:color w:val="000000"/>
                <w:sz w:val="22"/>
                <w:szCs w:val="22"/>
              </w:rPr>
            </w:pPr>
          </w:p>
        </w:tc>
      </w:tr>
      <w:tr w:rsidR="005F57F3" w:rsidRPr="006774D3" w14:paraId="05B8B370" w14:textId="77777777" w:rsidTr="00364D11">
        <w:trPr>
          <w:cantSplit/>
        </w:trPr>
        <w:tc>
          <w:tcPr>
            <w:tcW w:w="2148" w:type="dxa"/>
            <w:tcBorders>
              <w:top w:val="single" w:sz="4" w:space="0" w:color="auto"/>
              <w:bottom w:val="single" w:sz="4" w:space="0" w:color="auto"/>
            </w:tcBorders>
          </w:tcPr>
          <w:p w14:paraId="05B8B36C"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Forkafli</w:t>
            </w:r>
          </w:p>
        </w:tc>
        <w:tc>
          <w:tcPr>
            <w:tcW w:w="6946" w:type="dxa"/>
            <w:gridSpan w:val="4"/>
            <w:tcBorders>
              <w:top w:val="single" w:sz="4" w:space="0" w:color="auto"/>
              <w:bottom w:val="single" w:sz="4" w:space="0" w:color="auto"/>
            </w:tcBorders>
          </w:tcPr>
          <w:p w14:paraId="05B8B36D"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36E"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200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3</w:t>
            </w:r>
            <w:r w:rsidRPr="006774D3">
              <w:rPr>
                <w:rFonts w:ascii="Times New Roman" w:hAnsi="Times New Roman"/>
                <w:color w:val="000000"/>
                <w:sz w:val="22"/>
                <w:szCs w:val="22"/>
              </w:rPr>
              <w:noBreakHyphen/>
              <w:t>5;</w:t>
            </w:r>
          </w:p>
          <w:p w14:paraId="05B8B36F"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 1</w:t>
            </w:r>
          </w:p>
        </w:tc>
      </w:tr>
      <w:tr w:rsidR="005F57F3" w:rsidRPr="006774D3" w14:paraId="05B8B375" w14:textId="77777777" w:rsidTr="00364D11">
        <w:trPr>
          <w:cantSplit/>
        </w:trPr>
        <w:tc>
          <w:tcPr>
            <w:tcW w:w="2148" w:type="dxa"/>
            <w:tcBorders>
              <w:top w:val="single" w:sz="4" w:space="0" w:color="auto"/>
              <w:bottom w:val="single" w:sz="4" w:space="0" w:color="auto"/>
            </w:tcBorders>
          </w:tcPr>
          <w:p w14:paraId="05B8B371"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I</w:t>
            </w:r>
          </w:p>
        </w:tc>
        <w:tc>
          <w:tcPr>
            <w:tcW w:w="6946" w:type="dxa"/>
            <w:gridSpan w:val="4"/>
            <w:tcBorders>
              <w:top w:val="single" w:sz="4" w:space="0" w:color="auto"/>
              <w:bottom w:val="single" w:sz="4" w:space="0" w:color="auto"/>
            </w:tcBorders>
          </w:tcPr>
          <w:p w14:paraId="05B8B372"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373"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i.v., daga 6, 13, 20;</w:t>
            </w:r>
          </w:p>
          <w:p w14:paraId="05B8B374" w14:textId="77777777" w:rsidR="005F57F3" w:rsidRPr="006774D3" w:rsidRDefault="002572E2"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w:t>
            </w:r>
            <w:r w:rsidR="005F57F3" w:rsidRPr="006774D3">
              <w:rPr>
                <w:rFonts w:ascii="Times New Roman" w:hAnsi="Times New Roman"/>
                <w:color w:val="000000"/>
                <w:sz w:val="22"/>
                <w:szCs w:val="22"/>
              </w:rPr>
              <w:t>aunorubicin 45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daga 6</w:t>
            </w:r>
            <w:r w:rsidR="005F57F3" w:rsidRPr="006774D3">
              <w:rPr>
                <w:rFonts w:ascii="Times New Roman" w:hAnsi="Times New Roman"/>
                <w:color w:val="000000"/>
                <w:sz w:val="22"/>
                <w:szCs w:val="22"/>
              </w:rPr>
              <w:noBreakHyphen/>
              <w:t>7, 13</w:t>
            </w:r>
            <w:r w:rsidR="005F57F3" w:rsidRPr="006774D3">
              <w:rPr>
                <w:rFonts w:ascii="Times New Roman" w:hAnsi="Times New Roman"/>
                <w:color w:val="000000"/>
                <w:sz w:val="22"/>
                <w:szCs w:val="22"/>
              </w:rPr>
              <w:noBreakHyphen/>
              <w:t>14</w:t>
            </w:r>
          </w:p>
        </w:tc>
      </w:tr>
      <w:tr w:rsidR="005F57F3" w:rsidRPr="006774D3" w14:paraId="05B8B37A" w14:textId="77777777" w:rsidTr="00364D11">
        <w:trPr>
          <w:cantSplit/>
        </w:trPr>
        <w:tc>
          <w:tcPr>
            <w:tcW w:w="2148" w:type="dxa"/>
            <w:tcBorders>
              <w:top w:val="single" w:sz="4" w:space="0" w:color="auto"/>
              <w:bottom w:val="single" w:sz="4" w:space="0" w:color="auto"/>
            </w:tcBorders>
          </w:tcPr>
          <w:p w14:paraId="05B8B376"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II</w:t>
            </w:r>
          </w:p>
        </w:tc>
        <w:tc>
          <w:tcPr>
            <w:tcW w:w="6946" w:type="dxa"/>
            <w:gridSpan w:val="4"/>
            <w:tcBorders>
              <w:top w:val="single" w:sz="4" w:space="0" w:color="auto"/>
              <w:bottom w:val="single" w:sz="4" w:space="0" w:color="auto"/>
            </w:tcBorders>
          </w:tcPr>
          <w:p w14:paraId="05B8B377"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26, 46;</w:t>
            </w:r>
          </w:p>
          <w:p w14:paraId="05B8B378" w14:textId="77777777" w:rsidR="002572E2"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75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28</w:t>
            </w:r>
            <w:r w:rsidRPr="006774D3">
              <w:rPr>
                <w:rFonts w:ascii="Times New Roman" w:hAnsi="Times New Roman"/>
                <w:color w:val="000000"/>
                <w:sz w:val="22"/>
                <w:szCs w:val="22"/>
              </w:rPr>
              <w:noBreakHyphen/>
              <w:t>31, 35</w:t>
            </w:r>
            <w:r w:rsidRPr="006774D3">
              <w:rPr>
                <w:rFonts w:ascii="Times New Roman" w:hAnsi="Times New Roman"/>
                <w:color w:val="000000"/>
                <w:sz w:val="22"/>
                <w:szCs w:val="22"/>
              </w:rPr>
              <w:noBreakHyphen/>
              <w:t>38, 42</w:t>
            </w:r>
            <w:r w:rsidRPr="006774D3">
              <w:rPr>
                <w:rFonts w:ascii="Times New Roman" w:hAnsi="Times New Roman"/>
                <w:color w:val="000000"/>
                <w:sz w:val="22"/>
                <w:szCs w:val="22"/>
              </w:rPr>
              <w:noBreakHyphen/>
              <w:t>45;</w:t>
            </w:r>
          </w:p>
          <w:p w14:paraId="05B8B379" w14:textId="77777777" w:rsidR="005F57F3" w:rsidRPr="006774D3" w:rsidRDefault="005F57F3" w:rsidP="00346F25">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6</w:t>
            </w:r>
            <w:r w:rsidRPr="006774D3">
              <w:rPr>
                <w:rFonts w:ascii="Times New Roman" w:hAnsi="Times New Roman"/>
                <w:color w:val="000000"/>
                <w:sz w:val="22"/>
                <w:szCs w:val="22"/>
              </w:rPr>
              <w:noBreakHyphen/>
              <w:t>MP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26</w:t>
            </w:r>
            <w:r w:rsidRPr="006774D3">
              <w:rPr>
                <w:rFonts w:ascii="Times New Roman" w:hAnsi="Times New Roman"/>
                <w:color w:val="000000"/>
                <w:sz w:val="22"/>
                <w:szCs w:val="22"/>
              </w:rPr>
              <w:noBreakHyphen/>
              <w:t>46</w:t>
            </w:r>
          </w:p>
        </w:tc>
      </w:tr>
      <w:tr w:rsidR="005F57F3" w:rsidRPr="006774D3" w14:paraId="05B8B381" w14:textId="77777777" w:rsidTr="00364D11">
        <w:trPr>
          <w:cantSplit/>
        </w:trPr>
        <w:tc>
          <w:tcPr>
            <w:tcW w:w="2148" w:type="dxa"/>
            <w:tcBorders>
              <w:top w:val="nil"/>
              <w:bottom w:val="single" w:sz="4" w:space="0" w:color="auto"/>
            </w:tcBorders>
          </w:tcPr>
          <w:p w14:paraId="05B8B37B" w14:textId="77777777" w:rsidR="005F57F3"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w:t>
            </w:r>
          </w:p>
        </w:tc>
        <w:tc>
          <w:tcPr>
            <w:tcW w:w="6946" w:type="dxa"/>
            <w:gridSpan w:val="4"/>
            <w:tcBorders>
              <w:top w:val="nil"/>
              <w:bottom w:val="single" w:sz="4" w:space="0" w:color="auto"/>
            </w:tcBorders>
          </w:tcPr>
          <w:p w14:paraId="05B8B37C" w14:textId="77777777" w:rsidR="002572E2"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37D" w14:textId="77777777" w:rsidR="002572E2" w:rsidRPr="006774D3" w:rsidRDefault="002572E2"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w:t>
            </w:r>
            <w:r w:rsidR="005F57F3" w:rsidRPr="006774D3">
              <w:rPr>
                <w:rFonts w:ascii="Times New Roman" w:hAnsi="Times New Roman"/>
                <w:color w:val="000000"/>
                <w:sz w:val="22"/>
                <w:szCs w:val="22"/>
              </w:rPr>
              <w:t>indesin 3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dag 1;</w:t>
            </w:r>
          </w:p>
          <w:p w14:paraId="05B8B37E" w14:textId="77777777" w:rsidR="002572E2"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w:t>
            </w:r>
          </w:p>
          <w:p w14:paraId="05B8B37F" w14:textId="77777777" w:rsidR="002572E2" w:rsidRPr="006774D3" w:rsidRDefault="002572E2"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E</w:t>
            </w:r>
            <w:r w:rsidR="005F57F3" w:rsidRPr="006774D3">
              <w:rPr>
                <w:rFonts w:ascii="Times New Roman" w:hAnsi="Times New Roman"/>
                <w:color w:val="000000"/>
                <w:sz w:val="22"/>
                <w:szCs w:val="22"/>
              </w:rPr>
              <w:t>toposid 250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(1 klst.) daga 4</w:t>
            </w:r>
            <w:r w:rsidR="005F57F3" w:rsidRPr="006774D3">
              <w:rPr>
                <w:rFonts w:ascii="Times New Roman" w:hAnsi="Times New Roman"/>
                <w:color w:val="000000"/>
                <w:sz w:val="22"/>
                <w:szCs w:val="22"/>
              </w:rPr>
              <w:noBreakHyphen/>
              <w:t>5;</w:t>
            </w:r>
          </w:p>
          <w:p w14:paraId="05B8B380" w14:textId="77777777" w:rsidR="005F57F3" w:rsidRPr="006774D3" w:rsidRDefault="005F57F3"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2 x 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með 12 klst. millibili), dag 5</w:t>
            </w:r>
          </w:p>
        </w:tc>
      </w:tr>
      <w:tr w:rsidR="005F57F3" w:rsidRPr="006774D3" w14:paraId="05B8B387" w14:textId="77777777" w:rsidTr="00364D11">
        <w:trPr>
          <w:cantSplit/>
        </w:trPr>
        <w:tc>
          <w:tcPr>
            <w:tcW w:w="2148" w:type="dxa"/>
            <w:tcBorders>
              <w:top w:val="nil"/>
              <w:bottom w:val="single" w:sz="4" w:space="0" w:color="auto"/>
            </w:tcBorders>
          </w:tcPr>
          <w:p w14:paraId="05B8B382" w14:textId="77777777" w:rsidR="005F57F3" w:rsidRPr="006774D3" w:rsidRDefault="005F57F3" w:rsidP="00632D98">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t>Rannsókn AJP01</w:t>
            </w:r>
          </w:p>
        </w:tc>
        <w:tc>
          <w:tcPr>
            <w:tcW w:w="2652" w:type="dxa"/>
            <w:tcBorders>
              <w:top w:val="nil"/>
              <w:bottom w:val="single" w:sz="4" w:space="0" w:color="auto"/>
            </w:tcBorders>
          </w:tcPr>
          <w:p w14:paraId="05B8B383" w14:textId="77777777" w:rsidR="005F57F3" w:rsidRPr="006774D3" w:rsidRDefault="005F57F3" w:rsidP="00632D98">
            <w:pPr>
              <w:pStyle w:val="Table"/>
              <w:keepLines w:val="0"/>
              <w:spacing w:before="0" w:after="0"/>
              <w:rPr>
                <w:rFonts w:ascii="Times New Roman" w:hAnsi="Times New Roman"/>
                <w:color w:val="000000"/>
                <w:sz w:val="22"/>
                <w:szCs w:val="22"/>
              </w:rPr>
            </w:pPr>
          </w:p>
        </w:tc>
        <w:tc>
          <w:tcPr>
            <w:tcW w:w="1080" w:type="dxa"/>
            <w:tcBorders>
              <w:top w:val="nil"/>
              <w:bottom w:val="single" w:sz="4" w:space="0" w:color="auto"/>
            </w:tcBorders>
          </w:tcPr>
          <w:p w14:paraId="05B8B384" w14:textId="77777777" w:rsidR="005F57F3" w:rsidRPr="006774D3" w:rsidRDefault="005F57F3" w:rsidP="00632D98">
            <w:pPr>
              <w:pStyle w:val="Table"/>
              <w:keepLines w:val="0"/>
              <w:spacing w:before="0" w:after="0"/>
              <w:rPr>
                <w:rFonts w:ascii="Times New Roman" w:hAnsi="Times New Roman"/>
                <w:color w:val="000000"/>
                <w:sz w:val="22"/>
                <w:szCs w:val="22"/>
              </w:rPr>
            </w:pPr>
          </w:p>
        </w:tc>
        <w:tc>
          <w:tcPr>
            <w:tcW w:w="1380" w:type="dxa"/>
            <w:tcBorders>
              <w:top w:val="nil"/>
              <w:bottom w:val="single" w:sz="4" w:space="0" w:color="auto"/>
            </w:tcBorders>
          </w:tcPr>
          <w:p w14:paraId="05B8B385" w14:textId="77777777" w:rsidR="005F57F3" w:rsidRPr="006774D3" w:rsidRDefault="005F57F3" w:rsidP="00632D98">
            <w:pPr>
              <w:pStyle w:val="Table"/>
              <w:keepLines w:val="0"/>
              <w:spacing w:before="0" w:after="0"/>
              <w:rPr>
                <w:rFonts w:ascii="Times New Roman" w:hAnsi="Times New Roman"/>
                <w:color w:val="000000"/>
                <w:sz w:val="22"/>
                <w:szCs w:val="22"/>
              </w:rPr>
            </w:pPr>
          </w:p>
        </w:tc>
        <w:tc>
          <w:tcPr>
            <w:tcW w:w="1834" w:type="dxa"/>
            <w:tcBorders>
              <w:top w:val="nil"/>
              <w:bottom w:val="single" w:sz="4" w:space="0" w:color="auto"/>
            </w:tcBorders>
          </w:tcPr>
          <w:p w14:paraId="05B8B386" w14:textId="77777777" w:rsidR="005F57F3" w:rsidRPr="006774D3" w:rsidRDefault="005F57F3" w:rsidP="00632D98">
            <w:pPr>
              <w:pStyle w:val="Table"/>
              <w:keepLines w:val="0"/>
              <w:spacing w:before="0" w:after="0"/>
              <w:rPr>
                <w:rFonts w:ascii="Times New Roman" w:hAnsi="Times New Roman"/>
                <w:color w:val="000000"/>
                <w:sz w:val="22"/>
                <w:szCs w:val="22"/>
              </w:rPr>
            </w:pPr>
          </w:p>
        </w:tc>
      </w:tr>
      <w:tr w:rsidR="005F57F3" w:rsidRPr="006774D3" w14:paraId="05B8B38D" w14:textId="77777777" w:rsidTr="00364D11">
        <w:trPr>
          <w:cantSplit/>
        </w:trPr>
        <w:tc>
          <w:tcPr>
            <w:tcW w:w="2148" w:type="dxa"/>
            <w:tcBorders>
              <w:top w:val="nil"/>
              <w:bottom w:val="single" w:sz="4" w:space="0" w:color="auto"/>
            </w:tcBorders>
          </w:tcPr>
          <w:p w14:paraId="05B8B388" w14:textId="77777777" w:rsidR="005F57F3" w:rsidRPr="006774D3" w:rsidRDefault="005F57F3" w:rsidP="00632D98">
            <w:pPr>
              <w:pStyle w:val="Table"/>
              <w:keepLines w:val="0"/>
              <w:spacing w:before="0" w:after="0"/>
              <w:jc w:val="both"/>
              <w:rPr>
                <w:rFonts w:ascii="Times New Roman" w:hAnsi="Times New Roman"/>
                <w:color w:val="000000"/>
                <w:sz w:val="22"/>
                <w:szCs w:val="22"/>
              </w:rPr>
            </w:pPr>
            <w:r w:rsidRPr="006774D3">
              <w:rPr>
                <w:rFonts w:ascii="Times New Roman" w:hAnsi="Times New Roman"/>
                <w:color w:val="000000"/>
                <w:sz w:val="22"/>
                <w:szCs w:val="22"/>
              </w:rPr>
              <w:t>Innleiðslumeðferð</w:t>
            </w:r>
          </w:p>
        </w:tc>
        <w:tc>
          <w:tcPr>
            <w:tcW w:w="6946" w:type="dxa"/>
            <w:gridSpan w:val="4"/>
            <w:tcBorders>
              <w:top w:val="nil"/>
              <w:bottom w:val="single" w:sz="4" w:space="0" w:color="auto"/>
            </w:tcBorders>
          </w:tcPr>
          <w:p w14:paraId="05B8B389" w14:textId="77777777" w:rsidR="002572E2" w:rsidRPr="006774D3" w:rsidRDefault="005F57F3" w:rsidP="00632D98">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1,2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dag 1;</w:t>
            </w:r>
          </w:p>
          <w:p w14:paraId="05B8B38A" w14:textId="77777777" w:rsidR="002572E2" w:rsidRPr="006774D3" w:rsidRDefault="002572E2" w:rsidP="00632D98">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w:t>
            </w:r>
            <w:r w:rsidR="005F57F3" w:rsidRPr="006774D3">
              <w:rPr>
                <w:rFonts w:ascii="Times New Roman" w:hAnsi="Times New Roman"/>
                <w:color w:val="000000"/>
                <w:sz w:val="22"/>
                <w:szCs w:val="22"/>
              </w:rPr>
              <w:t>aunorubicin 60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(1 klst.), daga 1</w:t>
            </w:r>
            <w:r w:rsidR="005F57F3" w:rsidRPr="006774D3">
              <w:rPr>
                <w:rFonts w:ascii="Times New Roman" w:hAnsi="Times New Roman"/>
                <w:color w:val="000000"/>
                <w:sz w:val="22"/>
                <w:szCs w:val="22"/>
              </w:rPr>
              <w:noBreakHyphen/>
              <w:t>3;</w:t>
            </w:r>
          </w:p>
          <w:p w14:paraId="05B8B38B" w14:textId="77777777" w:rsidR="002572E2" w:rsidRPr="006774D3" w:rsidRDefault="002572E2" w:rsidP="00632D98">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w:t>
            </w:r>
            <w:r w:rsidR="005F57F3" w:rsidRPr="006774D3">
              <w:rPr>
                <w:rFonts w:ascii="Times New Roman" w:hAnsi="Times New Roman"/>
                <w:color w:val="000000"/>
                <w:sz w:val="22"/>
                <w:szCs w:val="22"/>
              </w:rPr>
              <w:t>incristin 1,3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daga 1, 8, 15, 21;</w:t>
            </w:r>
          </w:p>
          <w:p w14:paraId="05B8B38C" w14:textId="77777777" w:rsidR="005F57F3" w:rsidRPr="006774D3" w:rsidRDefault="002572E2" w:rsidP="00632D98">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w:t>
            </w:r>
            <w:r w:rsidR="005F57F3" w:rsidRPr="006774D3">
              <w:rPr>
                <w:rFonts w:ascii="Times New Roman" w:hAnsi="Times New Roman"/>
                <w:color w:val="000000"/>
                <w:sz w:val="22"/>
                <w:szCs w:val="22"/>
              </w:rPr>
              <w:t>rednisolon 60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/dag til inntöku</w:t>
            </w:r>
          </w:p>
        </w:tc>
      </w:tr>
      <w:tr w:rsidR="005F57F3" w:rsidRPr="006774D3" w14:paraId="05B8B390" w14:textId="77777777" w:rsidTr="00364D11">
        <w:trPr>
          <w:cantSplit/>
        </w:trPr>
        <w:tc>
          <w:tcPr>
            <w:tcW w:w="2148" w:type="dxa"/>
            <w:tcBorders>
              <w:top w:val="single" w:sz="4" w:space="0" w:color="auto"/>
              <w:bottom w:val="single" w:sz="4" w:space="0" w:color="auto"/>
            </w:tcBorders>
          </w:tcPr>
          <w:p w14:paraId="05B8B38E" w14:textId="77777777" w:rsidR="005F57F3" w:rsidRPr="006774D3" w:rsidRDefault="005F57F3" w:rsidP="00632D98">
            <w:pPr>
              <w:pStyle w:val="Table"/>
              <w:keepLines w:val="0"/>
              <w:tabs>
                <w:tab w:val="left" w:pos="0"/>
              </w:tabs>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w:t>
            </w:r>
          </w:p>
        </w:tc>
        <w:tc>
          <w:tcPr>
            <w:tcW w:w="6946" w:type="dxa"/>
            <w:gridSpan w:val="4"/>
            <w:tcBorders>
              <w:top w:val="single" w:sz="4" w:space="0" w:color="auto"/>
              <w:bottom w:val="single" w:sz="4" w:space="0" w:color="auto"/>
            </w:tcBorders>
          </w:tcPr>
          <w:p w14:paraId="05B8B38F" w14:textId="77777777" w:rsidR="005F57F3" w:rsidRPr="006774D3" w:rsidRDefault="005F57F3" w:rsidP="00632D98">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Meðferðir þar sem krabbameinslyf eru gefin til skiptis (alternating chemotherapy course): Háskammtakrabbameinslyfjameðferð með MTX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 og Ara</w:t>
            </w:r>
            <w:r w:rsidRPr="006774D3">
              <w:rPr>
                <w:rFonts w:ascii="Times New Roman" w:hAnsi="Times New Roman"/>
                <w:color w:val="000000"/>
                <w:sz w:val="22"/>
                <w:szCs w:val="22"/>
              </w:rPr>
              <w:noBreakHyphen/>
              <w:t>C 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(með 12 klst. millibili), daga 2</w:t>
            </w:r>
            <w:r w:rsidRPr="006774D3">
              <w:rPr>
                <w:rFonts w:ascii="Times New Roman" w:hAnsi="Times New Roman"/>
                <w:color w:val="000000"/>
                <w:sz w:val="22"/>
                <w:szCs w:val="22"/>
              </w:rPr>
              <w:noBreakHyphen/>
              <w:t>3, í 4 meðferðarkafla</w:t>
            </w:r>
          </w:p>
        </w:tc>
      </w:tr>
      <w:tr w:rsidR="005F57F3" w:rsidRPr="006774D3" w14:paraId="05B8B394" w14:textId="77777777" w:rsidTr="00364D11">
        <w:trPr>
          <w:cantSplit/>
        </w:trPr>
        <w:tc>
          <w:tcPr>
            <w:tcW w:w="2148" w:type="dxa"/>
            <w:tcBorders>
              <w:top w:val="single" w:sz="4" w:space="0" w:color="auto"/>
              <w:bottom w:val="single" w:sz="4" w:space="0" w:color="auto"/>
            </w:tcBorders>
          </w:tcPr>
          <w:p w14:paraId="05B8B391" w14:textId="77777777" w:rsidR="005F57F3" w:rsidRPr="006774D3" w:rsidRDefault="005F57F3" w:rsidP="00632D98">
            <w:pPr>
              <w:pStyle w:val="Table"/>
              <w:keepNext w:val="0"/>
              <w:keepLines w:val="0"/>
              <w:tabs>
                <w:tab w:val="left" w:pos="0"/>
              </w:tabs>
              <w:spacing w:before="0" w:after="0"/>
              <w:rPr>
                <w:rFonts w:ascii="Times New Roman" w:hAnsi="Times New Roman"/>
                <w:color w:val="000000"/>
                <w:sz w:val="22"/>
                <w:szCs w:val="22"/>
              </w:rPr>
            </w:pPr>
            <w:r w:rsidRPr="006774D3">
              <w:rPr>
                <w:rFonts w:ascii="Times New Roman" w:hAnsi="Times New Roman"/>
                <w:color w:val="000000"/>
                <w:sz w:val="22"/>
                <w:szCs w:val="22"/>
              </w:rPr>
              <w:t>Viðhaldsmeðferð</w:t>
            </w:r>
          </w:p>
        </w:tc>
        <w:tc>
          <w:tcPr>
            <w:tcW w:w="6946" w:type="dxa"/>
            <w:gridSpan w:val="4"/>
            <w:tcBorders>
              <w:top w:val="single" w:sz="4" w:space="0" w:color="auto"/>
              <w:bottom w:val="single" w:sz="4" w:space="0" w:color="auto"/>
            </w:tcBorders>
          </w:tcPr>
          <w:p w14:paraId="05B8B392" w14:textId="77777777" w:rsidR="002572E2" w:rsidRPr="006774D3" w:rsidRDefault="005F57F3" w:rsidP="00632D98">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1,3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 1;</w:t>
            </w:r>
          </w:p>
          <w:p w14:paraId="05B8B393" w14:textId="77777777" w:rsidR="005F57F3" w:rsidRPr="006774D3" w:rsidRDefault="002572E2" w:rsidP="00632D98">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w:t>
            </w:r>
            <w:r w:rsidR="005F57F3" w:rsidRPr="006774D3">
              <w:rPr>
                <w:rFonts w:ascii="Times New Roman" w:hAnsi="Times New Roman"/>
                <w:color w:val="000000"/>
                <w:sz w:val="22"/>
                <w:szCs w:val="22"/>
              </w:rPr>
              <w:t>rednisolon 60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til inntöku, daga 1</w:t>
            </w:r>
            <w:r w:rsidR="005F57F3" w:rsidRPr="006774D3">
              <w:rPr>
                <w:rFonts w:ascii="Times New Roman" w:hAnsi="Times New Roman"/>
                <w:color w:val="000000"/>
                <w:sz w:val="22"/>
                <w:szCs w:val="22"/>
              </w:rPr>
              <w:noBreakHyphen/>
              <w:t>5</w:t>
            </w:r>
          </w:p>
        </w:tc>
      </w:tr>
      <w:tr w:rsidR="005F57F3" w:rsidRPr="006774D3" w14:paraId="05B8B399" w14:textId="77777777" w:rsidTr="00364D11">
        <w:trPr>
          <w:cantSplit/>
        </w:trPr>
        <w:tc>
          <w:tcPr>
            <w:tcW w:w="4800" w:type="dxa"/>
            <w:gridSpan w:val="2"/>
            <w:tcBorders>
              <w:top w:val="single" w:sz="4" w:space="0" w:color="auto"/>
              <w:bottom w:val="single" w:sz="4" w:space="0" w:color="auto"/>
            </w:tcBorders>
          </w:tcPr>
          <w:p w14:paraId="05B8B395"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b/>
                <w:color w:val="000000"/>
                <w:sz w:val="22"/>
                <w:szCs w:val="22"/>
              </w:rPr>
              <w:t>Rannsókn AUS01</w:t>
            </w:r>
          </w:p>
        </w:tc>
        <w:tc>
          <w:tcPr>
            <w:tcW w:w="1080" w:type="dxa"/>
            <w:tcBorders>
              <w:top w:val="single" w:sz="4" w:space="0" w:color="auto"/>
              <w:bottom w:val="single" w:sz="4" w:space="0" w:color="auto"/>
            </w:tcBorders>
          </w:tcPr>
          <w:p w14:paraId="05B8B396" w14:textId="77777777" w:rsidR="005F57F3" w:rsidRPr="006774D3" w:rsidRDefault="005F57F3" w:rsidP="00F77C66">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397" w14:textId="77777777" w:rsidR="005F57F3" w:rsidRPr="006774D3" w:rsidRDefault="005F57F3" w:rsidP="00F77C66">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398" w14:textId="77777777" w:rsidR="005F57F3" w:rsidRPr="006774D3" w:rsidRDefault="005F57F3" w:rsidP="00F77C66">
            <w:pPr>
              <w:pStyle w:val="Table"/>
              <w:keepLines w:val="0"/>
              <w:spacing w:before="0" w:after="0"/>
              <w:rPr>
                <w:rFonts w:ascii="Times New Roman" w:hAnsi="Times New Roman"/>
                <w:color w:val="000000"/>
                <w:sz w:val="22"/>
                <w:szCs w:val="22"/>
              </w:rPr>
            </w:pPr>
          </w:p>
        </w:tc>
      </w:tr>
      <w:tr w:rsidR="005F57F3" w:rsidRPr="006774D3" w14:paraId="05B8B39F" w14:textId="77777777" w:rsidTr="00364D11">
        <w:trPr>
          <w:cantSplit/>
        </w:trPr>
        <w:tc>
          <w:tcPr>
            <w:tcW w:w="2148" w:type="dxa"/>
            <w:tcBorders>
              <w:top w:val="single" w:sz="4" w:space="0" w:color="auto"/>
              <w:bottom w:val="single" w:sz="4" w:space="0" w:color="auto"/>
            </w:tcBorders>
          </w:tcPr>
          <w:p w14:paraId="05B8B39A"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 upprætingarmeðferð </w:t>
            </w:r>
          </w:p>
        </w:tc>
        <w:tc>
          <w:tcPr>
            <w:tcW w:w="6946" w:type="dxa"/>
            <w:gridSpan w:val="4"/>
            <w:tcBorders>
              <w:top w:val="single" w:sz="4" w:space="0" w:color="auto"/>
              <w:bottom w:val="single" w:sz="4" w:space="0" w:color="auto"/>
            </w:tcBorders>
          </w:tcPr>
          <w:p w14:paraId="05B8B39B"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Ofur</w:t>
            </w:r>
            <w:r w:rsidRPr="006774D3">
              <w:rPr>
                <w:rFonts w:ascii="Times New Roman" w:hAnsi="Times New Roman"/>
                <w:color w:val="000000"/>
                <w:sz w:val="22"/>
                <w:szCs w:val="22"/>
              </w:rPr>
              <w:noBreakHyphen/>
              <w:t>CVAD</w:t>
            </w:r>
            <w:r w:rsidRPr="006774D3">
              <w:rPr>
                <w:rFonts w:ascii="Times New Roman" w:hAnsi="Times New Roman"/>
                <w:color w:val="000000"/>
                <w:sz w:val="22"/>
                <w:szCs w:val="22"/>
              </w:rPr>
              <w:noBreakHyphen/>
              <w:t>skömmtun (hyper-CVAD regimen): CP 300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með 12 klst. millibili), daga 1</w:t>
            </w:r>
            <w:r w:rsidRPr="006774D3">
              <w:rPr>
                <w:rFonts w:ascii="Times New Roman" w:hAnsi="Times New Roman"/>
                <w:color w:val="000000"/>
                <w:sz w:val="22"/>
                <w:szCs w:val="22"/>
              </w:rPr>
              <w:noBreakHyphen/>
              <w:t>3;</w:t>
            </w:r>
          </w:p>
          <w:p w14:paraId="05B8B39C" w14:textId="77777777" w:rsidR="002572E2" w:rsidRPr="006774D3" w:rsidRDefault="002572E2"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w:t>
            </w:r>
            <w:r w:rsidR="005F57F3" w:rsidRPr="006774D3">
              <w:rPr>
                <w:rFonts w:ascii="Times New Roman" w:hAnsi="Times New Roman"/>
                <w:color w:val="000000"/>
                <w:sz w:val="22"/>
                <w:szCs w:val="22"/>
              </w:rPr>
              <w:t>incristin 2 mg i.v., daga 4, 11;</w:t>
            </w:r>
          </w:p>
          <w:p w14:paraId="05B8B39D" w14:textId="77777777" w:rsidR="002572E2" w:rsidRPr="006774D3" w:rsidRDefault="002572E2"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w:t>
            </w:r>
            <w:r w:rsidR="005F57F3" w:rsidRPr="006774D3">
              <w:rPr>
                <w:rFonts w:ascii="Times New Roman" w:hAnsi="Times New Roman"/>
                <w:color w:val="000000"/>
                <w:sz w:val="22"/>
                <w:szCs w:val="22"/>
              </w:rPr>
              <w:t>oxorubicin 50 mg/m</w:t>
            </w:r>
            <w:r w:rsidR="005F57F3" w:rsidRPr="006774D3">
              <w:rPr>
                <w:rFonts w:ascii="Times New Roman" w:hAnsi="Times New Roman"/>
                <w:color w:val="000000"/>
                <w:sz w:val="22"/>
                <w:szCs w:val="22"/>
                <w:vertAlign w:val="superscript"/>
              </w:rPr>
              <w:t>2</w:t>
            </w:r>
            <w:r w:rsidR="005F57F3" w:rsidRPr="006774D3">
              <w:rPr>
                <w:rFonts w:ascii="Times New Roman" w:hAnsi="Times New Roman"/>
                <w:color w:val="000000"/>
                <w:sz w:val="22"/>
                <w:szCs w:val="22"/>
              </w:rPr>
              <w:t xml:space="preserve"> i.v. (24 klst.), dag 4;</w:t>
            </w:r>
          </w:p>
          <w:p w14:paraId="05B8B39E"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40 mg/sólarhring daga 1</w:t>
            </w:r>
            <w:r w:rsidRPr="006774D3">
              <w:rPr>
                <w:rFonts w:ascii="Times New Roman" w:hAnsi="Times New Roman"/>
                <w:color w:val="000000"/>
                <w:sz w:val="22"/>
                <w:szCs w:val="22"/>
              </w:rPr>
              <w:noBreakHyphen/>
              <w:t>4 og 11</w:t>
            </w:r>
            <w:r w:rsidRPr="006774D3">
              <w:rPr>
                <w:rFonts w:ascii="Times New Roman" w:hAnsi="Times New Roman"/>
                <w:color w:val="000000"/>
                <w:sz w:val="22"/>
                <w:szCs w:val="22"/>
              </w:rPr>
              <w:noBreakHyphen/>
              <w:t>14, til skiptis við MTX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 Ara</w:t>
            </w:r>
            <w:r w:rsidRPr="006774D3">
              <w:rPr>
                <w:rFonts w:ascii="Times New Roman" w:hAnsi="Times New Roman"/>
                <w:color w:val="000000"/>
                <w:sz w:val="22"/>
                <w:szCs w:val="22"/>
              </w:rPr>
              <w:noBreakHyphen/>
              <w:t>C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 klst., með 12 klst. millibili), daga 2</w:t>
            </w:r>
            <w:r w:rsidRPr="006774D3">
              <w:rPr>
                <w:rFonts w:ascii="Times New Roman" w:hAnsi="Times New Roman"/>
                <w:color w:val="000000"/>
                <w:sz w:val="22"/>
                <w:szCs w:val="22"/>
              </w:rPr>
              <w:noBreakHyphen/>
              <w:t>3 (samtals 8 meðferðarlotur)</w:t>
            </w:r>
          </w:p>
        </w:tc>
      </w:tr>
      <w:tr w:rsidR="005F57F3" w:rsidRPr="006774D3" w14:paraId="05B8B3A3" w14:textId="77777777" w:rsidTr="00364D11">
        <w:trPr>
          <w:cantSplit/>
        </w:trPr>
        <w:tc>
          <w:tcPr>
            <w:tcW w:w="2148" w:type="dxa"/>
            <w:tcBorders>
              <w:top w:val="single" w:sz="4" w:space="0" w:color="auto"/>
              <w:bottom w:val="single" w:sz="4" w:space="0" w:color="auto"/>
            </w:tcBorders>
          </w:tcPr>
          <w:p w14:paraId="05B8B3A0"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Viðhaldsmeðferð</w:t>
            </w:r>
          </w:p>
        </w:tc>
        <w:tc>
          <w:tcPr>
            <w:tcW w:w="6946" w:type="dxa"/>
            <w:gridSpan w:val="4"/>
            <w:tcBorders>
              <w:top w:val="single" w:sz="4" w:space="0" w:color="auto"/>
              <w:bottom w:val="single" w:sz="4" w:space="0" w:color="auto"/>
            </w:tcBorders>
          </w:tcPr>
          <w:p w14:paraId="05B8B3A1" w14:textId="77777777" w:rsidR="002572E2"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i.v. mánaðarlega í 13 mánuði;</w:t>
            </w:r>
          </w:p>
          <w:p w14:paraId="05B8B3A2" w14:textId="77777777" w:rsidR="005F57F3" w:rsidRPr="006774D3" w:rsidRDefault="002572E2"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w:t>
            </w:r>
            <w:r w:rsidR="005F57F3" w:rsidRPr="006774D3">
              <w:rPr>
                <w:rFonts w:ascii="Times New Roman" w:hAnsi="Times New Roman"/>
                <w:color w:val="000000"/>
                <w:sz w:val="22"/>
                <w:szCs w:val="22"/>
              </w:rPr>
              <w:t>rednisolon 200 mg til inntöku, 5 daga í mánuði í 13 mánuði</w:t>
            </w:r>
          </w:p>
        </w:tc>
      </w:tr>
      <w:tr w:rsidR="005F57F3" w:rsidRPr="006774D3" w14:paraId="05B8B3A5" w14:textId="77777777" w:rsidTr="00364D11">
        <w:trPr>
          <w:cantSplit/>
        </w:trPr>
        <w:tc>
          <w:tcPr>
            <w:tcW w:w="9094" w:type="dxa"/>
            <w:gridSpan w:val="5"/>
            <w:tcBorders>
              <w:top w:val="single" w:sz="4" w:space="0" w:color="auto"/>
              <w:bottom w:val="single" w:sz="4" w:space="0" w:color="auto"/>
            </w:tcBorders>
          </w:tcPr>
          <w:p w14:paraId="05B8B3A4" w14:textId="77777777" w:rsidR="005F57F3" w:rsidRPr="006774D3" w:rsidRDefault="005F57F3"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Í öllum meðferðunum voru gefnir sterar til fyrirbyggjandi verkunar hvað varðar miðtaugakerfið.</w:t>
            </w:r>
          </w:p>
        </w:tc>
      </w:tr>
      <w:tr w:rsidR="005F57F3" w:rsidRPr="006774D3" w14:paraId="05B8B3A7" w14:textId="77777777" w:rsidTr="00364D11">
        <w:trPr>
          <w:cantSplit/>
        </w:trPr>
        <w:tc>
          <w:tcPr>
            <w:tcW w:w="9094" w:type="dxa"/>
            <w:gridSpan w:val="5"/>
            <w:tcBorders>
              <w:top w:val="single" w:sz="4" w:space="0" w:color="auto"/>
              <w:bottom w:val="single" w:sz="4" w:space="0" w:color="auto"/>
            </w:tcBorders>
          </w:tcPr>
          <w:p w14:paraId="05B8B3A6" w14:textId="77777777" w:rsidR="005F57F3" w:rsidRPr="006774D3" w:rsidRDefault="005F57F3" w:rsidP="00632D98">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cytosin arabinosid; CP: cyclofosfamid; DEX: dexamethason; MTX: metotrexat; 6</w:t>
            </w:r>
            <w:r w:rsidRPr="006774D3">
              <w:rPr>
                <w:rFonts w:ascii="Times New Roman" w:hAnsi="Times New Roman"/>
                <w:color w:val="000000"/>
                <w:sz w:val="22"/>
                <w:szCs w:val="22"/>
              </w:rPr>
              <w:noBreakHyphen/>
              <w:t>MP: 6</w:t>
            </w:r>
            <w:r w:rsidRPr="006774D3">
              <w:rPr>
                <w:rFonts w:ascii="Times New Roman" w:hAnsi="Times New Roman"/>
                <w:color w:val="000000"/>
                <w:sz w:val="22"/>
                <w:szCs w:val="22"/>
              </w:rPr>
              <w:noBreakHyphen/>
              <w:t>mercaptopurin; VM26: Teniposid; VCR: vincristin; IDA: idarubicin; i.v.: í bláæð.</w:t>
            </w:r>
          </w:p>
        </w:tc>
      </w:tr>
    </w:tbl>
    <w:p w14:paraId="05B8B3A8" w14:textId="77777777" w:rsidR="001973ED" w:rsidRPr="006774D3" w:rsidRDefault="001973ED" w:rsidP="00F77C66">
      <w:pPr>
        <w:widowControl w:val="0"/>
        <w:tabs>
          <w:tab w:val="left" w:pos="567"/>
        </w:tabs>
        <w:rPr>
          <w:color w:val="000000"/>
          <w:sz w:val="22"/>
          <w:szCs w:val="22"/>
        </w:rPr>
      </w:pPr>
    </w:p>
    <w:p w14:paraId="05B8B3A9" w14:textId="77777777" w:rsidR="001973ED" w:rsidRPr="006774D3" w:rsidRDefault="001973ED" w:rsidP="00F77C66">
      <w:pPr>
        <w:widowControl w:val="0"/>
        <w:tabs>
          <w:tab w:val="left" w:pos="567"/>
        </w:tabs>
        <w:rPr>
          <w:color w:val="000000"/>
          <w:sz w:val="22"/>
          <w:szCs w:val="20"/>
        </w:rPr>
      </w:pPr>
      <w:r w:rsidRPr="006774D3">
        <w:rPr>
          <w:i/>
          <w:color w:val="000000"/>
          <w:sz w:val="22"/>
          <w:szCs w:val="20"/>
        </w:rPr>
        <w:t>Börn</w:t>
      </w:r>
      <w:r w:rsidRPr="006774D3">
        <w:rPr>
          <w:color w:val="000000"/>
          <w:sz w:val="22"/>
          <w:szCs w:val="20"/>
        </w:rPr>
        <w:t xml:space="preserve">: Í rannsókn I2301, tóku samtals 93 börn, unglingar og ungir fullorðnir sjúklingar (frá 1 til 22 ára) með </w:t>
      </w:r>
      <w:r w:rsidR="000F0E2C" w:rsidRPr="006774D3">
        <w:rPr>
          <w:color w:val="000000"/>
          <w:sz w:val="22"/>
          <w:szCs w:val="20"/>
        </w:rPr>
        <w:t>Ph+ </w:t>
      </w:r>
      <w:r w:rsidRPr="006774D3">
        <w:rPr>
          <w:color w:val="000000"/>
          <w:sz w:val="22"/>
          <w:szCs w:val="20"/>
        </w:rPr>
        <w:t xml:space="preserve">ALL þátt í opinni, fjölsetra, </w:t>
      </w:r>
      <w:r w:rsidR="00AF7A7E" w:rsidRPr="006774D3">
        <w:rPr>
          <w:color w:val="000000"/>
          <w:sz w:val="22"/>
          <w:szCs w:val="20"/>
        </w:rPr>
        <w:t>óslembaðri, III. stigs hóprannsókn með raðbundinni (sequential) aðferð, og fengu meðferð með Glivec (340 mg/m</w:t>
      </w:r>
      <w:r w:rsidR="00AF7A7E" w:rsidRPr="006774D3">
        <w:rPr>
          <w:color w:val="000000"/>
          <w:sz w:val="22"/>
          <w:szCs w:val="20"/>
          <w:vertAlign w:val="superscript"/>
        </w:rPr>
        <w:t>2</w:t>
      </w:r>
      <w:r w:rsidR="00AF7A7E" w:rsidRPr="006774D3">
        <w:rPr>
          <w:color w:val="000000"/>
          <w:sz w:val="22"/>
          <w:szCs w:val="20"/>
        </w:rPr>
        <w:t xml:space="preserve">/sólarhring) </w:t>
      </w:r>
      <w:r w:rsidR="00A4588C" w:rsidRPr="006774D3">
        <w:rPr>
          <w:color w:val="000000"/>
          <w:sz w:val="22"/>
          <w:szCs w:val="20"/>
        </w:rPr>
        <w:t>samhliða</w:t>
      </w:r>
      <w:r w:rsidR="00AF7A7E" w:rsidRPr="006774D3">
        <w:rPr>
          <w:color w:val="000000"/>
          <w:sz w:val="22"/>
          <w:szCs w:val="20"/>
        </w:rPr>
        <w:t xml:space="preserve"> öflugri krabbameinslyfjameðferð eftir innleiðslumeðferð.</w:t>
      </w:r>
      <w:r w:rsidR="008D2689" w:rsidRPr="006774D3">
        <w:rPr>
          <w:color w:val="000000"/>
          <w:sz w:val="22"/>
          <w:szCs w:val="20"/>
        </w:rPr>
        <w:t xml:space="preserve"> Glivec var </w:t>
      </w:r>
      <w:r w:rsidR="000F0E2C" w:rsidRPr="006774D3">
        <w:rPr>
          <w:color w:val="000000"/>
          <w:sz w:val="22"/>
          <w:szCs w:val="20"/>
        </w:rPr>
        <w:t>gefið með hléum í hópum 1</w:t>
      </w:r>
      <w:r w:rsidR="000F0E2C" w:rsidRPr="006774D3">
        <w:rPr>
          <w:color w:val="000000"/>
          <w:sz w:val="22"/>
          <w:szCs w:val="20"/>
        </w:rPr>
        <w:noBreakHyphen/>
        <w:t xml:space="preserve">5, og </w:t>
      </w:r>
      <w:r w:rsidR="008D2689" w:rsidRPr="006774D3">
        <w:rPr>
          <w:color w:val="000000"/>
          <w:sz w:val="22"/>
          <w:szCs w:val="20"/>
        </w:rPr>
        <w:t xml:space="preserve">stóð meðferðin með Glivec lengur og byrjaði fyrr </w:t>
      </w:r>
      <w:r w:rsidR="000F0E2C" w:rsidRPr="006774D3">
        <w:rPr>
          <w:color w:val="000000"/>
          <w:sz w:val="22"/>
          <w:szCs w:val="20"/>
        </w:rPr>
        <w:t>eftir því um hvaða hóp var að ræða</w:t>
      </w:r>
      <w:r w:rsidR="008D2689" w:rsidRPr="006774D3">
        <w:rPr>
          <w:color w:val="000000"/>
          <w:sz w:val="22"/>
          <w:szCs w:val="20"/>
        </w:rPr>
        <w:t>; hópur 1 fékk vægustu meðferðina og hópur</w:t>
      </w:r>
      <w:r w:rsidR="000F0E2C" w:rsidRPr="006774D3">
        <w:rPr>
          <w:color w:val="000000"/>
          <w:sz w:val="22"/>
          <w:szCs w:val="20"/>
        </w:rPr>
        <w:t> 5</w:t>
      </w:r>
      <w:r w:rsidR="008D2689" w:rsidRPr="006774D3">
        <w:rPr>
          <w:color w:val="000000"/>
          <w:sz w:val="22"/>
          <w:szCs w:val="20"/>
        </w:rPr>
        <w:t xml:space="preserve"> öflugustu meðferðina með Glivec (í flesta daga</w:t>
      </w:r>
      <w:r w:rsidR="000F0E2C" w:rsidRPr="006774D3">
        <w:rPr>
          <w:color w:val="000000"/>
          <w:sz w:val="22"/>
          <w:szCs w:val="20"/>
        </w:rPr>
        <w:t xml:space="preserve"> og</w:t>
      </w:r>
      <w:r w:rsidR="008D2689" w:rsidRPr="006774D3">
        <w:rPr>
          <w:color w:val="000000"/>
          <w:sz w:val="22"/>
          <w:szCs w:val="20"/>
        </w:rPr>
        <w:t xml:space="preserve"> með samfelldri daglegri gjöf Glivec í fyrstu krabbameinslyfjameðferðarlotunni). Samfelld dagleg útsetning fyrir Glivec snemma í meðferðinni </w:t>
      </w:r>
      <w:r w:rsidR="00A4588C" w:rsidRPr="006774D3">
        <w:rPr>
          <w:color w:val="000000"/>
          <w:sz w:val="22"/>
          <w:szCs w:val="20"/>
        </w:rPr>
        <w:t>samhliða</w:t>
      </w:r>
      <w:r w:rsidR="008D2689" w:rsidRPr="006774D3">
        <w:rPr>
          <w:color w:val="000000"/>
          <w:sz w:val="22"/>
          <w:szCs w:val="20"/>
        </w:rPr>
        <w:t xml:space="preserve"> krabbameinslyfjameðferð hjá sjúklingum í hóp 5 (n=50)</w:t>
      </w:r>
      <w:r w:rsidR="00283CC4" w:rsidRPr="006774D3">
        <w:rPr>
          <w:color w:val="000000"/>
          <w:sz w:val="22"/>
          <w:szCs w:val="20"/>
        </w:rPr>
        <w:t xml:space="preserve"> </w:t>
      </w:r>
      <w:r w:rsidR="000F0E2C" w:rsidRPr="006774D3">
        <w:rPr>
          <w:color w:val="000000"/>
          <w:sz w:val="22"/>
          <w:szCs w:val="20"/>
        </w:rPr>
        <w:t>lengdi</w:t>
      </w:r>
      <w:r w:rsidR="00283CC4" w:rsidRPr="006774D3">
        <w:rPr>
          <w:color w:val="000000"/>
          <w:sz w:val="22"/>
          <w:szCs w:val="20"/>
        </w:rPr>
        <w:t xml:space="preserve"> lifun án tilvika í 4 ár (event-free survival [EFS]) samanborið við </w:t>
      </w:r>
      <w:r w:rsidR="00283CC4" w:rsidRPr="006774D3">
        <w:rPr>
          <w:color w:val="000000"/>
          <w:sz w:val="22"/>
          <w:szCs w:val="22"/>
        </w:rPr>
        <w:t>sögulegan samanburð</w:t>
      </w:r>
      <w:r w:rsidR="000F0E2C" w:rsidRPr="006774D3">
        <w:rPr>
          <w:color w:val="000000"/>
          <w:sz w:val="22"/>
          <w:szCs w:val="22"/>
        </w:rPr>
        <w:t>arhóp</w:t>
      </w:r>
      <w:r w:rsidR="00283CC4" w:rsidRPr="006774D3">
        <w:rPr>
          <w:color w:val="000000"/>
          <w:sz w:val="22"/>
          <w:szCs w:val="22"/>
        </w:rPr>
        <w:t xml:space="preserve"> (n=120) </w:t>
      </w:r>
      <w:r w:rsidR="000F0E2C" w:rsidRPr="006774D3">
        <w:rPr>
          <w:color w:val="000000"/>
          <w:sz w:val="22"/>
          <w:szCs w:val="22"/>
        </w:rPr>
        <w:t>sjúklinga sem fengu</w:t>
      </w:r>
      <w:r w:rsidR="00283CC4" w:rsidRPr="006774D3">
        <w:rPr>
          <w:color w:val="000000"/>
          <w:sz w:val="22"/>
          <w:szCs w:val="22"/>
        </w:rPr>
        <w:t xml:space="preserve"> hefðbundna krabbameinslyfjameðferð án Glivec (69,6% samanborið við 31,6%, tilgreint í sömu röð). Áætluð heildarlifun í 4 ár hjá sjúklingum í hóp 5 var 83,6% samanborið við 44,8% hj</w:t>
      </w:r>
      <w:r w:rsidR="000F0E2C" w:rsidRPr="006774D3">
        <w:rPr>
          <w:color w:val="000000"/>
          <w:sz w:val="22"/>
          <w:szCs w:val="22"/>
        </w:rPr>
        <w:t>á sögulegum samanburðarhópi</w:t>
      </w:r>
      <w:r w:rsidR="00283CC4" w:rsidRPr="006774D3">
        <w:rPr>
          <w:color w:val="000000"/>
          <w:sz w:val="22"/>
          <w:szCs w:val="22"/>
        </w:rPr>
        <w:t>. 20 af 50 (40%) sjúklingum í hóp 5 fengu ígræðslu blóðmyndandi stofnfruma (haematopoietic stem cell transplant)</w:t>
      </w:r>
      <w:r w:rsidR="000F0E2C" w:rsidRPr="006774D3">
        <w:rPr>
          <w:color w:val="000000"/>
          <w:sz w:val="22"/>
          <w:szCs w:val="22"/>
        </w:rPr>
        <w:t>.</w:t>
      </w:r>
    </w:p>
    <w:p w14:paraId="05B8B3AA" w14:textId="77777777" w:rsidR="001973ED" w:rsidRPr="006774D3" w:rsidRDefault="001973ED" w:rsidP="00F77C66">
      <w:pPr>
        <w:widowControl w:val="0"/>
        <w:tabs>
          <w:tab w:val="left" w:pos="567"/>
        </w:tabs>
        <w:rPr>
          <w:color w:val="000000"/>
          <w:sz w:val="22"/>
          <w:szCs w:val="20"/>
        </w:rPr>
      </w:pPr>
    </w:p>
    <w:p w14:paraId="05B8B3AB" w14:textId="77777777" w:rsidR="008C4CCA" w:rsidRPr="006774D3" w:rsidRDefault="008C4CCA" w:rsidP="00632D98">
      <w:pPr>
        <w:keepNext/>
        <w:widowControl w:val="0"/>
        <w:ind w:left="1134" w:hanging="1134"/>
        <w:rPr>
          <w:b/>
          <w:color w:val="000000"/>
          <w:sz w:val="22"/>
          <w:szCs w:val="20"/>
        </w:rPr>
      </w:pPr>
      <w:r w:rsidRPr="006774D3">
        <w:rPr>
          <w:b/>
          <w:color w:val="000000"/>
          <w:sz w:val="22"/>
          <w:szCs w:val="20"/>
        </w:rPr>
        <w:lastRenderedPageBreak/>
        <w:t>Tafla</w:t>
      </w:r>
      <w:r w:rsidR="001973ED" w:rsidRPr="006774D3">
        <w:rPr>
          <w:b/>
          <w:color w:val="000000"/>
          <w:sz w:val="22"/>
          <w:szCs w:val="20"/>
        </w:rPr>
        <w:t> </w:t>
      </w:r>
      <w:r w:rsidR="00142B05" w:rsidRPr="006774D3">
        <w:rPr>
          <w:b/>
          <w:color w:val="000000"/>
          <w:sz w:val="22"/>
          <w:szCs w:val="20"/>
        </w:rPr>
        <w:t>5</w:t>
      </w:r>
      <w:r w:rsidR="001973ED" w:rsidRPr="006774D3">
        <w:rPr>
          <w:b/>
          <w:color w:val="000000"/>
          <w:sz w:val="22"/>
          <w:szCs w:val="20"/>
        </w:rPr>
        <w:tab/>
      </w:r>
      <w:r w:rsidR="00A4588C" w:rsidRPr="006774D3">
        <w:rPr>
          <w:b/>
          <w:color w:val="000000"/>
          <w:sz w:val="22"/>
          <w:szCs w:val="22"/>
        </w:rPr>
        <w:t>Krabbameinslyfjameðferð samhliða imatinibi</w:t>
      </w:r>
      <w:r w:rsidR="00A4588C" w:rsidRPr="006774D3">
        <w:rPr>
          <w:b/>
          <w:color w:val="000000"/>
          <w:sz w:val="22"/>
          <w:szCs w:val="20"/>
        </w:rPr>
        <w:t xml:space="preserve"> </w:t>
      </w:r>
      <w:r w:rsidRPr="006774D3">
        <w:rPr>
          <w:b/>
          <w:color w:val="000000"/>
          <w:sz w:val="22"/>
          <w:szCs w:val="20"/>
        </w:rPr>
        <w:t>í rannsókn I2301</w:t>
      </w:r>
    </w:p>
    <w:p w14:paraId="05B8B3AC" w14:textId="77777777" w:rsidR="001973ED" w:rsidRPr="006774D3" w:rsidRDefault="001973ED" w:rsidP="00632D98">
      <w:pPr>
        <w:keepNext/>
        <w:widowControl w:val="0"/>
        <w:tabs>
          <w:tab w:val="left" w:pos="567"/>
        </w:tabs>
        <w:rPr>
          <w:color w:val="000000"/>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6710"/>
      </w:tblGrid>
      <w:tr w:rsidR="001973ED" w:rsidRPr="006774D3" w14:paraId="05B8B3B5" w14:textId="77777777" w:rsidTr="00632D98">
        <w:trPr>
          <w:cantSplit/>
        </w:trPr>
        <w:tc>
          <w:tcPr>
            <w:tcW w:w="2358" w:type="dxa"/>
            <w:shd w:val="clear" w:color="auto" w:fill="auto"/>
          </w:tcPr>
          <w:p w14:paraId="05B8B3AD" w14:textId="77777777" w:rsidR="001973ED" w:rsidRPr="006774D3" w:rsidRDefault="00E23FC2" w:rsidP="00F77C66">
            <w:pPr>
              <w:widowControl w:val="0"/>
              <w:tabs>
                <w:tab w:val="left" w:pos="567"/>
              </w:tabs>
              <w:rPr>
                <w:color w:val="000000"/>
                <w:sz w:val="22"/>
                <w:szCs w:val="20"/>
              </w:rPr>
            </w:pPr>
            <w:r w:rsidRPr="006774D3">
              <w:rPr>
                <w:color w:val="000000"/>
                <w:sz w:val="22"/>
                <w:szCs w:val="20"/>
              </w:rPr>
              <w:t>Upprætingarhluti</w:t>
            </w:r>
            <w:r w:rsidR="001973ED" w:rsidRPr="006774D3">
              <w:rPr>
                <w:color w:val="000000"/>
                <w:sz w:val="22"/>
                <w:szCs w:val="20"/>
              </w:rPr>
              <w:t> 1</w:t>
            </w:r>
          </w:p>
          <w:p w14:paraId="05B8B3AE" w14:textId="77777777" w:rsidR="001973ED" w:rsidRPr="006774D3" w:rsidRDefault="001973ED" w:rsidP="00F77C66">
            <w:pPr>
              <w:widowControl w:val="0"/>
              <w:tabs>
                <w:tab w:val="left" w:pos="567"/>
              </w:tabs>
              <w:rPr>
                <w:color w:val="000000"/>
                <w:sz w:val="22"/>
                <w:szCs w:val="20"/>
              </w:rPr>
            </w:pPr>
            <w:r w:rsidRPr="006774D3">
              <w:rPr>
                <w:color w:val="000000"/>
                <w:sz w:val="22"/>
                <w:szCs w:val="20"/>
              </w:rPr>
              <w:t>(3 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AF" w14:textId="77777777" w:rsidR="001973ED" w:rsidRPr="006774D3" w:rsidRDefault="000F0E2C"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r>
            <w:r w:rsidR="001973ED" w:rsidRPr="006774D3">
              <w:rPr>
                <w:color w:val="000000"/>
                <w:sz w:val="22"/>
                <w:szCs w:val="20"/>
              </w:rPr>
              <w:t>16 (100 mg/m</w:t>
            </w:r>
            <w:r w:rsidR="001973ED" w:rsidRPr="006774D3">
              <w:rPr>
                <w:color w:val="000000"/>
                <w:sz w:val="22"/>
                <w:szCs w:val="20"/>
                <w:vertAlign w:val="superscript"/>
              </w:rPr>
              <w:t>2</w:t>
            </w:r>
            <w:r w:rsidR="001973ED" w:rsidRPr="006774D3">
              <w:rPr>
                <w:color w:val="000000"/>
                <w:sz w:val="22"/>
                <w:szCs w:val="20"/>
              </w:rPr>
              <w:t>/</w:t>
            </w:r>
            <w:r w:rsidR="00E23FC2" w:rsidRPr="006774D3">
              <w:rPr>
                <w:color w:val="000000"/>
                <w:sz w:val="22"/>
                <w:szCs w:val="20"/>
              </w:rPr>
              <w:t>sólarhring</w:t>
            </w:r>
            <w:r w:rsidR="001973ED" w:rsidRPr="006774D3">
              <w:rPr>
                <w:color w:val="000000"/>
                <w:sz w:val="22"/>
                <w:szCs w:val="20"/>
              </w:rPr>
              <w:t xml:space="preserve">, </w:t>
            </w:r>
            <w:r w:rsidR="007F46A3" w:rsidRPr="006774D3">
              <w:rPr>
                <w:color w:val="000000"/>
                <w:sz w:val="22"/>
                <w:szCs w:val="20"/>
              </w:rPr>
              <w:t>i.v.</w:t>
            </w:r>
            <w:r w:rsidR="001973ED" w:rsidRPr="006774D3">
              <w:rPr>
                <w:color w:val="000000"/>
                <w:sz w:val="22"/>
                <w:szCs w:val="20"/>
              </w:rPr>
              <w:t xml:space="preserve">): </w:t>
            </w:r>
            <w:r w:rsidR="007F46A3" w:rsidRPr="006774D3">
              <w:rPr>
                <w:color w:val="000000"/>
                <w:sz w:val="22"/>
                <w:szCs w:val="20"/>
              </w:rPr>
              <w:t>dagar</w:t>
            </w:r>
            <w:r w:rsidR="001973ED" w:rsidRPr="006774D3">
              <w:rPr>
                <w:color w:val="000000"/>
                <w:sz w:val="22"/>
                <w:szCs w:val="20"/>
              </w:rPr>
              <w:t> 1</w:t>
            </w:r>
            <w:r w:rsidR="001973ED" w:rsidRPr="006774D3">
              <w:rPr>
                <w:color w:val="000000"/>
                <w:sz w:val="22"/>
                <w:szCs w:val="20"/>
              </w:rPr>
              <w:noBreakHyphen/>
              <w:t>5</w:t>
            </w:r>
          </w:p>
          <w:p w14:paraId="05B8B3B0" w14:textId="77777777" w:rsidR="001973ED" w:rsidRPr="006774D3" w:rsidRDefault="007F46A3" w:rsidP="00F77C66">
            <w:pPr>
              <w:widowControl w:val="0"/>
              <w:tabs>
                <w:tab w:val="left" w:pos="567"/>
              </w:tabs>
              <w:rPr>
                <w:color w:val="000000"/>
                <w:sz w:val="22"/>
                <w:szCs w:val="20"/>
              </w:rPr>
            </w:pPr>
            <w:r w:rsidRPr="006774D3">
              <w:rPr>
                <w:color w:val="000000"/>
                <w:sz w:val="22"/>
                <w:szCs w:val="20"/>
              </w:rPr>
              <w:t>Ifosfamid (1,</w:t>
            </w:r>
            <w:r w:rsidR="001973ED" w:rsidRPr="006774D3">
              <w:rPr>
                <w:color w:val="000000"/>
                <w:sz w:val="22"/>
                <w:szCs w:val="20"/>
              </w:rPr>
              <w:t>8 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sólarhring</w:t>
            </w:r>
            <w:r w:rsidR="001973ED" w:rsidRPr="006774D3">
              <w:rPr>
                <w:color w:val="000000"/>
                <w:sz w:val="22"/>
                <w:szCs w:val="20"/>
              </w:rPr>
              <w:t>,</w:t>
            </w:r>
            <w:r w:rsidRPr="006774D3">
              <w:rPr>
                <w:color w:val="000000"/>
                <w:sz w:val="22"/>
                <w:szCs w:val="20"/>
              </w:rPr>
              <w:t xml:space="preserve"> i.v.</w:t>
            </w:r>
            <w:r w:rsidR="001973ED" w:rsidRPr="006774D3">
              <w:rPr>
                <w:color w:val="000000"/>
                <w:sz w:val="22"/>
                <w:szCs w:val="20"/>
              </w:rPr>
              <w:t xml:space="preserve">): </w:t>
            </w:r>
            <w:r w:rsidRPr="006774D3">
              <w:rPr>
                <w:color w:val="000000"/>
                <w:sz w:val="22"/>
                <w:szCs w:val="20"/>
              </w:rPr>
              <w:t>daga</w:t>
            </w:r>
            <w:r w:rsidR="000F0E2C" w:rsidRPr="006774D3">
              <w:rPr>
                <w:color w:val="000000"/>
                <w:sz w:val="22"/>
                <w:szCs w:val="20"/>
              </w:rPr>
              <w:t>r</w:t>
            </w:r>
            <w:r w:rsidR="001973ED" w:rsidRPr="006774D3">
              <w:rPr>
                <w:color w:val="000000"/>
                <w:sz w:val="22"/>
                <w:szCs w:val="20"/>
              </w:rPr>
              <w:t> 1</w:t>
            </w:r>
            <w:r w:rsidR="001973ED" w:rsidRPr="006774D3">
              <w:rPr>
                <w:color w:val="000000"/>
                <w:sz w:val="22"/>
                <w:szCs w:val="20"/>
              </w:rPr>
              <w:noBreakHyphen/>
              <w:t>5</w:t>
            </w:r>
          </w:p>
          <w:p w14:paraId="05B8B3B1" w14:textId="77777777" w:rsidR="001973ED" w:rsidRPr="006774D3" w:rsidRDefault="001973ED" w:rsidP="00F77C66">
            <w:pPr>
              <w:widowControl w:val="0"/>
              <w:tabs>
                <w:tab w:val="left" w:pos="567"/>
              </w:tabs>
              <w:rPr>
                <w:color w:val="000000"/>
                <w:sz w:val="22"/>
                <w:szCs w:val="20"/>
              </w:rPr>
            </w:pPr>
            <w:r w:rsidRPr="006774D3">
              <w:rPr>
                <w:color w:val="000000"/>
                <w:sz w:val="22"/>
                <w:szCs w:val="20"/>
              </w:rPr>
              <w:t>MESNA (360 mg/m</w:t>
            </w:r>
            <w:r w:rsidRPr="006774D3">
              <w:rPr>
                <w:color w:val="000000"/>
                <w:sz w:val="22"/>
                <w:szCs w:val="20"/>
                <w:vertAlign w:val="superscript"/>
              </w:rPr>
              <w:t>2</w:t>
            </w:r>
            <w:r w:rsidRPr="006774D3">
              <w:rPr>
                <w:color w:val="000000"/>
                <w:sz w:val="22"/>
                <w:szCs w:val="20"/>
              </w:rPr>
              <w:t>/</w:t>
            </w:r>
            <w:r w:rsidR="007F46A3" w:rsidRPr="006774D3">
              <w:rPr>
                <w:color w:val="000000"/>
                <w:sz w:val="22"/>
                <w:szCs w:val="20"/>
              </w:rPr>
              <w:t>skammt á 3 klst. f</w:t>
            </w:r>
            <w:r w:rsidR="000F0E2C" w:rsidRPr="006774D3">
              <w:rPr>
                <w:color w:val="000000"/>
                <w:sz w:val="22"/>
                <w:szCs w:val="20"/>
              </w:rPr>
              <w:t>r</w:t>
            </w:r>
            <w:r w:rsidR="007F46A3" w:rsidRPr="006774D3">
              <w:rPr>
                <w:color w:val="000000"/>
                <w:sz w:val="22"/>
                <w:szCs w:val="20"/>
              </w:rPr>
              <w:t>esti</w:t>
            </w:r>
            <w:r w:rsidRPr="006774D3">
              <w:rPr>
                <w:color w:val="000000"/>
                <w:sz w:val="22"/>
                <w:szCs w:val="20"/>
              </w:rPr>
              <w:t>, x 8</w:t>
            </w:r>
            <w:r w:rsidR="00914717" w:rsidRPr="006774D3">
              <w:rPr>
                <w:color w:val="000000"/>
                <w:sz w:val="22"/>
                <w:szCs w:val="20"/>
              </w:rPr>
              <w:t> </w:t>
            </w:r>
            <w:r w:rsidR="007F46A3" w:rsidRPr="006774D3">
              <w:rPr>
                <w:color w:val="000000"/>
                <w:sz w:val="22"/>
                <w:szCs w:val="20"/>
              </w:rPr>
              <w:t>skammtar</w:t>
            </w:r>
            <w:r w:rsidRPr="006774D3">
              <w:rPr>
                <w:color w:val="000000"/>
                <w:sz w:val="22"/>
                <w:szCs w:val="20"/>
              </w:rPr>
              <w:t>/</w:t>
            </w:r>
            <w:r w:rsidR="007F46A3" w:rsidRPr="006774D3">
              <w:rPr>
                <w:color w:val="000000"/>
                <w:sz w:val="22"/>
                <w:szCs w:val="20"/>
              </w:rPr>
              <w:t>sólarhring</w:t>
            </w:r>
            <w:r w:rsidRPr="006774D3">
              <w:rPr>
                <w:color w:val="000000"/>
                <w:sz w:val="22"/>
                <w:szCs w:val="20"/>
              </w:rPr>
              <w:t>,</w:t>
            </w:r>
            <w:r w:rsidR="007F46A3" w:rsidRPr="006774D3">
              <w:rPr>
                <w:color w:val="000000"/>
                <w:sz w:val="22"/>
                <w:szCs w:val="20"/>
              </w:rPr>
              <w:t xml:space="preserve"> i.v.</w:t>
            </w:r>
            <w:r w:rsidRPr="006774D3">
              <w:rPr>
                <w:color w:val="000000"/>
                <w:sz w:val="22"/>
                <w:szCs w:val="20"/>
              </w:rPr>
              <w:t xml:space="preserve">): </w:t>
            </w:r>
            <w:r w:rsidR="007F46A3" w:rsidRPr="006774D3">
              <w:rPr>
                <w:color w:val="000000"/>
                <w:sz w:val="22"/>
                <w:szCs w:val="20"/>
              </w:rPr>
              <w:t>daga</w:t>
            </w:r>
            <w:r w:rsidR="000F0E2C" w:rsidRPr="006774D3">
              <w:rPr>
                <w:color w:val="000000"/>
                <w:sz w:val="22"/>
                <w:szCs w:val="20"/>
              </w:rPr>
              <w:t>r</w:t>
            </w:r>
            <w:r w:rsidRPr="006774D3">
              <w:rPr>
                <w:color w:val="000000"/>
                <w:sz w:val="22"/>
                <w:szCs w:val="20"/>
              </w:rPr>
              <w:t> 1</w:t>
            </w:r>
            <w:r w:rsidRPr="006774D3">
              <w:rPr>
                <w:color w:val="000000"/>
                <w:sz w:val="22"/>
                <w:szCs w:val="20"/>
              </w:rPr>
              <w:noBreakHyphen/>
              <w:t>5</w:t>
            </w:r>
          </w:p>
          <w:p w14:paraId="05B8B3B2" w14:textId="77777777" w:rsidR="001973ED" w:rsidRPr="006774D3" w:rsidRDefault="000F0E2C"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7F46A3" w:rsidRPr="006774D3">
              <w:rPr>
                <w:color w:val="000000"/>
                <w:sz w:val="22"/>
                <w:szCs w:val="20"/>
              </w:rPr>
              <w:t>s.c.</w:t>
            </w:r>
            <w:r w:rsidR="001973ED" w:rsidRPr="006774D3">
              <w:rPr>
                <w:color w:val="000000"/>
                <w:sz w:val="22"/>
                <w:szCs w:val="20"/>
              </w:rPr>
              <w:t xml:space="preserve">): </w:t>
            </w:r>
            <w:r w:rsidR="007F46A3" w:rsidRPr="006774D3">
              <w:rPr>
                <w:color w:val="000000"/>
                <w:sz w:val="22"/>
                <w:szCs w:val="20"/>
              </w:rPr>
              <w:t>daga</w:t>
            </w:r>
            <w:r w:rsidRPr="006774D3">
              <w:rPr>
                <w:color w:val="000000"/>
                <w:sz w:val="22"/>
                <w:szCs w:val="20"/>
              </w:rPr>
              <w:t>r</w:t>
            </w:r>
            <w:r w:rsidR="001973ED" w:rsidRPr="006774D3">
              <w:rPr>
                <w:color w:val="000000"/>
                <w:sz w:val="22"/>
                <w:szCs w:val="20"/>
              </w:rPr>
              <w:t> 6</w:t>
            </w:r>
            <w:r w:rsidR="001973ED" w:rsidRPr="006774D3">
              <w:rPr>
                <w:color w:val="000000"/>
                <w:sz w:val="22"/>
                <w:szCs w:val="20"/>
              </w:rPr>
              <w:noBreakHyphen/>
              <w:t xml:space="preserve">15 </w:t>
            </w:r>
            <w:r w:rsidR="007F46A3" w:rsidRPr="006774D3">
              <w:rPr>
                <w:color w:val="000000"/>
                <w:sz w:val="22"/>
                <w:szCs w:val="20"/>
              </w:rPr>
              <w:t xml:space="preserve">eða þar til </w:t>
            </w:r>
            <w:r w:rsidR="001973ED" w:rsidRPr="006774D3">
              <w:rPr>
                <w:color w:val="000000"/>
                <w:sz w:val="22"/>
                <w:szCs w:val="20"/>
              </w:rPr>
              <w:t xml:space="preserve">ANC &gt; 1500 </w:t>
            </w:r>
            <w:r w:rsidR="007F46A3" w:rsidRPr="006774D3">
              <w:rPr>
                <w:color w:val="000000"/>
                <w:sz w:val="22"/>
                <w:szCs w:val="20"/>
              </w:rPr>
              <w:t>eftir lægsta gildi</w:t>
            </w:r>
          </w:p>
          <w:p w14:paraId="05B8B3B3" w14:textId="77777777" w:rsidR="001973ED" w:rsidRPr="006774D3" w:rsidRDefault="00732E14" w:rsidP="00F77C66">
            <w:pPr>
              <w:widowControl w:val="0"/>
              <w:tabs>
                <w:tab w:val="left" w:pos="567"/>
              </w:tabs>
              <w:rPr>
                <w:color w:val="000000"/>
                <w:sz w:val="22"/>
                <w:szCs w:val="20"/>
              </w:rPr>
            </w:pPr>
            <w:r w:rsidRPr="006774D3">
              <w:rPr>
                <w:color w:val="000000"/>
                <w:sz w:val="22"/>
                <w:szCs w:val="20"/>
              </w:rPr>
              <w:t>I.t.</w:t>
            </w:r>
            <w:r w:rsidR="001973ED" w:rsidRPr="006774D3">
              <w:rPr>
                <w:color w:val="000000"/>
                <w:sz w:val="22"/>
                <w:szCs w:val="20"/>
              </w:rPr>
              <w:t xml:space="preserve"> </w:t>
            </w:r>
            <w:r w:rsidR="007F46A3" w:rsidRPr="006774D3">
              <w:rPr>
                <w:color w:val="000000"/>
                <w:sz w:val="22"/>
                <w:szCs w:val="20"/>
              </w:rPr>
              <w:t>metótrexat</w:t>
            </w:r>
            <w:r w:rsidR="001973ED" w:rsidRPr="006774D3">
              <w:rPr>
                <w:color w:val="000000"/>
                <w:sz w:val="22"/>
                <w:szCs w:val="20"/>
              </w:rPr>
              <w:t xml:space="preserve"> (</w:t>
            </w:r>
            <w:r w:rsidR="007F46A3" w:rsidRPr="006774D3">
              <w:rPr>
                <w:color w:val="000000"/>
                <w:sz w:val="22"/>
                <w:szCs w:val="20"/>
              </w:rPr>
              <w:t>aðlagað að aldri</w:t>
            </w:r>
            <w:r w:rsidR="001973ED" w:rsidRPr="006774D3">
              <w:rPr>
                <w:color w:val="000000"/>
                <w:sz w:val="22"/>
                <w:szCs w:val="20"/>
              </w:rPr>
              <w:t xml:space="preserve">): </w:t>
            </w:r>
            <w:r w:rsidR="007F46A3" w:rsidRPr="006774D3">
              <w:rPr>
                <w:color w:val="000000"/>
                <w:sz w:val="22"/>
                <w:szCs w:val="20"/>
              </w:rPr>
              <w:t>dag</w:t>
            </w:r>
            <w:r w:rsidR="000F0E2C" w:rsidRPr="006774D3">
              <w:rPr>
                <w:color w:val="000000"/>
                <w:sz w:val="22"/>
                <w:szCs w:val="20"/>
              </w:rPr>
              <w:t>u</w:t>
            </w:r>
            <w:r w:rsidR="007F46A3" w:rsidRPr="006774D3">
              <w:rPr>
                <w:color w:val="000000"/>
                <w:sz w:val="22"/>
                <w:szCs w:val="20"/>
              </w:rPr>
              <w:t>r</w:t>
            </w:r>
            <w:r w:rsidR="001973ED" w:rsidRPr="006774D3">
              <w:rPr>
                <w:color w:val="000000"/>
                <w:sz w:val="22"/>
                <w:szCs w:val="20"/>
              </w:rPr>
              <w:t xml:space="preserve"> 1 </w:t>
            </w:r>
            <w:r w:rsidR="007F46A3" w:rsidRPr="006774D3">
              <w:rPr>
                <w:color w:val="000000"/>
                <w:sz w:val="22"/>
                <w:szCs w:val="20"/>
              </w:rPr>
              <w:t>EINGÖNGU</w:t>
            </w:r>
          </w:p>
          <w:p w14:paraId="05B8B3B4" w14:textId="77777777" w:rsidR="001973ED" w:rsidRPr="006774D3" w:rsidRDefault="007F46A3" w:rsidP="00F77C66">
            <w:pPr>
              <w:widowControl w:val="0"/>
              <w:tabs>
                <w:tab w:val="left" w:pos="567"/>
              </w:tabs>
              <w:rPr>
                <w:color w:val="000000"/>
                <w:sz w:val="22"/>
                <w:szCs w:val="20"/>
              </w:rPr>
            </w:pPr>
            <w:r w:rsidRPr="006774D3">
              <w:rPr>
                <w:color w:val="000000"/>
                <w:sz w:val="22"/>
                <w:szCs w:val="20"/>
              </w:rPr>
              <w:t>Þreföld</w:t>
            </w:r>
            <w:r w:rsidR="001973ED" w:rsidRPr="006774D3">
              <w:rPr>
                <w:color w:val="000000"/>
                <w:sz w:val="22"/>
                <w:szCs w:val="20"/>
              </w:rPr>
              <w:t xml:space="preserve"> </w:t>
            </w:r>
            <w:r w:rsidR="00732E14" w:rsidRPr="006774D3">
              <w:rPr>
                <w:color w:val="000000"/>
                <w:sz w:val="22"/>
                <w:szCs w:val="20"/>
              </w:rPr>
              <w:t>i.t.</w:t>
            </w:r>
            <w:r w:rsidR="001973ED" w:rsidRPr="006774D3">
              <w:rPr>
                <w:color w:val="000000"/>
                <w:sz w:val="22"/>
                <w:szCs w:val="20"/>
              </w:rPr>
              <w:t xml:space="preserve"> </w:t>
            </w:r>
            <w:r w:rsidRPr="006774D3">
              <w:rPr>
                <w:color w:val="000000"/>
                <w:sz w:val="22"/>
                <w:szCs w:val="20"/>
              </w:rPr>
              <w:t>meðferð</w:t>
            </w:r>
            <w:r w:rsidR="001973ED" w:rsidRPr="006774D3">
              <w:rPr>
                <w:color w:val="000000"/>
                <w:sz w:val="22"/>
                <w:szCs w:val="20"/>
              </w:rPr>
              <w:t xml:space="preserve"> (</w:t>
            </w:r>
            <w:r w:rsidRPr="006774D3">
              <w:rPr>
                <w:color w:val="000000"/>
                <w:sz w:val="22"/>
                <w:szCs w:val="20"/>
              </w:rPr>
              <w:t>aðlöguð að aldri</w:t>
            </w:r>
            <w:r w:rsidR="001973ED" w:rsidRPr="006774D3">
              <w:rPr>
                <w:color w:val="000000"/>
                <w:sz w:val="22"/>
                <w:szCs w:val="20"/>
              </w:rPr>
              <w:t xml:space="preserve">): </w:t>
            </w:r>
            <w:r w:rsidR="0089006B" w:rsidRPr="006774D3">
              <w:rPr>
                <w:color w:val="000000"/>
                <w:sz w:val="22"/>
                <w:szCs w:val="20"/>
              </w:rPr>
              <w:t>daga</w:t>
            </w:r>
            <w:r w:rsidRPr="006774D3">
              <w:rPr>
                <w:color w:val="000000"/>
                <w:sz w:val="22"/>
                <w:szCs w:val="20"/>
              </w:rPr>
              <w:t>r</w:t>
            </w:r>
            <w:r w:rsidR="001973ED" w:rsidRPr="006774D3">
              <w:rPr>
                <w:color w:val="000000"/>
                <w:sz w:val="22"/>
                <w:szCs w:val="20"/>
              </w:rPr>
              <w:t> 8</w:t>
            </w:r>
            <w:r w:rsidR="0089006B" w:rsidRPr="006774D3">
              <w:rPr>
                <w:color w:val="000000"/>
                <w:sz w:val="22"/>
                <w:szCs w:val="20"/>
              </w:rPr>
              <w:t xml:space="preserve"> og</w:t>
            </w:r>
            <w:r w:rsidR="001973ED" w:rsidRPr="006774D3">
              <w:rPr>
                <w:color w:val="000000"/>
                <w:sz w:val="22"/>
                <w:szCs w:val="20"/>
              </w:rPr>
              <w:t xml:space="preserve"> 15</w:t>
            </w:r>
          </w:p>
        </w:tc>
      </w:tr>
      <w:tr w:rsidR="001973ED" w:rsidRPr="006774D3" w14:paraId="05B8B3BD" w14:textId="77777777" w:rsidTr="00632D98">
        <w:trPr>
          <w:cantSplit/>
        </w:trPr>
        <w:tc>
          <w:tcPr>
            <w:tcW w:w="2358" w:type="dxa"/>
            <w:shd w:val="clear" w:color="auto" w:fill="auto"/>
          </w:tcPr>
          <w:p w14:paraId="05B8B3B6" w14:textId="77777777" w:rsidR="001973ED" w:rsidRPr="006774D3" w:rsidRDefault="00E23FC2" w:rsidP="00F77C66">
            <w:pPr>
              <w:widowControl w:val="0"/>
              <w:tabs>
                <w:tab w:val="left" w:pos="567"/>
              </w:tabs>
              <w:rPr>
                <w:color w:val="000000"/>
                <w:sz w:val="22"/>
                <w:szCs w:val="20"/>
              </w:rPr>
            </w:pPr>
            <w:r w:rsidRPr="006774D3">
              <w:rPr>
                <w:color w:val="000000"/>
                <w:sz w:val="22"/>
                <w:szCs w:val="20"/>
              </w:rPr>
              <w:t>Upprætingarhluti</w:t>
            </w:r>
            <w:r w:rsidR="001973ED" w:rsidRPr="006774D3">
              <w:rPr>
                <w:color w:val="000000"/>
                <w:sz w:val="22"/>
                <w:szCs w:val="20"/>
              </w:rPr>
              <w:t> 2</w:t>
            </w:r>
          </w:p>
          <w:p w14:paraId="05B8B3B7" w14:textId="77777777" w:rsidR="001973ED" w:rsidRPr="006774D3" w:rsidRDefault="001973ED" w:rsidP="00F77C66">
            <w:pPr>
              <w:widowControl w:val="0"/>
              <w:tabs>
                <w:tab w:val="left" w:pos="567"/>
              </w:tabs>
              <w:rPr>
                <w:color w:val="000000"/>
                <w:sz w:val="22"/>
                <w:szCs w:val="20"/>
              </w:rPr>
            </w:pPr>
            <w:r w:rsidRPr="006774D3">
              <w:rPr>
                <w:color w:val="000000"/>
                <w:sz w:val="22"/>
                <w:szCs w:val="20"/>
              </w:rPr>
              <w:t>(3 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B8" w14:textId="77777777" w:rsidR="001973ED" w:rsidRPr="006774D3" w:rsidRDefault="005B482E" w:rsidP="00F77C66">
            <w:pPr>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(5 g/m</w:t>
            </w:r>
            <w:r w:rsidR="001973ED" w:rsidRPr="006774D3">
              <w:rPr>
                <w:color w:val="000000"/>
                <w:sz w:val="22"/>
                <w:szCs w:val="20"/>
                <w:vertAlign w:val="superscript"/>
              </w:rPr>
              <w:t>2</w:t>
            </w:r>
            <w:r w:rsidR="001973ED" w:rsidRPr="006774D3">
              <w:rPr>
                <w:color w:val="000000"/>
                <w:sz w:val="22"/>
                <w:szCs w:val="20"/>
              </w:rPr>
              <w:t xml:space="preserve"> </w:t>
            </w:r>
            <w:r w:rsidRPr="006774D3">
              <w:rPr>
                <w:color w:val="000000"/>
                <w:sz w:val="22"/>
                <w:szCs w:val="20"/>
              </w:rPr>
              <w:t>á 24 klst.</w:t>
            </w:r>
            <w:r w:rsidR="001973ED" w:rsidRPr="006774D3">
              <w:rPr>
                <w:color w:val="000000"/>
                <w:sz w:val="22"/>
                <w:szCs w:val="20"/>
              </w:rPr>
              <w:t>,</w:t>
            </w:r>
            <w:r w:rsidRPr="006774D3">
              <w:rPr>
                <w:color w:val="000000"/>
                <w:sz w:val="22"/>
                <w:szCs w:val="20"/>
              </w:rPr>
              <w:t xml:space="preserve"> i.v.</w:t>
            </w:r>
            <w:r w:rsidR="001973ED" w:rsidRPr="006774D3">
              <w:rPr>
                <w:color w:val="000000"/>
                <w:sz w:val="22"/>
                <w:szCs w:val="20"/>
              </w:rPr>
              <w:t xml:space="preserve">): </w:t>
            </w:r>
            <w:r w:rsidRPr="006774D3">
              <w:rPr>
                <w:color w:val="000000"/>
                <w:sz w:val="22"/>
                <w:szCs w:val="20"/>
              </w:rPr>
              <w:t>dagur</w:t>
            </w:r>
            <w:r w:rsidR="001973ED" w:rsidRPr="006774D3">
              <w:rPr>
                <w:color w:val="000000"/>
                <w:sz w:val="22"/>
                <w:szCs w:val="20"/>
              </w:rPr>
              <w:t> 1</w:t>
            </w:r>
          </w:p>
          <w:p w14:paraId="05B8B3B9" w14:textId="77777777" w:rsidR="001973ED" w:rsidRPr="006774D3" w:rsidRDefault="001973ED"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w:t>
            </w:r>
            <w:r w:rsidR="005B482E" w:rsidRPr="006774D3">
              <w:rPr>
                <w:color w:val="000000"/>
                <w:sz w:val="22"/>
                <w:szCs w:val="20"/>
              </w:rPr>
              <w:t>á 36. klst. i.v.</w:t>
            </w:r>
            <w:r w:rsidRPr="006774D3">
              <w:rPr>
                <w:color w:val="000000"/>
                <w:sz w:val="22"/>
                <w:szCs w:val="20"/>
              </w:rPr>
              <w:t>; 15 mg/m</w:t>
            </w:r>
            <w:r w:rsidRPr="006774D3">
              <w:rPr>
                <w:color w:val="000000"/>
                <w:sz w:val="22"/>
                <w:szCs w:val="20"/>
                <w:vertAlign w:val="superscript"/>
              </w:rPr>
              <w:t>2</w:t>
            </w:r>
            <w:r w:rsidRPr="006774D3">
              <w:rPr>
                <w:color w:val="000000"/>
                <w:sz w:val="22"/>
                <w:szCs w:val="20"/>
              </w:rPr>
              <w:t xml:space="preserve"> </w:t>
            </w:r>
            <w:r w:rsidR="005B482E" w:rsidRPr="006774D3">
              <w:rPr>
                <w:color w:val="000000"/>
                <w:sz w:val="22"/>
                <w:szCs w:val="20"/>
              </w:rPr>
              <w:t>i.v. eða til inntöku á 6 klst. fresti</w:t>
            </w:r>
            <w:r w:rsidR="0089006B" w:rsidRPr="006774D3">
              <w:rPr>
                <w:color w:val="000000"/>
                <w:sz w:val="22"/>
                <w:szCs w:val="20"/>
              </w:rPr>
              <w:t xml:space="preserve"> x </w:t>
            </w:r>
            <w:r w:rsidRPr="006774D3">
              <w:rPr>
                <w:color w:val="000000"/>
                <w:sz w:val="22"/>
                <w:szCs w:val="20"/>
              </w:rPr>
              <w:t>6 </w:t>
            </w:r>
            <w:r w:rsidR="005B482E" w:rsidRPr="006774D3">
              <w:rPr>
                <w:color w:val="000000"/>
                <w:sz w:val="22"/>
                <w:szCs w:val="20"/>
              </w:rPr>
              <w:t>skammtar</w:t>
            </w:r>
            <w:r w:rsidRPr="006774D3">
              <w:rPr>
                <w:color w:val="000000"/>
                <w:sz w:val="22"/>
                <w:szCs w:val="20"/>
              </w:rPr>
              <w:t xml:space="preserve">)iii: </w:t>
            </w:r>
            <w:r w:rsidR="0089006B" w:rsidRPr="006774D3">
              <w:rPr>
                <w:color w:val="000000"/>
                <w:sz w:val="22"/>
                <w:szCs w:val="20"/>
              </w:rPr>
              <w:t>d</w:t>
            </w:r>
            <w:r w:rsidR="005B482E" w:rsidRPr="006774D3">
              <w:rPr>
                <w:color w:val="000000"/>
                <w:sz w:val="22"/>
                <w:szCs w:val="20"/>
              </w:rPr>
              <w:t>agar</w:t>
            </w:r>
            <w:r w:rsidRPr="006774D3">
              <w:rPr>
                <w:color w:val="000000"/>
                <w:sz w:val="22"/>
                <w:szCs w:val="20"/>
              </w:rPr>
              <w:t xml:space="preserve"> 2 </w:t>
            </w:r>
            <w:r w:rsidR="005B482E" w:rsidRPr="006774D3">
              <w:rPr>
                <w:color w:val="000000"/>
                <w:sz w:val="22"/>
                <w:szCs w:val="20"/>
              </w:rPr>
              <w:t>og</w:t>
            </w:r>
            <w:r w:rsidRPr="006774D3">
              <w:rPr>
                <w:color w:val="000000"/>
                <w:sz w:val="22"/>
                <w:szCs w:val="20"/>
              </w:rPr>
              <w:t xml:space="preserve"> 3</w:t>
            </w:r>
          </w:p>
          <w:p w14:paraId="05B8B3BA" w14:textId="77777777" w:rsidR="001973ED" w:rsidRPr="006774D3" w:rsidRDefault="005B482E"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dagur</w:t>
            </w:r>
            <w:r w:rsidR="001973ED" w:rsidRPr="006774D3">
              <w:rPr>
                <w:color w:val="000000"/>
                <w:sz w:val="22"/>
                <w:szCs w:val="20"/>
              </w:rPr>
              <w:t> 1</w:t>
            </w:r>
          </w:p>
          <w:p w14:paraId="05B8B3BB" w14:textId="77777777" w:rsidR="001973ED" w:rsidRPr="006774D3" w:rsidRDefault="001973ED" w:rsidP="00F77C66">
            <w:pPr>
              <w:widowControl w:val="0"/>
              <w:tabs>
                <w:tab w:val="left" w:pos="567"/>
              </w:tabs>
              <w:rPr>
                <w:color w:val="000000"/>
                <w:sz w:val="22"/>
                <w:szCs w:val="20"/>
              </w:rPr>
            </w:pPr>
            <w:r w:rsidRPr="006774D3">
              <w:rPr>
                <w:color w:val="000000"/>
                <w:sz w:val="22"/>
                <w:szCs w:val="20"/>
              </w:rPr>
              <w:t>ARA-C (3 g/m</w:t>
            </w:r>
            <w:r w:rsidRPr="006774D3">
              <w:rPr>
                <w:color w:val="000000"/>
                <w:sz w:val="22"/>
                <w:szCs w:val="20"/>
                <w:vertAlign w:val="superscript"/>
              </w:rPr>
              <w:t>2</w:t>
            </w:r>
            <w:r w:rsidRPr="006774D3">
              <w:rPr>
                <w:color w:val="000000"/>
                <w:sz w:val="22"/>
                <w:szCs w:val="20"/>
              </w:rPr>
              <w:t>/</w:t>
            </w:r>
            <w:r w:rsidR="005B482E" w:rsidRPr="006774D3">
              <w:rPr>
                <w:color w:val="000000"/>
                <w:sz w:val="22"/>
                <w:szCs w:val="20"/>
              </w:rPr>
              <w:t>skammt á 12 klst. fresti</w:t>
            </w:r>
            <w:r w:rsidR="0089006B" w:rsidRPr="006774D3">
              <w:rPr>
                <w:color w:val="000000"/>
                <w:sz w:val="22"/>
                <w:szCs w:val="20"/>
              </w:rPr>
              <w:t xml:space="preserve"> x </w:t>
            </w:r>
            <w:r w:rsidRPr="006774D3">
              <w:rPr>
                <w:color w:val="000000"/>
                <w:sz w:val="22"/>
                <w:szCs w:val="20"/>
              </w:rPr>
              <w:t xml:space="preserve">4, </w:t>
            </w:r>
            <w:r w:rsidR="005B482E" w:rsidRPr="006774D3">
              <w:rPr>
                <w:color w:val="000000"/>
                <w:sz w:val="22"/>
                <w:szCs w:val="20"/>
              </w:rPr>
              <w:t>i.v.</w:t>
            </w:r>
            <w:r w:rsidRPr="006774D3">
              <w:rPr>
                <w:color w:val="000000"/>
                <w:sz w:val="22"/>
                <w:szCs w:val="20"/>
              </w:rPr>
              <w:t xml:space="preserve">): </w:t>
            </w:r>
            <w:r w:rsidR="005B482E" w:rsidRPr="006774D3">
              <w:rPr>
                <w:color w:val="000000"/>
                <w:sz w:val="22"/>
                <w:szCs w:val="20"/>
              </w:rPr>
              <w:t>dagar</w:t>
            </w:r>
            <w:r w:rsidRPr="006774D3">
              <w:rPr>
                <w:color w:val="000000"/>
                <w:sz w:val="22"/>
                <w:szCs w:val="20"/>
              </w:rPr>
              <w:t xml:space="preserve"> 2 </w:t>
            </w:r>
            <w:r w:rsidR="005B482E" w:rsidRPr="006774D3">
              <w:rPr>
                <w:color w:val="000000"/>
                <w:sz w:val="22"/>
                <w:szCs w:val="20"/>
              </w:rPr>
              <w:t>og</w:t>
            </w:r>
            <w:r w:rsidRPr="006774D3">
              <w:rPr>
                <w:color w:val="000000"/>
                <w:sz w:val="22"/>
                <w:szCs w:val="20"/>
              </w:rPr>
              <w:t xml:space="preserve"> 3</w:t>
            </w:r>
          </w:p>
          <w:p w14:paraId="05B8B3BC"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5B482E" w:rsidRPr="006774D3">
              <w:rPr>
                <w:color w:val="000000"/>
                <w:sz w:val="22"/>
                <w:szCs w:val="20"/>
              </w:rPr>
              <w:t>s.c.</w:t>
            </w:r>
            <w:r w:rsidR="001973ED" w:rsidRPr="006774D3">
              <w:rPr>
                <w:color w:val="000000"/>
                <w:sz w:val="22"/>
                <w:szCs w:val="20"/>
              </w:rPr>
              <w:t xml:space="preserve">): </w:t>
            </w:r>
            <w:r w:rsidR="005B482E" w:rsidRPr="006774D3">
              <w:rPr>
                <w:color w:val="000000"/>
                <w:sz w:val="22"/>
                <w:szCs w:val="20"/>
              </w:rPr>
              <w:t>dagar</w:t>
            </w:r>
            <w:r w:rsidRPr="006774D3">
              <w:rPr>
                <w:color w:val="000000"/>
                <w:sz w:val="22"/>
                <w:szCs w:val="20"/>
              </w:rPr>
              <w:t> 4</w:t>
            </w:r>
            <w:r w:rsidRPr="006774D3">
              <w:rPr>
                <w:color w:val="000000"/>
                <w:sz w:val="22"/>
                <w:szCs w:val="20"/>
              </w:rPr>
              <w:noBreakHyphen/>
            </w:r>
            <w:r w:rsidR="001973ED" w:rsidRPr="006774D3">
              <w:rPr>
                <w:color w:val="000000"/>
                <w:sz w:val="22"/>
                <w:szCs w:val="20"/>
              </w:rPr>
              <w:t xml:space="preserve">13 </w:t>
            </w:r>
            <w:r w:rsidR="005B482E" w:rsidRPr="006774D3">
              <w:rPr>
                <w:color w:val="000000"/>
                <w:sz w:val="22"/>
                <w:szCs w:val="20"/>
              </w:rPr>
              <w:t xml:space="preserve">eða þar til </w:t>
            </w:r>
            <w:r w:rsidR="001973ED" w:rsidRPr="006774D3">
              <w:rPr>
                <w:color w:val="000000"/>
                <w:sz w:val="22"/>
                <w:szCs w:val="20"/>
              </w:rPr>
              <w:t xml:space="preserve">ANC &gt; 1500 </w:t>
            </w:r>
            <w:r w:rsidR="005B482E" w:rsidRPr="006774D3">
              <w:rPr>
                <w:color w:val="000000"/>
                <w:sz w:val="22"/>
                <w:szCs w:val="20"/>
              </w:rPr>
              <w:t>eftir lægsta gildi</w:t>
            </w:r>
          </w:p>
        </w:tc>
      </w:tr>
      <w:tr w:rsidR="001973ED" w:rsidRPr="006774D3" w14:paraId="05B8B3C7" w14:textId="77777777" w:rsidTr="00632D98">
        <w:trPr>
          <w:cantSplit/>
        </w:trPr>
        <w:tc>
          <w:tcPr>
            <w:tcW w:w="2358" w:type="dxa"/>
            <w:shd w:val="clear" w:color="auto" w:fill="auto"/>
          </w:tcPr>
          <w:p w14:paraId="05B8B3BE" w14:textId="77777777" w:rsidR="001973ED" w:rsidRPr="006774D3" w:rsidRDefault="00E23FC2" w:rsidP="00F77C66">
            <w:pPr>
              <w:widowControl w:val="0"/>
              <w:tabs>
                <w:tab w:val="left" w:pos="567"/>
              </w:tabs>
              <w:rPr>
                <w:color w:val="000000"/>
                <w:sz w:val="22"/>
                <w:szCs w:val="20"/>
              </w:rPr>
            </w:pPr>
            <w:r w:rsidRPr="006774D3">
              <w:rPr>
                <w:color w:val="000000"/>
                <w:sz w:val="22"/>
                <w:szCs w:val="20"/>
              </w:rPr>
              <w:t>Endurinnleiðsluhluti</w:t>
            </w:r>
            <w:r w:rsidR="001973ED" w:rsidRPr="006774D3">
              <w:rPr>
                <w:color w:val="000000"/>
                <w:sz w:val="22"/>
                <w:szCs w:val="20"/>
              </w:rPr>
              <w:t> 1</w:t>
            </w:r>
          </w:p>
          <w:p w14:paraId="05B8B3BF" w14:textId="77777777" w:rsidR="001973ED" w:rsidRPr="006774D3" w:rsidRDefault="001973ED" w:rsidP="00F77C66">
            <w:pPr>
              <w:widowControl w:val="0"/>
              <w:tabs>
                <w:tab w:val="left" w:pos="567"/>
              </w:tabs>
              <w:rPr>
                <w:color w:val="000000"/>
                <w:sz w:val="22"/>
                <w:szCs w:val="20"/>
              </w:rPr>
            </w:pPr>
            <w:r w:rsidRPr="006774D3">
              <w:rPr>
                <w:color w:val="000000"/>
                <w:sz w:val="22"/>
                <w:szCs w:val="20"/>
              </w:rPr>
              <w:t>(3 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C0" w14:textId="77777777" w:rsidR="001973ED" w:rsidRPr="006774D3" w:rsidRDefault="0045609A" w:rsidP="00F77C66">
            <w:pPr>
              <w:widowControl w:val="0"/>
              <w:tabs>
                <w:tab w:val="left" w:pos="567"/>
              </w:tabs>
              <w:rPr>
                <w:color w:val="000000"/>
                <w:sz w:val="22"/>
                <w:szCs w:val="20"/>
              </w:rPr>
            </w:pPr>
            <w:r w:rsidRPr="006774D3">
              <w:rPr>
                <w:color w:val="000000"/>
                <w:sz w:val="22"/>
                <w:szCs w:val="20"/>
              </w:rPr>
              <w:t>VCR (1,</w:t>
            </w:r>
            <w:r w:rsidR="001973ED" w:rsidRPr="006774D3">
              <w:rPr>
                <w:color w:val="000000"/>
                <w:sz w:val="22"/>
                <w:szCs w:val="20"/>
              </w:rPr>
              <w:t>5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sólarhring</w:t>
            </w:r>
            <w:r w:rsidR="001973ED" w:rsidRPr="006774D3">
              <w:rPr>
                <w:color w:val="000000"/>
                <w:sz w:val="22"/>
                <w:szCs w:val="20"/>
              </w:rPr>
              <w:t xml:space="preserve">, </w:t>
            </w:r>
            <w:r w:rsidRPr="006774D3">
              <w:rPr>
                <w:color w:val="000000"/>
                <w:sz w:val="22"/>
                <w:szCs w:val="20"/>
              </w:rPr>
              <w:t>i.v.</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8, </w:t>
            </w:r>
            <w:r w:rsidRPr="006774D3">
              <w:rPr>
                <w:color w:val="000000"/>
                <w:sz w:val="22"/>
                <w:szCs w:val="20"/>
              </w:rPr>
              <w:t>og</w:t>
            </w:r>
            <w:r w:rsidR="001973ED" w:rsidRPr="006774D3">
              <w:rPr>
                <w:color w:val="000000"/>
                <w:sz w:val="22"/>
                <w:szCs w:val="20"/>
              </w:rPr>
              <w:t xml:space="preserve"> 15</w:t>
            </w:r>
          </w:p>
          <w:p w14:paraId="05B8B3C1" w14:textId="77777777" w:rsidR="001973ED" w:rsidRPr="006774D3" w:rsidRDefault="001973ED" w:rsidP="00F77C66">
            <w:pPr>
              <w:widowControl w:val="0"/>
              <w:tabs>
                <w:tab w:val="left" w:pos="567"/>
              </w:tabs>
              <w:rPr>
                <w:color w:val="000000"/>
                <w:sz w:val="22"/>
                <w:szCs w:val="20"/>
              </w:rPr>
            </w:pPr>
            <w:r w:rsidRPr="006774D3">
              <w:rPr>
                <w:color w:val="000000"/>
                <w:sz w:val="22"/>
                <w:szCs w:val="20"/>
              </w:rPr>
              <w:t>DAUN (45 mg/m</w:t>
            </w:r>
            <w:r w:rsidRPr="006774D3">
              <w:rPr>
                <w:color w:val="000000"/>
                <w:sz w:val="22"/>
                <w:szCs w:val="20"/>
                <w:vertAlign w:val="superscript"/>
              </w:rPr>
              <w:t>2</w:t>
            </w:r>
            <w:r w:rsidRPr="006774D3">
              <w:rPr>
                <w:color w:val="000000"/>
                <w:sz w:val="22"/>
                <w:szCs w:val="20"/>
              </w:rPr>
              <w:t>/</w:t>
            </w:r>
            <w:r w:rsidR="0045609A" w:rsidRPr="006774D3">
              <w:rPr>
                <w:color w:val="000000"/>
                <w:sz w:val="22"/>
                <w:szCs w:val="20"/>
              </w:rPr>
              <w:t xml:space="preserve">sólarhring í einum skammti </w:t>
            </w:r>
            <w:r w:rsidR="00C652F0" w:rsidRPr="006774D3">
              <w:rPr>
                <w:color w:val="000000"/>
                <w:sz w:val="22"/>
                <w:szCs w:val="20"/>
              </w:rPr>
              <w:t>[</w:t>
            </w:r>
            <w:r w:rsidRPr="006774D3">
              <w:rPr>
                <w:color w:val="000000"/>
                <w:sz w:val="22"/>
                <w:szCs w:val="20"/>
              </w:rPr>
              <w:t>bolus</w:t>
            </w:r>
            <w:r w:rsidR="00C652F0" w:rsidRPr="006774D3">
              <w:rPr>
                <w:color w:val="000000"/>
                <w:sz w:val="22"/>
                <w:szCs w:val="20"/>
              </w:rPr>
              <w:t>]</w:t>
            </w:r>
            <w:r w:rsidRPr="006774D3">
              <w:rPr>
                <w:color w:val="000000"/>
                <w:sz w:val="22"/>
                <w:szCs w:val="20"/>
              </w:rPr>
              <w:t xml:space="preserve">, </w:t>
            </w:r>
            <w:r w:rsidR="0045609A" w:rsidRPr="006774D3">
              <w:rPr>
                <w:color w:val="000000"/>
                <w:sz w:val="22"/>
                <w:szCs w:val="20"/>
              </w:rPr>
              <w:t>i.v.</w:t>
            </w:r>
            <w:r w:rsidRPr="006774D3">
              <w:rPr>
                <w:color w:val="000000"/>
                <w:sz w:val="22"/>
                <w:szCs w:val="20"/>
              </w:rPr>
              <w:t xml:space="preserve">): </w:t>
            </w:r>
            <w:r w:rsidR="0045609A" w:rsidRPr="006774D3">
              <w:rPr>
                <w:color w:val="000000"/>
                <w:sz w:val="22"/>
                <w:szCs w:val="20"/>
              </w:rPr>
              <w:t>dagar</w:t>
            </w:r>
            <w:r w:rsidRPr="006774D3">
              <w:rPr>
                <w:color w:val="000000"/>
                <w:sz w:val="22"/>
                <w:szCs w:val="20"/>
              </w:rPr>
              <w:t xml:space="preserve"> 1 </w:t>
            </w:r>
            <w:r w:rsidR="0045609A" w:rsidRPr="006774D3">
              <w:rPr>
                <w:color w:val="000000"/>
                <w:sz w:val="22"/>
                <w:szCs w:val="20"/>
              </w:rPr>
              <w:t>og</w:t>
            </w:r>
            <w:r w:rsidRPr="006774D3">
              <w:rPr>
                <w:color w:val="000000"/>
                <w:sz w:val="22"/>
                <w:szCs w:val="20"/>
              </w:rPr>
              <w:t xml:space="preserve"> 2</w:t>
            </w:r>
          </w:p>
          <w:p w14:paraId="05B8B3C2" w14:textId="77777777" w:rsidR="001973ED" w:rsidRPr="006774D3" w:rsidRDefault="001973ED" w:rsidP="00F77C66">
            <w:pPr>
              <w:widowControl w:val="0"/>
              <w:tabs>
                <w:tab w:val="left" w:pos="567"/>
              </w:tabs>
              <w:rPr>
                <w:color w:val="000000"/>
                <w:sz w:val="22"/>
                <w:szCs w:val="20"/>
              </w:rPr>
            </w:pPr>
            <w:r w:rsidRPr="006774D3">
              <w:rPr>
                <w:color w:val="000000"/>
                <w:sz w:val="22"/>
                <w:szCs w:val="20"/>
              </w:rPr>
              <w:t>CPM (250 mg/m</w:t>
            </w:r>
            <w:r w:rsidRPr="006774D3">
              <w:rPr>
                <w:color w:val="000000"/>
                <w:sz w:val="22"/>
                <w:szCs w:val="20"/>
                <w:vertAlign w:val="superscript"/>
              </w:rPr>
              <w:t>2</w:t>
            </w:r>
            <w:r w:rsidRPr="006774D3">
              <w:rPr>
                <w:color w:val="000000"/>
                <w:sz w:val="22"/>
                <w:szCs w:val="20"/>
              </w:rPr>
              <w:t>/</w:t>
            </w:r>
            <w:r w:rsidR="0045609A" w:rsidRPr="006774D3">
              <w:rPr>
                <w:color w:val="000000"/>
                <w:sz w:val="22"/>
                <w:szCs w:val="20"/>
              </w:rPr>
              <w:t>skammt á 12 klst. fresti</w:t>
            </w:r>
            <w:r w:rsidR="0089006B" w:rsidRPr="006774D3">
              <w:rPr>
                <w:color w:val="000000"/>
                <w:sz w:val="22"/>
                <w:szCs w:val="20"/>
              </w:rPr>
              <w:t xml:space="preserve"> x </w:t>
            </w:r>
            <w:r w:rsidRPr="006774D3">
              <w:rPr>
                <w:color w:val="000000"/>
                <w:sz w:val="22"/>
                <w:szCs w:val="20"/>
              </w:rPr>
              <w:t>4 </w:t>
            </w:r>
            <w:r w:rsidR="0045609A" w:rsidRPr="006774D3">
              <w:rPr>
                <w:color w:val="000000"/>
                <w:sz w:val="22"/>
                <w:szCs w:val="20"/>
              </w:rPr>
              <w:t>skammtar</w:t>
            </w:r>
            <w:r w:rsidRPr="006774D3">
              <w:rPr>
                <w:color w:val="000000"/>
                <w:sz w:val="22"/>
                <w:szCs w:val="20"/>
              </w:rPr>
              <w:t>,</w:t>
            </w:r>
            <w:r w:rsidR="0045609A" w:rsidRPr="006774D3">
              <w:rPr>
                <w:color w:val="000000"/>
                <w:sz w:val="22"/>
                <w:szCs w:val="20"/>
              </w:rPr>
              <w:t xml:space="preserve"> i.v.</w:t>
            </w:r>
            <w:r w:rsidRPr="006774D3">
              <w:rPr>
                <w:color w:val="000000"/>
                <w:sz w:val="22"/>
                <w:szCs w:val="20"/>
              </w:rPr>
              <w:t xml:space="preserve">): </w:t>
            </w:r>
            <w:r w:rsidR="0045609A" w:rsidRPr="006774D3">
              <w:rPr>
                <w:color w:val="000000"/>
                <w:sz w:val="22"/>
                <w:szCs w:val="20"/>
              </w:rPr>
              <w:t>dagar</w:t>
            </w:r>
            <w:r w:rsidRPr="006774D3">
              <w:rPr>
                <w:color w:val="000000"/>
                <w:sz w:val="22"/>
                <w:szCs w:val="20"/>
              </w:rPr>
              <w:t xml:space="preserve"> 3 </w:t>
            </w:r>
            <w:r w:rsidR="0045609A" w:rsidRPr="006774D3">
              <w:rPr>
                <w:color w:val="000000"/>
                <w:sz w:val="22"/>
                <w:szCs w:val="20"/>
              </w:rPr>
              <w:t>og</w:t>
            </w:r>
            <w:r w:rsidRPr="006774D3">
              <w:rPr>
                <w:color w:val="000000"/>
                <w:sz w:val="22"/>
                <w:szCs w:val="20"/>
              </w:rPr>
              <w:t xml:space="preserve"> 4</w:t>
            </w:r>
          </w:p>
          <w:p w14:paraId="05B8B3C3" w14:textId="77777777" w:rsidR="001973ED" w:rsidRPr="006774D3" w:rsidRDefault="0089006B" w:rsidP="00F77C66">
            <w:pPr>
              <w:widowControl w:val="0"/>
              <w:tabs>
                <w:tab w:val="left" w:pos="567"/>
              </w:tabs>
              <w:rPr>
                <w:color w:val="000000"/>
                <w:sz w:val="22"/>
                <w:szCs w:val="20"/>
              </w:rPr>
            </w:pPr>
            <w:r w:rsidRPr="006774D3">
              <w:rPr>
                <w:color w:val="000000"/>
                <w:sz w:val="22"/>
                <w:szCs w:val="20"/>
              </w:rPr>
              <w:t>PEG</w:t>
            </w:r>
            <w:r w:rsidRPr="006774D3">
              <w:rPr>
                <w:color w:val="000000"/>
                <w:sz w:val="22"/>
                <w:szCs w:val="20"/>
              </w:rPr>
              <w:noBreakHyphen/>
            </w:r>
            <w:r w:rsidR="001973ED" w:rsidRPr="006774D3">
              <w:rPr>
                <w:color w:val="000000"/>
                <w:sz w:val="22"/>
                <w:szCs w:val="20"/>
              </w:rPr>
              <w:t>ASP (2500 </w:t>
            </w:r>
            <w:r w:rsidR="0045609A" w:rsidRPr="006774D3">
              <w:rPr>
                <w:color w:val="000000"/>
                <w:sz w:val="22"/>
                <w:szCs w:val="20"/>
              </w:rPr>
              <w:t>a.einingar</w:t>
            </w:r>
            <w:r w:rsidR="001973ED" w:rsidRPr="006774D3">
              <w:rPr>
                <w:color w:val="000000"/>
                <w:sz w:val="22"/>
                <w:szCs w:val="20"/>
              </w:rPr>
              <w:t>/m</w:t>
            </w:r>
            <w:r w:rsidR="001973ED" w:rsidRPr="006774D3">
              <w:rPr>
                <w:color w:val="000000"/>
                <w:sz w:val="22"/>
                <w:szCs w:val="20"/>
                <w:vertAlign w:val="superscript"/>
              </w:rPr>
              <w:t>2</w:t>
            </w:r>
            <w:r w:rsidR="001973ED" w:rsidRPr="006774D3">
              <w:rPr>
                <w:color w:val="000000"/>
                <w:sz w:val="22"/>
                <w:szCs w:val="20"/>
              </w:rPr>
              <w:t xml:space="preserve">, </w:t>
            </w:r>
            <w:r w:rsidR="0045609A" w:rsidRPr="006774D3">
              <w:rPr>
                <w:color w:val="000000"/>
                <w:sz w:val="22"/>
                <w:szCs w:val="20"/>
              </w:rPr>
              <w:t>i.m.</w:t>
            </w:r>
            <w:r w:rsidR="001973ED" w:rsidRPr="006774D3">
              <w:rPr>
                <w:color w:val="000000"/>
                <w:sz w:val="22"/>
                <w:szCs w:val="20"/>
              </w:rPr>
              <w:t xml:space="preserve">): </w:t>
            </w:r>
            <w:r w:rsidR="0045609A" w:rsidRPr="006774D3">
              <w:rPr>
                <w:color w:val="000000"/>
                <w:sz w:val="22"/>
                <w:szCs w:val="20"/>
              </w:rPr>
              <w:t>dagur</w:t>
            </w:r>
            <w:r w:rsidR="001973ED" w:rsidRPr="006774D3">
              <w:rPr>
                <w:color w:val="000000"/>
                <w:sz w:val="22"/>
                <w:szCs w:val="20"/>
              </w:rPr>
              <w:t> 4</w:t>
            </w:r>
          </w:p>
          <w:p w14:paraId="05B8B3C4"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45609A" w:rsidRPr="006774D3">
              <w:rPr>
                <w:color w:val="000000"/>
                <w:sz w:val="22"/>
                <w:szCs w:val="20"/>
              </w:rPr>
              <w:t>s.c.</w:t>
            </w:r>
            <w:r w:rsidR="001973ED" w:rsidRPr="006774D3">
              <w:rPr>
                <w:color w:val="000000"/>
                <w:sz w:val="22"/>
                <w:szCs w:val="20"/>
              </w:rPr>
              <w:t xml:space="preserve">): </w:t>
            </w:r>
            <w:r w:rsidR="0045609A" w:rsidRPr="006774D3">
              <w:rPr>
                <w:color w:val="000000"/>
                <w:sz w:val="22"/>
                <w:szCs w:val="20"/>
              </w:rPr>
              <w:t>dagar</w:t>
            </w:r>
            <w:r w:rsidR="001973ED" w:rsidRPr="006774D3">
              <w:rPr>
                <w:color w:val="000000"/>
                <w:sz w:val="22"/>
                <w:szCs w:val="20"/>
              </w:rPr>
              <w:t> 5</w:t>
            </w:r>
            <w:r w:rsidR="001973ED" w:rsidRPr="006774D3">
              <w:rPr>
                <w:color w:val="000000"/>
                <w:sz w:val="22"/>
                <w:szCs w:val="20"/>
              </w:rPr>
              <w:noBreakHyphen/>
              <w:t xml:space="preserve">14 </w:t>
            </w:r>
            <w:r w:rsidR="0045609A" w:rsidRPr="006774D3">
              <w:rPr>
                <w:color w:val="000000"/>
                <w:sz w:val="22"/>
                <w:szCs w:val="20"/>
              </w:rPr>
              <w:t>eða þar til</w:t>
            </w:r>
            <w:r w:rsidR="001973ED" w:rsidRPr="006774D3">
              <w:rPr>
                <w:color w:val="000000"/>
                <w:sz w:val="22"/>
                <w:szCs w:val="20"/>
              </w:rPr>
              <w:t xml:space="preserve"> ANC &gt; 1500 </w:t>
            </w:r>
            <w:r w:rsidR="0045609A" w:rsidRPr="006774D3">
              <w:rPr>
                <w:color w:val="000000"/>
                <w:sz w:val="22"/>
                <w:szCs w:val="20"/>
              </w:rPr>
              <w:t>eftir lægsta gildi</w:t>
            </w:r>
          </w:p>
          <w:p w14:paraId="05B8B3C5" w14:textId="77777777" w:rsidR="001973ED" w:rsidRPr="006774D3" w:rsidRDefault="0045609A"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15</w:t>
            </w:r>
          </w:p>
          <w:p w14:paraId="05B8B3C6" w14:textId="77777777" w:rsidR="001973ED" w:rsidRPr="006774D3" w:rsidRDefault="001973ED"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w:t>
            </w:r>
            <w:r w:rsidR="0045609A" w:rsidRPr="006774D3">
              <w:rPr>
                <w:color w:val="000000"/>
                <w:sz w:val="22"/>
                <w:szCs w:val="20"/>
              </w:rPr>
              <w:t>sólarhring</w:t>
            </w:r>
            <w:r w:rsidRPr="006774D3">
              <w:rPr>
                <w:color w:val="000000"/>
                <w:sz w:val="22"/>
                <w:szCs w:val="20"/>
              </w:rPr>
              <w:t>,</w:t>
            </w:r>
            <w:r w:rsidR="0045609A" w:rsidRPr="006774D3">
              <w:rPr>
                <w:color w:val="000000"/>
                <w:sz w:val="22"/>
                <w:szCs w:val="20"/>
              </w:rPr>
              <w:t xml:space="preserve"> til inntöku)</w:t>
            </w:r>
            <w:r w:rsidRPr="006774D3">
              <w:rPr>
                <w:color w:val="000000"/>
                <w:sz w:val="22"/>
                <w:szCs w:val="20"/>
              </w:rPr>
              <w:t xml:space="preserve">: </w:t>
            </w:r>
            <w:r w:rsidR="0045609A" w:rsidRPr="006774D3">
              <w:rPr>
                <w:color w:val="000000"/>
                <w:sz w:val="22"/>
                <w:szCs w:val="20"/>
              </w:rPr>
              <w:t>dagar</w:t>
            </w:r>
            <w:r w:rsidRPr="006774D3">
              <w:rPr>
                <w:color w:val="000000"/>
                <w:sz w:val="22"/>
                <w:szCs w:val="20"/>
              </w:rPr>
              <w:t> 1</w:t>
            </w:r>
            <w:r w:rsidRPr="006774D3">
              <w:rPr>
                <w:color w:val="000000"/>
                <w:sz w:val="22"/>
                <w:szCs w:val="20"/>
              </w:rPr>
              <w:noBreakHyphen/>
              <w:t xml:space="preserve">7 </w:t>
            </w:r>
            <w:r w:rsidR="0045609A" w:rsidRPr="006774D3">
              <w:rPr>
                <w:color w:val="000000"/>
                <w:sz w:val="22"/>
                <w:szCs w:val="20"/>
              </w:rPr>
              <w:t>og</w:t>
            </w:r>
            <w:r w:rsidRPr="006774D3">
              <w:rPr>
                <w:color w:val="000000"/>
                <w:sz w:val="22"/>
                <w:szCs w:val="20"/>
              </w:rPr>
              <w:t xml:space="preserve"> 15</w:t>
            </w:r>
            <w:r w:rsidRPr="006774D3">
              <w:rPr>
                <w:color w:val="000000"/>
                <w:sz w:val="22"/>
                <w:szCs w:val="20"/>
              </w:rPr>
              <w:noBreakHyphen/>
              <w:t>21</w:t>
            </w:r>
          </w:p>
        </w:tc>
      </w:tr>
      <w:tr w:rsidR="001973ED" w:rsidRPr="006774D3" w14:paraId="05B8B3D3" w14:textId="77777777" w:rsidTr="00632D98">
        <w:trPr>
          <w:cantSplit/>
        </w:trPr>
        <w:tc>
          <w:tcPr>
            <w:tcW w:w="2358" w:type="dxa"/>
            <w:shd w:val="clear" w:color="auto" w:fill="auto"/>
          </w:tcPr>
          <w:p w14:paraId="05B8B3C8" w14:textId="77777777" w:rsidR="001973ED" w:rsidRPr="006774D3" w:rsidRDefault="00E23FC2" w:rsidP="00F77C66">
            <w:pPr>
              <w:widowControl w:val="0"/>
              <w:tabs>
                <w:tab w:val="left" w:pos="567"/>
              </w:tabs>
              <w:rPr>
                <w:color w:val="000000"/>
                <w:sz w:val="22"/>
                <w:szCs w:val="20"/>
              </w:rPr>
            </w:pPr>
            <w:r w:rsidRPr="006774D3">
              <w:rPr>
                <w:color w:val="000000"/>
                <w:sz w:val="22"/>
                <w:szCs w:val="20"/>
              </w:rPr>
              <w:t>Eflingarhluti</w:t>
            </w:r>
            <w:r w:rsidR="001973ED" w:rsidRPr="006774D3">
              <w:rPr>
                <w:color w:val="000000"/>
                <w:sz w:val="22"/>
                <w:szCs w:val="20"/>
              </w:rPr>
              <w:t> 1</w:t>
            </w:r>
          </w:p>
          <w:p w14:paraId="05B8B3C9" w14:textId="77777777" w:rsidR="001973ED" w:rsidRPr="006774D3" w:rsidRDefault="001973ED" w:rsidP="00F77C66">
            <w:pPr>
              <w:widowControl w:val="0"/>
              <w:tabs>
                <w:tab w:val="left" w:pos="567"/>
              </w:tabs>
              <w:rPr>
                <w:color w:val="000000"/>
                <w:sz w:val="22"/>
                <w:szCs w:val="20"/>
              </w:rPr>
            </w:pPr>
            <w:r w:rsidRPr="006774D3">
              <w:rPr>
                <w:color w:val="000000"/>
                <w:sz w:val="22"/>
                <w:szCs w:val="20"/>
              </w:rPr>
              <w:t>(9 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CA" w14:textId="77777777" w:rsidR="001973ED" w:rsidRPr="006774D3" w:rsidRDefault="0045609A" w:rsidP="00F77C66">
            <w:pPr>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(5 g/m</w:t>
            </w:r>
            <w:r w:rsidR="001973ED" w:rsidRPr="006774D3">
              <w:rPr>
                <w:color w:val="000000"/>
                <w:sz w:val="22"/>
                <w:szCs w:val="20"/>
                <w:vertAlign w:val="superscript"/>
              </w:rPr>
              <w:t>2</w:t>
            </w:r>
            <w:r w:rsidR="001973ED" w:rsidRPr="006774D3">
              <w:rPr>
                <w:color w:val="000000"/>
                <w:sz w:val="22"/>
                <w:szCs w:val="20"/>
              </w:rPr>
              <w:t xml:space="preserve"> </w:t>
            </w:r>
            <w:r w:rsidRPr="006774D3">
              <w:rPr>
                <w:color w:val="000000"/>
                <w:sz w:val="22"/>
                <w:szCs w:val="20"/>
              </w:rPr>
              <w:t>á 24 klst, i.v.</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15</w:t>
            </w:r>
          </w:p>
          <w:p w14:paraId="05B8B3CB" w14:textId="77777777" w:rsidR="001973ED" w:rsidRPr="006774D3" w:rsidRDefault="001973ED"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w:t>
            </w:r>
            <w:r w:rsidR="0045609A" w:rsidRPr="006774D3">
              <w:rPr>
                <w:color w:val="000000"/>
                <w:sz w:val="22"/>
                <w:szCs w:val="20"/>
              </w:rPr>
              <w:t>á 36. klst. i.v.;</w:t>
            </w:r>
            <w:r w:rsidRPr="006774D3">
              <w:rPr>
                <w:color w:val="000000"/>
                <w:sz w:val="22"/>
                <w:szCs w:val="20"/>
              </w:rPr>
              <w:t xml:space="preserve"> 15 mg/m</w:t>
            </w:r>
            <w:r w:rsidRPr="006774D3">
              <w:rPr>
                <w:color w:val="000000"/>
                <w:sz w:val="22"/>
                <w:szCs w:val="20"/>
                <w:vertAlign w:val="superscript"/>
              </w:rPr>
              <w:t>2</w:t>
            </w:r>
            <w:r w:rsidRPr="006774D3">
              <w:rPr>
                <w:color w:val="000000"/>
                <w:sz w:val="22"/>
                <w:szCs w:val="20"/>
              </w:rPr>
              <w:t xml:space="preserve"> </w:t>
            </w:r>
            <w:r w:rsidR="00B84392" w:rsidRPr="006774D3">
              <w:rPr>
                <w:color w:val="000000"/>
                <w:sz w:val="22"/>
                <w:szCs w:val="20"/>
              </w:rPr>
              <w:t>i</w:t>
            </w:r>
            <w:r w:rsidR="0045609A" w:rsidRPr="006774D3">
              <w:rPr>
                <w:color w:val="000000"/>
                <w:sz w:val="22"/>
                <w:szCs w:val="20"/>
              </w:rPr>
              <w:t xml:space="preserve">.v. eða til </w:t>
            </w:r>
            <w:r w:rsidR="0089006B" w:rsidRPr="006774D3">
              <w:rPr>
                <w:color w:val="000000"/>
                <w:sz w:val="22"/>
                <w:szCs w:val="20"/>
              </w:rPr>
              <w:t>inntöku á 6 klst. fresti x </w:t>
            </w:r>
            <w:r w:rsidR="0045609A" w:rsidRPr="006774D3">
              <w:rPr>
                <w:color w:val="000000"/>
                <w:sz w:val="22"/>
                <w:szCs w:val="20"/>
              </w:rPr>
              <w:t>6 skammtar</w:t>
            </w:r>
            <w:r w:rsidRPr="006774D3">
              <w:rPr>
                <w:color w:val="000000"/>
                <w:sz w:val="22"/>
                <w:szCs w:val="20"/>
              </w:rPr>
              <w:t xml:space="preserve">)iii: </w:t>
            </w:r>
            <w:r w:rsidR="0089006B" w:rsidRPr="006774D3">
              <w:rPr>
                <w:color w:val="000000"/>
                <w:sz w:val="22"/>
                <w:szCs w:val="20"/>
              </w:rPr>
              <w:t>d</w:t>
            </w:r>
            <w:r w:rsidR="0045609A" w:rsidRPr="006774D3">
              <w:rPr>
                <w:color w:val="000000"/>
                <w:sz w:val="22"/>
                <w:szCs w:val="20"/>
              </w:rPr>
              <w:t>agar</w:t>
            </w:r>
            <w:r w:rsidRPr="006774D3">
              <w:rPr>
                <w:color w:val="000000"/>
                <w:sz w:val="22"/>
                <w:szCs w:val="20"/>
              </w:rPr>
              <w:t xml:space="preserve"> 2, 3, 16 </w:t>
            </w:r>
            <w:r w:rsidR="0045609A" w:rsidRPr="006774D3">
              <w:rPr>
                <w:color w:val="000000"/>
                <w:sz w:val="22"/>
                <w:szCs w:val="20"/>
              </w:rPr>
              <w:t>og</w:t>
            </w:r>
            <w:r w:rsidRPr="006774D3">
              <w:rPr>
                <w:color w:val="000000"/>
                <w:sz w:val="22"/>
                <w:szCs w:val="20"/>
              </w:rPr>
              <w:t xml:space="preserve"> 17</w:t>
            </w:r>
          </w:p>
          <w:p w14:paraId="05B8B3CC" w14:textId="77777777" w:rsidR="001973ED" w:rsidRPr="006774D3" w:rsidRDefault="0045609A"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22</w:t>
            </w:r>
          </w:p>
          <w:p w14:paraId="05B8B3CD" w14:textId="77777777" w:rsidR="001973ED" w:rsidRPr="006774D3" w:rsidRDefault="0089006B"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r>
            <w:r w:rsidR="001973ED" w:rsidRPr="006774D3">
              <w:rPr>
                <w:color w:val="000000"/>
                <w:sz w:val="22"/>
                <w:szCs w:val="20"/>
              </w:rPr>
              <w:t>16 (100 mg/m</w:t>
            </w:r>
            <w:r w:rsidR="001973ED" w:rsidRPr="006774D3">
              <w:rPr>
                <w:color w:val="000000"/>
                <w:sz w:val="22"/>
                <w:szCs w:val="20"/>
                <w:vertAlign w:val="superscript"/>
              </w:rPr>
              <w:t>2</w:t>
            </w:r>
            <w:r w:rsidR="001973ED" w:rsidRPr="006774D3">
              <w:rPr>
                <w:color w:val="000000"/>
                <w:sz w:val="22"/>
                <w:szCs w:val="20"/>
              </w:rPr>
              <w:t>/</w:t>
            </w:r>
            <w:r w:rsidR="0045609A" w:rsidRPr="006774D3">
              <w:rPr>
                <w:color w:val="000000"/>
                <w:sz w:val="22"/>
                <w:szCs w:val="20"/>
              </w:rPr>
              <w:t>sólarhring</w:t>
            </w:r>
            <w:r w:rsidR="001973ED" w:rsidRPr="006774D3">
              <w:rPr>
                <w:color w:val="000000"/>
                <w:sz w:val="22"/>
                <w:szCs w:val="20"/>
              </w:rPr>
              <w:t>,</w:t>
            </w:r>
            <w:r w:rsidR="0045609A" w:rsidRPr="006774D3">
              <w:rPr>
                <w:color w:val="000000"/>
                <w:sz w:val="22"/>
                <w:szCs w:val="20"/>
              </w:rPr>
              <w:t xml:space="preserve"> i.v.</w:t>
            </w:r>
            <w:r w:rsidR="001973ED" w:rsidRPr="006774D3">
              <w:rPr>
                <w:color w:val="000000"/>
                <w:sz w:val="22"/>
                <w:szCs w:val="20"/>
              </w:rPr>
              <w:t xml:space="preserve">): </w:t>
            </w:r>
            <w:r w:rsidR="0045609A" w:rsidRPr="006774D3">
              <w:rPr>
                <w:color w:val="000000"/>
                <w:sz w:val="22"/>
                <w:szCs w:val="20"/>
              </w:rPr>
              <w:t>dagar</w:t>
            </w:r>
            <w:r w:rsidR="001973ED" w:rsidRPr="006774D3">
              <w:rPr>
                <w:color w:val="000000"/>
                <w:sz w:val="22"/>
                <w:szCs w:val="20"/>
              </w:rPr>
              <w:t> 22</w:t>
            </w:r>
            <w:r w:rsidR="001973ED" w:rsidRPr="006774D3">
              <w:rPr>
                <w:color w:val="000000"/>
                <w:sz w:val="22"/>
                <w:szCs w:val="20"/>
              </w:rPr>
              <w:noBreakHyphen/>
              <w:t>26</w:t>
            </w:r>
          </w:p>
          <w:p w14:paraId="05B8B3CE" w14:textId="77777777" w:rsidR="001973ED" w:rsidRPr="006774D3" w:rsidRDefault="001973ED"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w:t>
            </w:r>
            <w:r w:rsidR="0045609A" w:rsidRPr="006774D3">
              <w:rPr>
                <w:color w:val="000000"/>
                <w:sz w:val="22"/>
                <w:szCs w:val="20"/>
              </w:rPr>
              <w:t>sólarhring</w:t>
            </w:r>
            <w:r w:rsidRPr="006774D3">
              <w:rPr>
                <w:color w:val="000000"/>
                <w:sz w:val="22"/>
                <w:szCs w:val="20"/>
              </w:rPr>
              <w:t>,</w:t>
            </w:r>
            <w:r w:rsidR="001C0292" w:rsidRPr="006774D3">
              <w:rPr>
                <w:color w:val="000000"/>
                <w:sz w:val="22"/>
                <w:szCs w:val="20"/>
              </w:rPr>
              <w:t xml:space="preserve"> i.v.</w:t>
            </w:r>
            <w:r w:rsidRPr="006774D3">
              <w:rPr>
                <w:color w:val="000000"/>
                <w:sz w:val="22"/>
                <w:szCs w:val="20"/>
              </w:rPr>
              <w:t xml:space="preserve">): </w:t>
            </w:r>
            <w:r w:rsidR="001C0292" w:rsidRPr="006774D3">
              <w:rPr>
                <w:color w:val="000000"/>
                <w:sz w:val="22"/>
                <w:szCs w:val="20"/>
              </w:rPr>
              <w:t>dagar</w:t>
            </w:r>
            <w:r w:rsidRPr="006774D3">
              <w:rPr>
                <w:color w:val="000000"/>
                <w:sz w:val="22"/>
                <w:szCs w:val="20"/>
              </w:rPr>
              <w:t> 22</w:t>
            </w:r>
            <w:r w:rsidRPr="006774D3">
              <w:rPr>
                <w:color w:val="000000"/>
                <w:sz w:val="22"/>
                <w:szCs w:val="20"/>
              </w:rPr>
              <w:noBreakHyphen/>
              <w:t>26</w:t>
            </w:r>
          </w:p>
          <w:p w14:paraId="05B8B3CF" w14:textId="77777777" w:rsidR="001973ED" w:rsidRPr="006774D3" w:rsidRDefault="001973ED" w:rsidP="00F77C66">
            <w:pPr>
              <w:widowControl w:val="0"/>
              <w:tabs>
                <w:tab w:val="left" w:pos="567"/>
              </w:tabs>
              <w:rPr>
                <w:color w:val="000000"/>
                <w:sz w:val="22"/>
                <w:szCs w:val="20"/>
              </w:rPr>
            </w:pPr>
            <w:r w:rsidRPr="006774D3">
              <w:rPr>
                <w:color w:val="000000"/>
                <w:sz w:val="22"/>
                <w:szCs w:val="20"/>
              </w:rPr>
              <w:t>MESNA (150 mg/m</w:t>
            </w:r>
            <w:r w:rsidRPr="006774D3">
              <w:rPr>
                <w:color w:val="000000"/>
                <w:sz w:val="22"/>
                <w:szCs w:val="20"/>
                <w:vertAlign w:val="superscript"/>
              </w:rPr>
              <w:t>2</w:t>
            </w:r>
            <w:r w:rsidRPr="006774D3">
              <w:rPr>
                <w:color w:val="000000"/>
                <w:sz w:val="22"/>
                <w:szCs w:val="20"/>
              </w:rPr>
              <w:t>/</w:t>
            </w:r>
            <w:r w:rsidR="001C0292" w:rsidRPr="006774D3">
              <w:rPr>
                <w:color w:val="000000"/>
                <w:sz w:val="22"/>
                <w:szCs w:val="20"/>
              </w:rPr>
              <w:t>sólarhring</w:t>
            </w:r>
            <w:r w:rsidRPr="006774D3">
              <w:rPr>
                <w:color w:val="000000"/>
                <w:sz w:val="22"/>
                <w:szCs w:val="20"/>
              </w:rPr>
              <w:t>,</w:t>
            </w:r>
            <w:r w:rsidR="001C0292" w:rsidRPr="006774D3">
              <w:rPr>
                <w:color w:val="000000"/>
                <w:sz w:val="22"/>
                <w:szCs w:val="20"/>
              </w:rPr>
              <w:t xml:space="preserve"> i.v.</w:t>
            </w:r>
            <w:r w:rsidRPr="006774D3">
              <w:rPr>
                <w:color w:val="000000"/>
                <w:sz w:val="22"/>
                <w:szCs w:val="20"/>
              </w:rPr>
              <w:t xml:space="preserve">): </w:t>
            </w:r>
            <w:r w:rsidR="001C0292" w:rsidRPr="006774D3">
              <w:rPr>
                <w:color w:val="000000"/>
                <w:sz w:val="22"/>
                <w:szCs w:val="20"/>
              </w:rPr>
              <w:t>dagar</w:t>
            </w:r>
            <w:r w:rsidRPr="006774D3">
              <w:rPr>
                <w:color w:val="000000"/>
                <w:sz w:val="22"/>
                <w:szCs w:val="20"/>
              </w:rPr>
              <w:t> 22</w:t>
            </w:r>
            <w:r w:rsidRPr="006774D3">
              <w:rPr>
                <w:color w:val="000000"/>
                <w:sz w:val="22"/>
                <w:szCs w:val="20"/>
              </w:rPr>
              <w:noBreakHyphen/>
              <w:t>26</w:t>
            </w:r>
          </w:p>
          <w:p w14:paraId="05B8B3D0"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9B6E1D" w:rsidRPr="006774D3">
              <w:rPr>
                <w:color w:val="000000"/>
                <w:sz w:val="22"/>
                <w:szCs w:val="20"/>
              </w:rPr>
              <w:t>s.c.</w:t>
            </w:r>
            <w:r w:rsidR="001973ED" w:rsidRPr="006774D3">
              <w:rPr>
                <w:color w:val="000000"/>
                <w:sz w:val="22"/>
                <w:szCs w:val="20"/>
              </w:rPr>
              <w:t xml:space="preserve">): </w:t>
            </w:r>
            <w:r w:rsidR="009B6E1D" w:rsidRPr="006774D3">
              <w:rPr>
                <w:color w:val="000000"/>
                <w:sz w:val="22"/>
                <w:szCs w:val="20"/>
              </w:rPr>
              <w:t>dagar</w:t>
            </w:r>
            <w:r w:rsidRPr="006774D3">
              <w:rPr>
                <w:color w:val="000000"/>
                <w:sz w:val="22"/>
                <w:szCs w:val="20"/>
              </w:rPr>
              <w:t> 27</w:t>
            </w:r>
            <w:r w:rsidRPr="006774D3">
              <w:rPr>
                <w:color w:val="000000"/>
                <w:sz w:val="22"/>
                <w:szCs w:val="20"/>
              </w:rPr>
              <w:noBreakHyphen/>
            </w:r>
            <w:r w:rsidR="001973ED" w:rsidRPr="006774D3">
              <w:rPr>
                <w:color w:val="000000"/>
                <w:sz w:val="22"/>
                <w:szCs w:val="20"/>
              </w:rPr>
              <w:t xml:space="preserve">36 </w:t>
            </w:r>
            <w:r w:rsidR="009B6E1D" w:rsidRPr="006774D3">
              <w:rPr>
                <w:color w:val="000000"/>
                <w:sz w:val="22"/>
                <w:szCs w:val="20"/>
              </w:rPr>
              <w:t>eða þar til</w:t>
            </w:r>
            <w:r w:rsidR="001973ED" w:rsidRPr="006774D3">
              <w:rPr>
                <w:color w:val="000000"/>
                <w:sz w:val="22"/>
                <w:szCs w:val="20"/>
              </w:rPr>
              <w:t xml:space="preserve"> ANC &gt; 1500 </w:t>
            </w:r>
            <w:r w:rsidR="009B6E1D" w:rsidRPr="006774D3">
              <w:rPr>
                <w:color w:val="000000"/>
                <w:sz w:val="22"/>
                <w:szCs w:val="20"/>
              </w:rPr>
              <w:t>eftir lægsta gildi</w:t>
            </w:r>
          </w:p>
          <w:p w14:paraId="05B8B3D1" w14:textId="77777777" w:rsidR="001973ED" w:rsidRPr="006774D3" w:rsidRDefault="0089006B" w:rsidP="00F77C66">
            <w:pPr>
              <w:widowControl w:val="0"/>
              <w:tabs>
                <w:tab w:val="left" w:pos="567"/>
              </w:tabs>
              <w:rPr>
                <w:color w:val="000000"/>
                <w:sz w:val="22"/>
                <w:szCs w:val="20"/>
              </w:rPr>
            </w:pPr>
            <w:r w:rsidRPr="006774D3">
              <w:rPr>
                <w:color w:val="000000"/>
                <w:sz w:val="22"/>
                <w:szCs w:val="20"/>
              </w:rPr>
              <w:t>ARA</w:t>
            </w:r>
            <w:r w:rsidRPr="006774D3">
              <w:rPr>
                <w:color w:val="000000"/>
                <w:sz w:val="22"/>
                <w:szCs w:val="20"/>
              </w:rPr>
              <w:noBreakHyphen/>
            </w:r>
            <w:r w:rsidR="001973ED" w:rsidRPr="006774D3">
              <w:rPr>
                <w:color w:val="000000"/>
                <w:sz w:val="22"/>
                <w:szCs w:val="20"/>
              </w:rPr>
              <w:t>C (3 g/m</w:t>
            </w:r>
            <w:r w:rsidR="001973ED" w:rsidRPr="006774D3">
              <w:rPr>
                <w:color w:val="000000"/>
                <w:sz w:val="22"/>
                <w:szCs w:val="20"/>
                <w:vertAlign w:val="superscript"/>
              </w:rPr>
              <w:t>2</w:t>
            </w:r>
            <w:r w:rsidR="001973ED" w:rsidRPr="006774D3">
              <w:rPr>
                <w:color w:val="000000"/>
                <w:sz w:val="22"/>
                <w:szCs w:val="20"/>
              </w:rPr>
              <w:t xml:space="preserve">, </w:t>
            </w:r>
            <w:r w:rsidR="009B6E1D" w:rsidRPr="006774D3">
              <w:rPr>
                <w:color w:val="000000"/>
                <w:sz w:val="22"/>
                <w:szCs w:val="20"/>
              </w:rPr>
              <w:t>á 12 klst. fresti</w:t>
            </w:r>
            <w:r w:rsidR="001973ED" w:rsidRPr="006774D3">
              <w:rPr>
                <w:color w:val="000000"/>
                <w:sz w:val="22"/>
                <w:szCs w:val="20"/>
              </w:rPr>
              <w:t>,</w:t>
            </w:r>
            <w:r w:rsidR="009B6E1D" w:rsidRPr="006774D3">
              <w:rPr>
                <w:color w:val="000000"/>
                <w:sz w:val="22"/>
                <w:szCs w:val="20"/>
              </w:rPr>
              <w:t xml:space="preserve"> i.v.</w:t>
            </w:r>
            <w:r w:rsidR="001973ED" w:rsidRPr="006774D3">
              <w:rPr>
                <w:color w:val="000000"/>
                <w:sz w:val="22"/>
                <w:szCs w:val="20"/>
              </w:rPr>
              <w:t xml:space="preserve">): </w:t>
            </w:r>
            <w:r w:rsidR="009B6E1D" w:rsidRPr="006774D3">
              <w:rPr>
                <w:color w:val="000000"/>
                <w:sz w:val="22"/>
                <w:szCs w:val="20"/>
              </w:rPr>
              <w:t>dagar</w:t>
            </w:r>
            <w:r w:rsidR="001973ED" w:rsidRPr="006774D3">
              <w:rPr>
                <w:color w:val="000000"/>
                <w:sz w:val="22"/>
                <w:szCs w:val="20"/>
              </w:rPr>
              <w:t> 43</w:t>
            </w:r>
            <w:r w:rsidRPr="006774D3">
              <w:rPr>
                <w:color w:val="000000"/>
                <w:sz w:val="22"/>
                <w:szCs w:val="20"/>
              </w:rPr>
              <w:t xml:space="preserve"> og</w:t>
            </w:r>
            <w:r w:rsidR="001973ED" w:rsidRPr="006774D3">
              <w:rPr>
                <w:color w:val="000000"/>
                <w:sz w:val="22"/>
                <w:szCs w:val="20"/>
              </w:rPr>
              <w:t xml:space="preserve"> 44</w:t>
            </w:r>
          </w:p>
          <w:p w14:paraId="05B8B3D2" w14:textId="77777777" w:rsidR="001973ED" w:rsidRPr="006774D3" w:rsidRDefault="0089006B" w:rsidP="00F77C66">
            <w:pPr>
              <w:widowControl w:val="0"/>
              <w:tabs>
                <w:tab w:val="left" w:pos="567"/>
              </w:tabs>
              <w:rPr>
                <w:color w:val="000000"/>
                <w:sz w:val="22"/>
                <w:szCs w:val="20"/>
              </w:rPr>
            </w:pPr>
            <w:r w:rsidRPr="006774D3">
              <w:rPr>
                <w:color w:val="000000"/>
                <w:sz w:val="22"/>
                <w:szCs w:val="20"/>
              </w:rPr>
              <w:t>L</w:t>
            </w:r>
            <w:r w:rsidRPr="006774D3">
              <w:rPr>
                <w:color w:val="000000"/>
                <w:sz w:val="22"/>
                <w:szCs w:val="20"/>
              </w:rPr>
              <w:noBreakHyphen/>
            </w:r>
            <w:r w:rsidR="001973ED" w:rsidRPr="006774D3">
              <w:rPr>
                <w:color w:val="000000"/>
                <w:sz w:val="22"/>
                <w:szCs w:val="20"/>
              </w:rPr>
              <w:t>ASP (6000 </w:t>
            </w:r>
            <w:r w:rsidR="009B6E1D" w:rsidRPr="006774D3">
              <w:rPr>
                <w:color w:val="000000"/>
                <w:sz w:val="22"/>
                <w:szCs w:val="20"/>
              </w:rPr>
              <w:t>a.einingar</w:t>
            </w:r>
            <w:r w:rsidR="001973ED" w:rsidRPr="006774D3">
              <w:rPr>
                <w:color w:val="000000"/>
                <w:sz w:val="22"/>
                <w:szCs w:val="20"/>
              </w:rPr>
              <w:t>/m</w:t>
            </w:r>
            <w:r w:rsidR="001973ED" w:rsidRPr="006774D3">
              <w:rPr>
                <w:color w:val="000000"/>
                <w:sz w:val="22"/>
                <w:szCs w:val="20"/>
                <w:vertAlign w:val="superscript"/>
              </w:rPr>
              <w:t>2</w:t>
            </w:r>
            <w:r w:rsidR="001973ED" w:rsidRPr="006774D3">
              <w:rPr>
                <w:color w:val="000000"/>
                <w:sz w:val="22"/>
                <w:szCs w:val="20"/>
              </w:rPr>
              <w:t xml:space="preserve">, </w:t>
            </w:r>
            <w:r w:rsidR="009B6E1D" w:rsidRPr="006774D3">
              <w:rPr>
                <w:color w:val="000000"/>
                <w:sz w:val="22"/>
                <w:szCs w:val="20"/>
              </w:rPr>
              <w:t>i.m.</w:t>
            </w:r>
            <w:r w:rsidR="001973ED" w:rsidRPr="006774D3">
              <w:rPr>
                <w:color w:val="000000"/>
                <w:sz w:val="22"/>
                <w:szCs w:val="20"/>
              </w:rPr>
              <w:t xml:space="preserve">): </w:t>
            </w:r>
            <w:r w:rsidR="009B6E1D" w:rsidRPr="006774D3">
              <w:rPr>
                <w:color w:val="000000"/>
                <w:sz w:val="22"/>
                <w:szCs w:val="20"/>
              </w:rPr>
              <w:t>dagur</w:t>
            </w:r>
            <w:r w:rsidR="001973ED" w:rsidRPr="006774D3">
              <w:rPr>
                <w:color w:val="000000"/>
                <w:sz w:val="22"/>
                <w:szCs w:val="20"/>
              </w:rPr>
              <w:t> 44</w:t>
            </w:r>
          </w:p>
        </w:tc>
      </w:tr>
      <w:tr w:rsidR="001973ED" w:rsidRPr="006774D3" w14:paraId="05B8B3DD" w14:textId="77777777" w:rsidTr="00632D98">
        <w:trPr>
          <w:cantSplit/>
        </w:trPr>
        <w:tc>
          <w:tcPr>
            <w:tcW w:w="2358" w:type="dxa"/>
            <w:shd w:val="clear" w:color="auto" w:fill="auto"/>
          </w:tcPr>
          <w:p w14:paraId="05B8B3D4" w14:textId="77777777" w:rsidR="001973ED" w:rsidRPr="006774D3" w:rsidRDefault="00E23FC2" w:rsidP="00F77C66">
            <w:pPr>
              <w:widowControl w:val="0"/>
              <w:tabs>
                <w:tab w:val="left" w:pos="567"/>
              </w:tabs>
              <w:rPr>
                <w:color w:val="000000"/>
                <w:sz w:val="22"/>
                <w:szCs w:val="20"/>
              </w:rPr>
            </w:pPr>
            <w:r w:rsidRPr="006774D3">
              <w:rPr>
                <w:color w:val="000000"/>
                <w:sz w:val="22"/>
                <w:szCs w:val="20"/>
              </w:rPr>
              <w:t>Endurinnleiðsluhluti</w:t>
            </w:r>
            <w:r w:rsidR="001973ED" w:rsidRPr="006774D3">
              <w:rPr>
                <w:color w:val="000000"/>
                <w:sz w:val="22"/>
                <w:szCs w:val="20"/>
              </w:rPr>
              <w:t> 2</w:t>
            </w:r>
          </w:p>
          <w:p w14:paraId="05B8B3D5" w14:textId="77777777" w:rsidR="001973ED" w:rsidRPr="006774D3" w:rsidRDefault="001973ED" w:rsidP="00F77C66">
            <w:pPr>
              <w:widowControl w:val="0"/>
              <w:tabs>
                <w:tab w:val="left" w:pos="567"/>
              </w:tabs>
              <w:rPr>
                <w:color w:val="000000"/>
                <w:sz w:val="22"/>
                <w:szCs w:val="20"/>
              </w:rPr>
            </w:pPr>
            <w:r w:rsidRPr="006774D3">
              <w:rPr>
                <w:color w:val="000000"/>
                <w:sz w:val="22"/>
                <w:szCs w:val="20"/>
              </w:rPr>
              <w:t>(3 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D6" w14:textId="77777777" w:rsidR="001973ED" w:rsidRPr="006774D3" w:rsidRDefault="001973ED" w:rsidP="00F77C66">
            <w:pPr>
              <w:widowControl w:val="0"/>
              <w:tabs>
                <w:tab w:val="left" w:pos="567"/>
              </w:tabs>
              <w:rPr>
                <w:color w:val="000000"/>
                <w:sz w:val="22"/>
                <w:szCs w:val="20"/>
              </w:rPr>
            </w:pPr>
            <w:r w:rsidRPr="006774D3">
              <w:rPr>
                <w:color w:val="000000"/>
                <w:sz w:val="22"/>
                <w:szCs w:val="20"/>
              </w:rPr>
              <w:t>VCR (1</w:t>
            </w:r>
            <w:r w:rsidR="00C5292B" w:rsidRPr="006774D3">
              <w:rPr>
                <w:color w:val="000000"/>
                <w:sz w:val="22"/>
                <w:szCs w:val="20"/>
              </w:rPr>
              <w:t>,</w:t>
            </w:r>
            <w:r w:rsidRPr="006774D3">
              <w:rPr>
                <w:color w:val="000000"/>
                <w:sz w:val="22"/>
                <w:szCs w:val="20"/>
              </w:rPr>
              <w:t>5 mg/m</w:t>
            </w:r>
            <w:r w:rsidRPr="006774D3">
              <w:rPr>
                <w:color w:val="000000"/>
                <w:sz w:val="22"/>
                <w:szCs w:val="20"/>
                <w:vertAlign w:val="superscript"/>
              </w:rPr>
              <w:t>2</w:t>
            </w:r>
            <w:r w:rsidRPr="006774D3">
              <w:rPr>
                <w:color w:val="000000"/>
                <w:sz w:val="22"/>
                <w:szCs w:val="20"/>
              </w:rPr>
              <w:t>/</w:t>
            </w:r>
            <w:r w:rsidR="00C5292B" w:rsidRPr="006774D3">
              <w:rPr>
                <w:color w:val="000000"/>
                <w:sz w:val="22"/>
                <w:szCs w:val="20"/>
              </w:rPr>
              <w:t>sólarhring</w:t>
            </w:r>
            <w:r w:rsidRPr="006774D3">
              <w:rPr>
                <w:color w:val="000000"/>
                <w:sz w:val="22"/>
                <w:szCs w:val="20"/>
              </w:rPr>
              <w:t>,</w:t>
            </w:r>
            <w:r w:rsidR="00C5292B" w:rsidRPr="006774D3">
              <w:rPr>
                <w:color w:val="000000"/>
                <w:sz w:val="22"/>
                <w:szCs w:val="20"/>
              </w:rPr>
              <w:t xml:space="preserve"> i.v.</w:t>
            </w:r>
            <w:r w:rsidRPr="006774D3">
              <w:rPr>
                <w:color w:val="000000"/>
                <w:sz w:val="22"/>
                <w:szCs w:val="20"/>
              </w:rPr>
              <w:t xml:space="preserve">): </w:t>
            </w:r>
            <w:r w:rsidR="00C5292B" w:rsidRPr="006774D3">
              <w:rPr>
                <w:color w:val="000000"/>
                <w:sz w:val="22"/>
                <w:szCs w:val="20"/>
              </w:rPr>
              <w:t>dagar</w:t>
            </w:r>
            <w:r w:rsidRPr="006774D3">
              <w:rPr>
                <w:color w:val="000000"/>
                <w:sz w:val="22"/>
                <w:szCs w:val="20"/>
              </w:rPr>
              <w:t xml:space="preserve"> 1, 8 </w:t>
            </w:r>
            <w:r w:rsidR="00C5292B" w:rsidRPr="006774D3">
              <w:rPr>
                <w:color w:val="000000"/>
                <w:sz w:val="22"/>
                <w:szCs w:val="20"/>
              </w:rPr>
              <w:t>og</w:t>
            </w:r>
            <w:r w:rsidRPr="006774D3">
              <w:rPr>
                <w:color w:val="000000"/>
                <w:sz w:val="22"/>
                <w:szCs w:val="20"/>
              </w:rPr>
              <w:t xml:space="preserve"> 15</w:t>
            </w:r>
          </w:p>
          <w:p w14:paraId="05B8B3D7" w14:textId="77777777" w:rsidR="001973ED" w:rsidRPr="006774D3" w:rsidRDefault="001973ED" w:rsidP="00F77C66">
            <w:pPr>
              <w:widowControl w:val="0"/>
              <w:tabs>
                <w:tab w:val="left" w:pos="567"/>
              </w:tabs>
              <w:rPr>
                <w:color w:val="000000"/>
                <w:sz w:val="22"/>
                <w:szCs w:val="20"/>
              </w:rPr>
            </w:pPr>
            <w:r w:rsidRPr="006774D3">
              <w:rPr>
                <w:color w:val="000000"/>
                <w:sz w:val="22"/>
                <w:szCs w:val="20"/>
              </w:rPr>
              <w:t>DAUN (45 mg/m</w:t>
            </w:r>
            <w:r w:rsidRPr="006774D3">
              <w:rPr>
                <w:color w:val="000000"/>
                <w:sz w:val="22"/>
                <w:szCs w:val="20"/>
                <w:vertAlign w:val="superscript"/>
              </w:rPr>
              <w:t>2</w:t>
            </w:r>
            <w:r w:rsidRPr="006774D3">
              <w:rPr>
                <w:color w:val="000000"/>
                <w:sz w:val="22"/>
                <w:szCs w:val="20"/>
              </w:rPr>
              <w:t>/</w:t>
            </w:r>
            <w:r w:rsidR="00C5292B" w:rsidRPr="006774D3">
              <w:rPr>
                <w:color w:val="000000"/>
                <w:sz w:val="22"/>
                <w:szCs w:val="20"/>
              </w:rPr>
              <w:t>sólarhring í einum skammti</w:t>
            </w:r>
            <w:r w:rsidRPr="006774D3">
              <w:rPr>
                <w:color w:val="000000"/>
                <w:sz w:val="22"/>
                <w:szCs w:val="20"/>
              </w:rPr>
              <w:t xml:space="preserve"> </w:t>
            </w:r>
            <w:r w:rsidR="00C652F0" w:rsidRPr="006774D3">
              <w:rPr>
                <w:color w:val="000000"/>
                <w:sz w:val="22"/>
                <w:szCs w:val="20"/>
              </w:rPr>
              <w:t>[</w:t>
            </w:r>
            <w:r w:rsidRPr="006774D3">
              <w:rPr>
                <w:color w:val="000000"/>
                <w:sz w:val="22"/>
                <w:szCs w:val="20"/>
              </w:rPr>
              <w:t>bolus</w:t>
            </w:r>
            <w:r w:rsidR="00C652F0" w:rsidRPr="006774D3">
              <w:rPr>
                <w:color w:val="000000"/>
                <w:sz w:val="22"/>
                <w:szCs w:val="20"/>
              </w:rPr>
              <w:t>]</w:t>
            </w:r>
            <w:r w:rsidRPr="006774D3">
              <w:rPr>
                <w:color w:val="000000"/>
                <w:sz w:val="22"/>
                <w:szCs w:val="20"/>
              </w:rPr>
              <w:t>,</w:t>
            </w:r>
            <w:r w:rsidR="00C5292B" w:rsidRPr="006774D3">
              <w:rPr>
                <w:color w:val="000000"/>
                <w:sz w:val="22"/>
                <w:szCs w:val="20"/>
              </w:rPr>
              <w:t xml:space="preserve"> i.v.</w:t>
            </w:r>
            <w:r w:rsidRPr="006774D3">
              <w:rPr>
                <w:color w:val="000000"/>
                <w:sz w:val="22"/>
                <w:szCs w:val="20"/>
              </w:rPr>
              <w:t xml:space="preserve">): </w:t>
            </w:r>
            <w:r w:rsidR="00C5292B" w:rsidRPr="006774D3">
              <w:rPr>
                <w:color w:val="000000"/>
                <w:sz w:val="22"/>
                <w:szCs w:val="20"/>
              </w:rPr>
              <w:t>dagar</w:t>
            </w:r>
            <w:r w:rsidRPr="006774D3">
              <w:rPr>
                <w:color w:val="000000"/>
                <w:sz w:val="22"/>
                <w:szCs w:val="20"/>
              </w:rPr>
              <w:t xml:space="preserve"> 1 </w:t>
            </w:r>
            <w:r w:rsidR="00C5292B" w:rsidRPr="006774D3">
              <w:rPr>
                <w:color w:val="000000"/>
                <w:sz w:val="22"/>
                <w:szCs w:val="20"/>
              </w:rPr>
              <w:t>og</w:t>
            </w:r>
            <w:r w:rsidRPr="006774D3">
              <w:rPr>
                <w:color w:val="000000"/>
                <w:sz w:val="22"/>
                <w:szCs w:val="20"/>
              </w:rPr>
              <w:t xml:space="preserve"> 2</w:t>
            </w:r>
          </w:p>
          <w:p w14:paraId="05B8B3D8" w14:textId="77777777" w:rsidR="001973ED" w:rsidRPr="006774D3" w:rsidRDefault="001973ED" w:rsidP="00F77C66">
            <w:pPr>
              <w:widowControl w:val="0"/>
              <w:tabs>
                <w:tab w:val="left" w:pos="567"/>
              </w:tabs>
              <w:rPr>
                <w:color w:val="000000"/>
                <w:sz w:val="22"/>
                <w:szCs w:val="20"/>
              </w:rPr>
            </w:pPr>
            <w:r w:rsidRPr="006774D3">
              <w:rPr>
                <w:color w:val="000000"/>
                <w:sz w:val="22"/>
                <w:szCs w:val="20"/>
              </w:rPr>
              <w:t>CPM (250 mg/m</w:t>
            </w:r>
            <w:r w:rsidRPr="006774D3">
              <w:rPr>
                <w:color w:val="000000"/>
                <w:sz w:val="22"/>
                <w:szCs w:val="20"/>
                <w:vertAlign w:val="superscript"/>
              </w:rPr>
              <w:t>2</w:t>
            </w:r>
            <w:r w:rsidRPr="006774D3">
              <w:rPr>
                <w:color w:val="000000"/>
                <w:sz w:val="22"/>
                <w:szCs w:val="20"/>
              </w:rPr>
              <w:t>/</w:t>
            </w:r>
            <w:r w:rsidR="00C5292B" w:rsidRPr="006774D3">
              <w:rPr>
                <w:color w:val="000000"/>
                <w:sz w:val="22"/>
                <w:szCs w:val="20"/>
              </w:rPr>
              <w:t xml:space="preserve">skammt á 12 klst. fresti </w:t>
            </w:r>
            <w:r w:rsidRPr="006774D3">
              <w:rPr>
                <w:color w:val="000000"/>
                <w:sz w:val="22"/>
                <w:szCs w:val="20"/>
              </w:rPr>
              <w:t>x</w:t>
            </w:r>
            <w:r w:rsidR="0089006B" w:rsidRPr="006774D3">
              <w:rPr>
                <w:color w:val="000000"/>
                <w:sz w:val="22"/>
                <w:szCs w:val="20"/>
              </w:rPr>
              <w:t> 4 </w:t>
            </w:r>
            <w:r w:rsidR="00C5292B" w:rsidRPr="006774D3">
              <w:rPr>
                <w:color w:val="000000"/>
                <w:sz w:val="22"/>
                <w:szCs w:val="20"/>
              </w:rPr>
              <w:t>skammtar</w:t>
            </w:r>
            <w:r w:rsidRPr="006774D3">
              <w:rPr>
                <w:color w:val="000000"/>
                <w:sz w:val="22"/>
                <w:szCs w:val="20"/>
              </w:rPr>
              <w:t>, i</w:t>
            </w:r>
            <w:r w:rsidR="00C5292B" w:rsidRPr="006774D3">
              <w:rPr>
                <w:color w:val="000000"/>
                <w:sz w:val="22"/>
                <w:szCs w:val="20"/>
              </w:rPr>
              <w:t>.</w:t>
            </w:r>
            <w:r w:rsidRPr="006774D3">
              <w:rPr>
                <w:color w:val="000000"/>
                <w:sz w:val="22"/>
                <w:szCs w:val="20"/>
              </w:rPr>
              <w:t>v</w:t>
            </w:r>
            <w:r w:rsidR="00C5292B" w:rsidRPr="006774D3">
              <w:rPr>
                <w:color w:val="000000"/>
                <w:sz w:val="22"/>
                <w:szCs w:val="20"/>
              </w:rPr>
              <w:t>.</w:t>
            </w:r>
            <w:r w:rsidRPr="006774D3">
              <w:rPr>
                <w:color w:val="000000"/>
                <w:sz w:val="22"/>
                <w:szCs w:val="20"/>
              </w:rPr>
              <w:t xml:space="preserve">): </w:t>
            </w:r>
            <w:r w:rsidR="00C5292B" w:rsidRPr="006774D3">
              <w:rPr>
                <w:color w:val="000000"/>
                <w:sz w:val="22"/>
                <w:szCs w:val="20"/>
              </w:rPr>
              <w:t>dagar</w:t>
            </w:r>
            <w:r w:rsidRPr="006774D3">
              <w:rPr>
                <w:color w:val="000000"/>
                <w:sz w:val="22"/>
                <w:szCs w:val="20"/>
              </w:rPr>
              <w:t xml:space="preserve"> 3 </w:t>
            </w:r>
            <w:r w:rsidR="00C5292B" w:rsidRPr="006774D3">
              <w:rPr>
                <w:color w:val="000000"/>
                <w:sz w:val="22"/>
                <w:szCs w:val="20"/>
              </w:rPr>
              <w:t>og</w:t>
            </w:r>
            <w:r w:rsidRPr="006774D3">
              <w:rPr>
                <w:color w:val="000000"/>
                <w:sz w:val="22"/>
                <w:szCs w:val="20"/>
              </w:rPr>
              <w:t xml:space="preserve"> 4</w:t>
            </w:r>
          </w:p>
          <w:p w14:paraId="05B8B3D9" w14:textId="77777777" w:rsidR="001973ED" w:rsidRPr="006774D3" w:rsidRDefault="0089006B" w:rsidP="00F77C66">
            <w:pPr>
              <w:widowControl w:val="0"/>
              <w:tabs>
                <w:tab w:val="left" w:pos="567"/>
              </w:tabs>
              <w:rPr>
                <w:color w:val="000000"/>
                <w:sz w:val="22"/>
                <w:szCs w:val="20"/>
              </w:rPr>
            </w:pPr>
            <w:r w:rsidRPr="006774D3">
              <w:rPr>
                <w:color w:val="000000"/>
                <w:sz w:val="22"/>
                <w:szCs w:val="20"/>
              </w:rPr>
              <w:t>PEG</w:t>
            </w:r>
            <w:r w:rsidRPr="006774D3">
              <w:rPr>
                <w:color w:val="000000"/>
                <w:sz w:val="22"/>
                <w:szCs w:val="20"/>
              </w:rPr>
              <w:noBreakHyphen/>
            </w:r>
            <w:r w:rsidR="001973ED" w:rsidRPr="006774D3">
              <w:rPr>
                <w:color w:val="000000"/>
                <w:sz w:val="22"/>
                <w:szCs w:val="20"/>
              </w:rPr>
              <w:t>ASP (2500 </w:t>
            </w:r>
            <w:r w:rsidR="00C5292B" w:rsidRPr="006774D3">
              <w:rPr>
                <w:color w:val="000000"/>
                <w:sz w:val="22"/>
                <w:szCs w:val="20"/>
              </w:rPr>
              <w:t>a.einingar</w:t>
            </w:r>
            <w:r w:rsidR="001973ED" w:rsidRPr="006774D3">
              <w:rPr>
                <w:color w:val="000000"/>
                <w:sz w:val="22"/>
                <w:szCs w:val="20"/>
              </w:rPr>
              <w:t>/m</w:t>
            </w:r>
            <w:r w:rsidR="001973ED" w:rsidRPr="006774D3">
              <w:rPr>
                <w:color w:val="000000"/>
                <w:sz w:val="22"/>
                <w:szCs w:val="20"/>
                <w:vertAlign w:val="superscript"/>
              </w:rPr>
              <w:t>2</w:t>
            </w:r>
            <w:r w:rsidR="001973ED" w:rsidRPr="006774D3">
              <w:rPr>
                <w:color w:val="000000"/>
                <w:sz w:val="22"/>
                <w:szCs w:val="20"/>
              </w:rPr>
              <w:t xml:space="preserve">, </w:t>
            </w:r>
            <w:r w:rsidR="00C5292B" w:rsidRPr="006774D3">
              <w:rPr>
                <w:color w:val="000000"/>
                <w:sz w:val="22"/>
                <w:szCs w:val="20"/>
              </w:rPr>
              <w:t>i.m.</w:t>
            </w:r>
            <w:r w:rsidR="001973ED" w:rsidRPr="006774D3">
              <w:rPr>
                <w:color w:val="000000"/>
                <w:sz w:val="22"/>
                <w:szCs w:val="20"/>
              </w:rPr>
              <w:t xml:space="preserve">): </w:t>
            </w:r>
            <w:r w:rsidR="00C5292B" w:rsidRPr="006774D3">
              <w:rPr>
                <w:color w:val="000000"/>
                <w:sz w:val="22"/>
                <w:szCs w:val="20"/>
              </w:rPr>
              <w:t>dagur</w:t>
            </w:r>
            <w:r w:rsidR="001973ED" w:rsidRPr="006774D3">
              <w:rPr>
                <w:color w:val="000000"/>
                <w:sz w:val="22"/>
                <w:szCs w:val="20"/>
              </w:rPr>
              <w:t> 4</w:t>
            </w:r>
          </w:p>
          <w:p w14:paraId="05B8B3DA"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C5292B" w:rsidRPr="006774D3">
              <w:rPr>
                <w:color w:val="000000"/>
                <w:sz w:val="22"/>
                <w:szCs w:val="20"/>
              </w:rPr>
              <w:t>s.c.</w:t>
            </w:r>
            <w:r w:rsidR="001973ED" w:rsidRPr="006774D3">
              <w:rPr>
                <w:color w:val="000000"/>
                <w:sz w:val="22"/>
                <w:szCs w:val="20"/>
              </w:rPr>
              <w:t xml:space="preserve">): </w:t>
            </w:r>
            <w:r w:rsidR="00C5292B" w:rsidRPr="006774D3">
              <w:rPr>
                <w:color w:val="000000"/>
                <w:sz w:val="22"/>
                <w:szCs w:val="20"/>
              </w:rPr>
              <w:t>dagar</w:t>
            </w:r>
            <w:r w:rsidRPr="006774D3">
              <w:rPr>
                <w:color w:val="000000"/>
                <w:sz w:val="22"/>
                <w:szCs w:val="20"/>
              </w:rPr>
              <w:t> 5</w:t>
            </w:r>
            <w:r w:rsidRPr="006774D3">
              <w:rPr>
                <w:color w:val="000000"/>
                <w:sz w:val="22"/>
                <w:szCs w:val="20"/>
              </w:rPr>
              <w:noBreakHyphen/>
            </w:r>
            <w:r w:rsidR="001973ED" w:rsidRPr="006774D3">
              <w:rPr>
                <w:color w:val="000000"/>
                <w:sz w:val="22"/>
                <w:szCs w:val="20"/>
              </w:rPr>
              <w:t xml:space="preserve">14 </w:t>
            </w:r>
            <w:r w:rsidR="00C5292B" w:rsidRPr="006774D3">
              <w:rPr>
                <w:color w:val="000000"/>
                <w:sz w:val="22"/>
                <w:szCs w:val="20"/>
              </w:rPr>
              <w:t>eða þar til</w:t>
            </w:r>
            <w:r w:rsidR="001973ED" w:rsidRPr="006774D3">
              <w:rPr>
                <w:color w:val="000000"/>
                <w:sz w:val="22"/>
                <w:szCs w:val="20"/>
              </w:rPr>
              <w:t xml:space="preserve"> ANC &gt; 1500 </w:t>
            </w:r>
            <w:r w:rsidR="00C5292B" w:rsidRPr="006774D3">
              <w:rPr>
                <w:color w:val="000000"/>
                <w:sz w:val="22"/>
                <w:szCs w:val="20"/>
              </w:rPr>
              <w:t>eftir lægsta gildi</w:t>
            </w:r>
          </w:p>
          <w:p w14:paraId="05B8B3DB" w14:textId="77777777" w:rsidR="001973ED" w:rsidRPr="006774D3" w:rsidRDefault="00C5292B"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15</w:t>
            </w:r>
          </w:p>
          <w:p w14:paraId="05B8B3DC" w14:textId="77777777" w:rsidR="001973ED" w:rsidRPr="006774D3" w:rsidRDefault="001973ED"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w:t>
            </w:r>
            <w:r w:rsidR="00C5292B" w:rsidRPr="006774D3">
              <w:rPr>
                <w:color w:val="000000"/>
                <w:sz w:val="22"/>
                <w:szCs w:val="20"/>
              </w:rPr>
              <w:t>sólarhring</w:t>
            </w:r>
            <w:r w:rsidRPr="006774D3">
              <w:rPr>
                <w:color w:val="000000"/>
                <w:sz w:val="22"/>
                <w:szCs w:val="20"/>
              </w:rPr>
              <w:t>,</w:t>
            </w:r>
            <w:r w:rsidR="00C5292B" w:rsidRPr="006774D3">
              <w:rPr>
                <w:color w:val="000000"/>
                <w:sz w:val="22"/>
                <w:szCs w:val="20"/>
              </w:rPr>
              <w:t xml:space="preserve"> til inntöku</w:t>
            </w:r>
            <w:r w:rsidRPr="006774D3">
              <w:rPr>
                <w:color w:val="000000"/>
                <w:sz w:val="22"/>
                <w:szCs w:val="20"/>
              </w:rPr>
              <w:t xml:space="preserve">): </w:t>
            </w:r>
            <w:r w:rsidR="00C5292B" w:rsidRPr="006774D3">
              <w:rPr>
                <w:color w:val="000000"/>
                <w:sz w:val="22"/>
                <w:szCs w:val="20"/>
              </w:rPr>
              <w:t>dagar</w:t>
            </w:r>
            <w:r w:rsidRPr="006774D3">
              <w:rPr>
                <w:color w:val="000000"/>
                <w:sz w:val="22"/>
                <w:szCs w:val="20"/>
              </w:rPr>
              <w:t> 1</w:t>
            </w:r>
            <w:r w:rsidRPr="006774D3">
              <w:rPr>
                <w:color w:val="000000"/>
                <w:sz w:val="22"/>
                <w:szCs w:val="20"/>
              </w:rPr>
              <w:noBreakHyphen/>
              <w:t xml:space="preserve">7 </w:t>
            </w:r>
            <w:r w:rsidR="00C5292B" w:rsidRPr="006774D3">
              <w:rPr>
                <w:color w:val="000000"/>
                <w:sz w:val="22"/>
                <w:szCs w:val="20"/>
              </w:rPr>
              <w:t>og</w:t>
            </w:r>
            <w:r w:rsidRPr="006774D3">
              <w:rPr>
                <w:color w:val="000000"/>
                <w:sz w:val="22"/>
                <w:szCs w:val="20"/>
              </w:rPr>
              <w:t xml:space="preserve"> 15</w:t>
            </w:r>
            <w:r w:rsidRPr="006774D3">
              <w:rPr>
                <w:color w:val="000000"/>
                <w:sz w:val="22"/>
                <w:szCs w:val="20"/>
              </w:rPr>
              <w:noBreakHyphen/>
              <w:t>21</w:t>
            </w:r>
          </w:p>
        </w:tc>
      </w:tr>
      <w:tr w:rsidR="001973ED" w:rsidRPr="006774D3" w14:paraId="05B8B3E9" w14:textId="77777777" w:rsidTr="00632D98">
        <w:trPr>
          <w:cantSplit/>
        </w:trPr>
        <w:tc>
          <w:tcPr>
            <w:tcW w:w="2358" w:type="dxa"/>
            <w:shd w:val="clear" w:color="auto" w:fill="auto"/>
          </w:tcPr>
          <w:p w14:paraId="05B8B3DE" w14:textId="77777777" w:rsidR="001973ED" w:rsidRPr="006774D3" w:rsidRDefault="00E23FC2" w:rsidP="00F77C66">
            <w:pPr>
              <w:widowControl w:val="0"/>
              <w:tabs>
                <w:tab w:val="left" w:pos="567"/>
              </w:tabs>
              <w:rPr>
                <w:color w:val="000000"/>
                <w:sz w:val="22"/>
                <w:szCs w:val="20"/>
              </w:rPr>
            </w:pPr>
            <w:r w:rsidRPr="006774D3">
              <w:rPr>
                <w:color w:val="000000"/>
                <w:sz w:val="22"/>
                <w:szCs w:val="20"/>
              </w:rPr>
              <w:t>Eflingarhluti </w:t>
            </w:r>
            <w:r w:rsidR="001973ED" w:rsidRPr="006774D3">
              <w:rPr>
                <w:color w:val="000000"/>
                <w:sz w:val="22"/>
                <w:szCs w:val="20"/>
              </w:rPr>
              <w:t>2</w:t>
            </w:r>
          </w:p>
          <w:p w14:paraId="05B8B3DF" w14:textId="77777777" w:rsidR="001973ED" w:rsidRPr="006774D3" w:rsidRDefault="001973ED" w:rsidP="00F77C66">
            <w:pPr>
              <w:widowControl w:val="0"/>
              <w:tabs>
                <w:tab w:val="left" w:pos="567"/>
              </w:tabs>
              <w:rPr>
                <w:color w:val="000000"/>
                <w:sz w:val="22"/>
                <w:szCs w:val="20"/>
              </w:rPr>
            </w:pPr>
            <w:r w:rsidRPr="006774D3">
              <w:rPr>
                <w:color w:val="000000"/>
                <w:sz w:val="22"/>
                <w:szCs w:val="20"/>
              </w:rPr>
              <w:t>(9 </w:t>
            </w:r>
            <w:r w:rsidR="00E23FC2" w:rsidRPr="006774D3">
              <w:rPr>
                <w:color w:val="000000"/>
                <w:sz w:val="22"/>
                <w:szCs w:val="20"/>
              </w:rPr>
              <w:t>vikur</w:t>
            </w:r>
            <w:r w:rsidRPr="006774D3">
              <w:rPr>
                <w:color w:val="000000"/>
                <w:sz w:val="22"/>
                <w:szCs w:val="20"/>
              </w:rPr>
              <w:t>)</w:t>
            </w:r>
          </w:p>
        </w:tc>
        <w:tc>
          <w:tcPr>
            <w:tcW w:w="6929" w:type="dxa"/>
            <w:shd w:val="clear" w:color="auto" w:fill="auto"/>
          </w:tcPr>
          <w:p w14:paraId="05B8B3E0" w14:textId="77777777" w:rsidR="001973ED" w:rsidRPr="006774D3" w:rsidRDefault="00B84392" w:rsidP="00F77C66">
            <w:pPr>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(5 g/m</w:t>
            </w:r>
            <w:r w:rsidR="001973ED" w:rsidRPr="006774D3">
              <w:rPr>
                <w:color w:val="000000"/>
                <w:sz w:val="22"/>
                <w:szCs w:val="20"/>
                <w:vertAlign w:val="superscript"/>
              </w:rPr>
              <w:t>2</w:t>
            </w:r>
            <w:r w:rsidR="001973ED" w:rsidRPr="006774D3">
              <w:rPr>
                <w:color w:val="000000"/>
                <w:sz w:val="22"/>
                <w:szCs w:val="20"/>
              </w:rPr>
              <w:t xml:space="preserve"> </w:t>
            </w:r>
            <w:r w:rsidRPr="006774D3">
              <w:rPr>
                <w:color w:val="000000"/>
                <w:sz w:val="22"/>
                <w:szCs w:val="20"/>
              </w:rPr>
              <w:t>á 24 klst.</w:t>
            </w:r>
            <w:r w:rsidR="001973ED" w:rsidRPr="006774D3">
              <w:rPr>
                <w:color w:val="000000"/>
                <w:sz w:val="22"/>
                <w:szCs w:val="20"/>
              </w:rPr>
              <w:t xml:space="preserve">, </w:t>
            </w:r>
            <w:r w:rsidRPr="006774D3">
              <w:rPr>
                <w:color w:val="000000"/>
                <w:sz w:val="22"/>
                <w:szCs w:val="20"/>
              </w:rPr>
              <w:t>i.v.</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15</w:t>
            </w:r>
          </w:p>
          <w:p w14:paraId="05B8B3E1" w14:textId="77777777" w:rsidR="001973ED" w:rsidRPr="006774D3" w:rsidRDefault="001973ED"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w:t>
            </w:r>
            <w:r w:rsidR="00B84392" w:rsidRPr="006774D3">
              <w:rPr>
                <w:color w:val="000000"/>
                <w:sz w:val="22"/>
                <w:szCs w:val="20"/>
              </w:rPr>
              <w:t>á 36. klst. i.v.</w:t>
            </w:r>
            <w:r w:rsidRPr="006774D3">
              <w:rPr>
                <w:color w:val="000000"/>
                <w:sz w:val="22"/>
                <w:szCs w:val="20"/>
              </w:rPr>
              <w:t>; 15 mg/m</w:t>
            </w:r>
            <w:r w:rsidRPr="006774D3">
              <w:rPr>
                <w:color w:val="000000"/>
                <w:sz w:val="22"/>
                <w:szCs w:val="20"/>
                <w:vertAlign w:val="superscript"/>
              </w:rPr>
              <w:t>2</w:t>
            </w:r>
            <w:r w:rsidRPr="006774D3">
              <w:rPr>
                <w:color w:val="000000"/>
                <w:sz w:val="22"/>
                <w:szCs w:val="20"/>
              </w:rPr>
              <w:t xml:space="preserve"> </w:t>
            </w:r>
            <w:r w:rsidR="00B84392" w:rsidRPr="006774D3">
              <w:rPr>
                <w:color w:val="000000"/>
                <w:sz w:val="22"/>
                <w:szCs w:val="20"/>
              </w:rPr>
              <w:t xml:space="preserve">i.v. eða til </w:t>
            </w:r>
            <w:r w:rsidR="0089006B" w:rsidRPr="006774D3">
              <w:rPr>
                <w:color w:val="000000"/>
                <w:sz w:val="22"/>
                <w:szCs w:val="20"/>
              </w:rPr>
              <w:t>inntöku á 6 klst. fresti x </w:t>
            </w:r>
            <w:r w:rsidR="00B84392" w:rsidRPr="006774D3">
              <w:rPr>
                <w:color w:val="000000"/>
                <w:sz w:val="22"/>
                <w:szCs w:val="20"/>
              </w:rPr>
              <w:t>6 skammtar</w:t>
            </w:r>
            <w:r w:rsidRPr="006774D3">
              <w:rPr>
                <w:color w:val="000000"/>
                <w:sz w:val="22"/>
                <w:szCs w:val="20"/>
              </w:rPr>
              <w:t xml:space="preserve">)iii: </w:t>
            </w:r>
            <w:r w:rsidR="00B84392" w:rsidRPr="006774D3">
              <w:rPr>
                <w:color w:val="000000"/>
                <w:sz w:val="22"/>
                <w:szCs w:val="20"/>
              </w:rPr>
              <w:t>dagar</w:t>
            </w:r>
            <w:r w:rsidRPr="006774D3">
              <w:rPr>
                <w:color w:val="000000"/>
                <w:sz w:val="22"/>
                <w:szCs w:val="20"/>
              </w:rPr>
              <w:t xml:space="preserve"> 2, 3, 16, </w:t>
            </w:r>
            <w:r w:rsidR="00B84392" w:rsidRPr="006774D3">
              <w:rPr>
                <w:color w:val="000000"/>
                <w:sz w:val="22"/>
                <w:szCs w:val="20"/>
              </w:rPr>
              <w:t>og</w:t>
            </w:r>
            <w:r w:rsidRPr="006774D3">
              <w:rPr>
                <w:color w:val="000000"/>
                <w:sz w:val="22"/>
                <w:szCs w:val="20"/>
              </w:rPr>
              <w:t xml:space="preserve"> 17</w:t>
            </w:r>
          </w:p>
          <w:p w14:paraId="05B8B3E2" w14:textId="77777777" w:rsidR="001973ED" w:rsidRPr="006774D3" w:rsidRDefault="00B84392"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xml:space="preserve"> 1 </w:t>
            </w:r>
            <w:r w:rsidRPr="006774D3">
              <w:rPr>
                <w:color w:val="000000"/>
                <w:sz w:val="22"/>
                <w:szCs w:val="20"/>
              </w:rPr>
              <w:t>og</w:t>
            </w:r>
            <w:r w:rsidR="001973ED" w:rsidRPr="006774D3">
              <w:rPr>
                <w:color w:val="000000"/>
                <w:sz w:val="22"/>
                <w:szCs w:val="20"/>
              </w:rPr>
              <w:t xml:space="preserve"> 22</w:t>
            </w:r>
          </w:p>
          <w:p w14:paraId="05B8B3E3" w14:textId="77777777" w:rsidR="001973ED" w:rsidRPr="006774D3" w:rsidRDefault="0089006B"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r>
            <w:r w:rsidR="001973ED" w:rsidRPr="006774D3">
              <w:rPr>
                <w:color w:val="000000"/>
                <w:sz w:val="22"/>
                <w:szCs w:val="20"/>
              </w:rPr>
              <w:t>16 (100 mg/m</w:t>
            </w:r>
            <w:r w:rsidR="001973ED" w:rsidRPr="006774D3">
              <w:rPr>
                <w:color w:val="000000"/>
                <w:sz w:val="22"/>
                <w:szCs w:val="20"/>
                <w:vertAlign w:val="superscript"/>
              </w:rPr>
              <w:t>2</w:t>
            </w:r>
            <w:r w:rsidR="001973ED" w:rsidRPr="006774D3">
              <w:rPr>
                <w:color w:val="000000"/>
                <w:sz w:val="22"/>
                <w:szCs w:val="20"/>
              </w:rPr>
              <w:t>/</w:t>
            </w:r>
            <w:r w:rsidR="00B84392" w:rsidRPr="006774D3">
              <w:rPr>
                <w:color w:val="000000"/>
                <w:sz w:val="22"/>
                <w:szCs w:val="20"/>
              </w:rPr>
              <w:t>sólarhring</w:t>
            </w:r>
            <w:r w:rsidR="001973ED" w:rsidRPr="006774D3">
              <w:rPr>
                <w:color w:val="000000"/>
                <w:sz w:val="22"/>
                <w:szCs w:val="20"/>
              </w:rPr>
              <w:t>,</w:t>
            </w:r>
            <w:r w:rsidR="00B84392" w:rsidRPr="006774D3">
              <w:rPr>
                <w:color w:val="000000"/>
                <w:sz w:val="22"/>
                <w:szCs w:val="20"/>
              </w:rPr>
              <w:t xml:space="preserve"> i.v.</w:t>
            </w:r>
            <w:r w:rsidR="001973ED" w:rsidRPr="006774D3">
              <w:rPr>
                <w:color w:val="000000"/>
                <w:sz w:val="22"/>
                <w:szCs w:val="20"/>
              </w:rPr>
              <w:t xml:space="preserve">): </w:t>
            </w:r>
            <w:r w:rsidR="00B84392" w:rsidRPr="006774D3">
              <w:rPr>
                <w:color w:val="000000"/>
                <w:sz w:val="22"/>
                <w:szCs w:val="20"/>
              </w:rPr>
              <w:t>dagar</w:t>
            </w:r>
            <w:r w:rsidR="001973ED" w:rsidRPr="006774D3">
              <w:rPr>
                <w:color w:val="000000"/>
                <w:sz w:val="22"/>
                <w:szCs w:val="20"/>
              </w:rPr>
              <w:t> 22</w:t>
            </w:r>
            <w:r w:rsidR="001973ED" w:rsidRPr="006774D3">
              <w:rPr>
                <w:color w:val="000000"/>
                <w:sz w:val="22"/>
                <w:szCs w:val="20"/>
              </w:rPr>
              <w:noBreakHyphen/>
              <w:t>26</w:t>
            </w:r>
          </w:p>
          <w:p w14:paraId="05B8B3E4" w14:textId="77777777" w:rsidR="001973ED" w:rsidRPr="006774D3" w:rsidRDefault="001973ED"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w:t>
            </w:r>
            <w:r w:rsidR="00B84392" w:rsidRPr="006774D3">
              <w:rPr>
                <w:color w:val="000000"/>
                <w:sz w:val="22"/>
                <w:szCs w:val="20"/>
              </w:rPr>
              <w:t>sólarhring</w:t>
            </w:r>
            <w:r w:rsidRPr="006774D3">
              <w:rPr>
                <w:color w:val="000000"/>
                <w:sz w:val="22"/>
                <w:szCs w:val="20"/>
              </w:rPr>
              <w:t xml:space="preserve">, </w:t>
            </w:r>
            <w:r w:rsidR="00B84392" w:rsidRPr="006774D3">
              <w:rPr>
                <w:color w:val="000000"/>
                <w:sz w:val="22"/>
                <w:szCs w:val="20"/>
              </w:rPr>
              <w:t>i.v.</w:t>
            </w:r>
            <w:r w:rsidRPr="006774D3">
              <w:rPr>
                <w:color w:val="000000"/>
                <w:sz w:val="22"/>
                <w:szCs w:val="20"/>
              </w:rPr>
              <w:t xml:space="preserve">): </w:t>
            </w:r>
            <w:r w:rsidR="00B84392" w:rsidRPr="006774D3">
              <w:rPr>
                <w:color w:val="000000"/>
                <w:sz w:val="22"/>
                <w:szCs w:val="20"/>
              </w:rPr>
              <w:t>dagar</w:t>
            </w:r>
            <w:r w:rsidRPr="006774D3">
              <w:rPr>
                <w:color w:val="000000"/>
                <w:sz w:val="22"/>
                <w:szCs w:val="20"/>
              </w:rPr>
              <w:t> 22</w:t>
            </w:r>
            <w:r w:rsidRPr="006774D3">
              <w:rPr>
                <w:color w:val="000000"/>
                <w:sz w:val="22"/>
                <w:szCs w:val="20"/>
              </w:rPr>
              <w:noBreakHyphen/>
              <w:t>26</w:t>
            </w:r>
          </w:p>
          <w:p w14:paraId="05B8B3E5" w14:textId="77777777" w:rsidR="001973ED" w:rsidRPr="006774D3" w:rsidRDefault="001973ED" w:rsidP="00F77C66">
            <w:pPr>
              <w:widowControl w:val="0"/>
              <w:tabs>
                <w:tab w:val="left" w:pos="567"/>
              </w:tabs>
              <w:rPr>
                <w:color w:val="000000"/>
                <w:sz w:val="22"/>
                <w:szCs w:val="20"/>
              </w:rPr>
            </w:pPr>
            <w:r w:rsidRPr="006774D3">
              <w:rPr>
                <w:color w:val="000000"/>
                <w:sz w:val="22"/>
                <w:szCs w:val="20"/>
              </w:rPr>
              <w:t>MESNA (150 mg/m</w:t>
            </w:r>
            <w:r w:rsidRPr="006774D3">
              <w:rPr>
                <w:color w:val="000000"/>
                <w:sz w:val="22"/>
                <w:szCs w:val="20"/>
                <w:vertAlign w:val="superscript"/>
              </w:rPr>
              <w:t>2</w:t>
            </w:r>
            <w:r w:rsidRPr="006774D3">
              <w:rPr>
                <w:color w:val="000000"/>
                <w:sz w:val="22"/>
                <w:szCs w:val="20"/>
              </w:rPr>
              <w:t>/</w:t>
            </w:r>
            <w:r w:rsidR="00B84392" w:rsidRPr="006774D3">
              <w:rPr>
                <w:color w:val="000000"/>
                <w:sz w:val="22"/>
                <w:szCs w:val="20"/>
              </w:rPr>
              <w:t>sólarhring</w:t>
            </w:r>
            <w:r w:rsidRPr="006774D3">
              <w:rPr>
                <w:color w:val="000000"/>
                <w:sz w:val="22"/>
                <w:szCs w:val="20"/>
              </w:rPr>
              <w:t xml:space="preserve">, </w:t>
            </w:r>
            <w:r w:rsidR="00B84392" w:rsidRPr="006774D3">
              <w:rPr>
                <w:color w:val="000000"/>
                <w:sz w:val="22"/>
                <w:szCs w:val="20"/>
              </w:rPr>
              <w:t>i.v.</w:t>
            </w:r>
            <w:r w:rsidRPr="006774D3">
              <w:rPr>
                <w:color w:val="000000"/>
                <w:sz w:val="22"/>
                <w:szCs w:val="20"/>
              </w:rPr>
              <w:t xml:space="preserve">): </w:t>
            </w:r>
            <w:r w:rsidR="00B84392" w:rsidRPr="006774D3">
              <w:rPr>
                <w:color w:val="000000"/>
                <w:sz w:val="22"/>
                <w:szCs w:val="20"/>
              </w:rPr>
              <w:t>dagar</w:t>
            </w:r>
            <w:r w:rsidRPr="006774D3">
              <w:rPr>
                <w:color w:val="000000"/>
                <w:sz w:val="22"/>
                <w:szCs w:val="20"/>
              </w:rPr>
              <w:t> 22</w:t>
            </w:r>
            <w:r w:rsidRPr="006774D3">
              <w:rPr>
                <w:color w:val="000000"/>
                <w:sz w:val="22"/>
                <w:szCs w:val="20"/>
              </w:rPr>
              <w:noBreakHyphen/>
              <w:t>26</w:t>
            </w:r>
          </w:p>
          <w:p w14:paraId="05B8B3E6"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B84392" w:rsidRPr="006774D3">
              <w:rPr>
                <w:color w:val="000000"/>
                <w:sz w:val="22"/>
                <w:szCs w:val="20"/>
              </w:rPr>
              <w:t>s.c.</w:t>
            </w:r>
            <w:r w:rsidR="001973ED" w:rsidRPr="006774D3">
              <w:rPr>
                <w:color w:val="000000"/>
                <w:sz w:val="22"/>
                <w:szCs w:val="20"/>
              </w:rPr>
              <w:t xml:space="preserve">): </w:t>
            </w:r>
            <w:r w:rsidR="00B84392" w:rsidRPr="006774D3">
              <w:rPr>
                <w:color w:val="000000"/>
                <w:sz w:val="22"/>
                <w:szCs w:val="20"/>
              </w:rPr>
              <w:t>dagar</w:t>
            </w:r>
            <w:r w:rsidR="001973ED" w:rsidRPr="006774D3">
              <w:rPr>
                <w:color w:val="000000"/>
                <w:sz w:val="22"/>
                <w:szCs w:val="20"/>
              </w:rPr>
              <w:t> 27</w:t>
            </w:r>
            <w:r w:rsidR="001973ED" w:rsidRPr="006774D3">
              <w:rPr>
                <w:color w:val="000000"/>
                <w:sz w:val="22"/>
                <w:szCs w:val="20"/>
              </w:rPr>
              <w:noBreakHyphen/>
              <w:t xml:space="preserve">36 </w:t>
            </w:r>
            <w:r w:rsidR="00B84392" w:rsidRPr="006774D3">
              <w:rPr>
                <w:color w:val="000000"/>
                <w:sz w:val="22"/>
                <w:szCs w:val="20"/>
              </w:rPr>
              <w:t>eða þar til</w:t>
            </w:r>
            <w:r w:rsidR="001973ED" w:rsidRPr="006774D3">
              <w:rPr>
                <w:color w:val="000000"/>
                <w:sz w:val="22"/>
                <w:szCs w:val="20"/>
              </w:rPr>
              <w:t xml:space="preserve"> ANC &gt; 1500 </w:t>
            </w:r>
            <w:r w:rsidR="00B84392" w:rsidRPr="006774D3">
              <w:rPr>
                <w:color w:val="000000"/>
                <w:sz w:val="22"/>
                <w:szCs w:val="20"/>
              </w:rPr>
              <w:t>eftir lægsta skammt</w:t>
            </w:r>
          </w:p>
          <w:p w14:paraId="05B8B3E7" w14:textId="77777777" w:rsidR="001973ED" w:rsidRPr="006774D3" w:rsidRDefault="0089006B" w:rsidP="00F77C66">
            <w:pPr>
              <w:widowControl w:val="0"/>
              <w:tabs>
                <w:tab w:val="left" w:pos="567"/>
              </w:tabs>
              <w:rPr>
                <w:color w:val="000000"/>
                <w:sz w:val="22"/>
                <w:szCs w:val="20"/>
              </w:rPr>
            </w:pPr>
            <w:r w:rsidRPr="006774D3">
              <w:rPr>
                <w:color w:val="000000"/>
                <w:sz w:val="22"/>
                <w:szCs w:val="20"/>
              </w:rPr>
              <w:t>ARA</w:t>
            </w:r>
            <w:r w:rsidRPr="006774D3">
              <w:rPr>
                <w:color w:val="000000"/>
                <w:sz w:val="22"/>
                <w:szCs w:val="20"/>
              </w:rPr>
              <w:noBreakHyphen/>
              <w:t>C (3 </w:t>
            </w:r>
            <w:r w:rsidR="001973ED" w:rsidRPr="006774D3">
              <w:rPr>
                <w:color w:val="000000"/>
                <w:sz w:val="22"/>
                <w:szCs w:val="20"/>
              </w:rPr>
              <w:t>g/m</w:t>
            </w:r>
            <w:r w:rsidR="001973ED" w:rsidRPr="006774D3">
              <w:rPr>
                <w:color w:val="000000"/>
                <w:sz w:val="22"/>
                <w:szCs w:val="20"/>
                <w:vertAlign w:val="superscript"/>
              </w:rPr>
              <w:t>2</w:t>
            </w:r>
            <w:r w:rsidR="001973ED" w:rsidRPr="006774D3">
              <w:rPr>
                <w:color w:val="000000"/>
                <w:sz w:val="22"/>
                <w:szCs w:val="20"/>
              </w:rPr>
              <w:t xml:space="preserve">, </w:t>
            </w:r>
            <w:r w:rsidR="00B84392" w:rsidRPr="006774D3">
              <w:rPr>
                <w:color w:val="000000"/>
                <w:sz w:val="22"/>
                <w:szCs w:val="20"/>
              </w:rPr>
              <w:t>á 12 klst. fresti, i.v.</w:t>
            </w:r>
            <w:r w:rsidR="001973ED" w:rsidRPr="006774D3">
              <w:rPr>
                <w:color w:val="000000"/>
                <w:sz w:val="22"/>
                <w:szCs w:val="20"/>
              </w:rPr>
              <w:t xml:space="preserve">): </w:t>
            </w:r>
            <w:r w:rsidR="00B84392" w:rsidRPr="006774D3">
              <w:rPr>
                <w:color w:val="000000"/>
                <w:sz w:val="22"/>
                <w:szCs w:val="20"/>
              </w:rPr>
              <w:t>dagar</w:t>
            </w:r>
            <w:r w:rsidR="001973ED" w:rsidRPr="006774D3">
              <w:rPr>
                <w:color w:val="000000"/>
                <w:sz w:val="22"/>
                <w:szCs w:val="20"/>
              </w:rPr>
              <w:t> 43</w:t>
            </w:r>
            <w:r w:rsidRPr="006774D3">
              <w:rPr>
                <w:color w:val="000000"/>
                <w:sz w:val="22"/>
                <w:szCs w:val="20"/>
              </w:rPr>
              <w:t xml:space="preserve"> og</w:t>
            </w:r>
            <w:r w:rsidR="001973ED" w:rsidRPr="006774D3">
              <w:rPr>
                <w:color w:val="000000"/>
                <w:sz w:val="22"/>
                <w:szCs w:val="20"/>
              </w:rPr>
              <w:t xml:space="preserve"> 44</w:t>
            </w:r>
          </w:p>
          <w:p w14:paraId="05B8B3E8" w14:textId="77777777" w:rsidR="001973ED" w:rsidRPr="006774D3" w:rsidRDefault="0089006B" w:rsidP="00F77C66">
            <w:pPr>
              <w:widowControl w:val="0"/>
              <w:tabs>
                <w:tab w:val="left" w:pos="567"/>
              </w:tabs>
              <w:rPr>
                <w:color w:val="000000"/>
                <w:sz w:val="22"/>
                <w:szCs w:val="20"/>
              </w:rPr>
            </w:pPr>
            <w:r w:rsidRPr="006774D3">
              <w:rPr>
                <w:color w:val="000000"/>
                <w:sz w:val="22"/>
                <w:szCs w:val="20"/>
              </w:rPr>
              <w:t>L</w:t>
            </w:r>
            <w:r w:rsidRPr="006774D3">
              <w:rPr>
                <w:color w:val="000000"/>
                <w:sz w:val="22"/>
                <w:szCs w:val="20"/>
              </w:rPr>
              <w:noBreakHyphen/>
            </w:r>
            <w:r w:rsidR="001973ED" w:rsidRPr="006774D3">
              <w:rPr>
                <w:color w:val="000000"/>
                <w:sz w:val="22"/>
                <w:szCs w:val="20"/>
              </w:rPr>
              <w:t>ASP (6000 </w:t>
            </w:r>
            <w:r w:rsidR="00B84392" w:rsidRPr="006774D3">
              <w:rPr>
                <w:color w:val="000000"/>
                <w:sz w:val="22"/>
                <w:szCs w:val="20"/>
              </w:rPr>
              <w:t>a.einingar</w:t>
            </w:r>
            <w:r w:rsidR="001973ED" w:rsidRPr="006774D3">
              <w:rPr>
                <w:color w:val="000000"/>
                <w:sz w:val="22"/>
                <w:szCs w:val="20"/>
              </w:rPr>
              <w:t>/m</w:t>
            </w:r>
            <w:r w:rsidR="001973ED" w:rsidRPr="006774D3">
              <w:rPr>
                <w:color w:val="000000"/>
                <w:sz w:val="22"/>
                <w:szCs w:val="20"/>
                <w:vertAlign w:val="superscript"/>
              </w:rPr>
              <w:t>2</w:t>
            </w:r>
            <w:r w:rsidR="001973ED" w:rsidRPr="006774D3">
              <w:rPr>
                <w:color w:val="000000"/>
                <w:sz w:val="22"/>
                <w:szCs w:val="20"/>
              </w:rPr>
              <w:t xml:space="preserve">, </w:t>
            </w:r>
            <w:r w:rsidR="00B84392" w:rsidRPr="006774D3">
              <w:rPr>
                <w:color w:val="000000"/>
                <w:sz w:val="22"/>
                <w:szCs w:val="20"/>
              </w:rPr>
              <w:t>i.m.</w:t>
            </w:r>
            <w:r w:rsidR="001973ED" w:rsidRPr="006774D3">
              <w:rPr>
                <w:color w:val="000000"/>
                <w:sz w:val="22"/>
                <w:szCs w:val="20"/>
              </w:rPr>
              <w:t xml:space="preserve">): </w:t>
            </w:r>
            <w:r w:rsidR="00B84392" w:rsidRPr="006774D3">
              <w:rPr>
                <w:color w:val="000000"/>
                <w:sz w:val="22"/>
                <w:szCs w:val="20"/>
              </w:rPr>
              <w:t>dagur</w:t>
            </w:r>
            <w:r w:rsidR="001973ED" w:rsidRPr="006774D3">
              <w:rPr>
                <w:color w:val="000000"/>
                <w:sz w:val="22"/>
                <w:szCs w:val="20"/>
              </w:rPr>
              <w:t> 44</w:t>
            </w:r>
          </w:p>
        </w:tc>
      </w:tr>
      <w:tr w:rsidR="001973ED" w:rsidRPr="006774D3" w14:paraId="05B8B3F8" w14:textId="77777777" w:rsidTr="00632D98">
        <w:trPr>
          <w:cantSplit/>
        </w:trPr>
        <w:tc>
          <w:tcPr>
            <w:tcW w:w="2358" w:type="dxa"/>
            <w:shd w:val="clear" w:color="auto" w:fill="auto"/>
          </w:tcPr>
          <w:p w14:paraId="05B8B3EA" w14:textId="77777777" w:rsidR="001973ED" w:rsidRPr="006774D3" w:rsidRDefault="00E23FC2" w:rsidP="00F77C66">
            <w:pPr>
              <w:widowControl w:val="0"/>
              <w:tabs>
                <w:tab w:val="left" w:pos="567"/>
              </w:tabs>
              <w:rPr>
                <w:color w:val="000000"/>
                <w:sz w:val="22"/>
                <w:szCs w:val="20"/>
              </w:rPr>
            </w:pPr>
            <w:r w:rsidRPr="006774D3">
              <w:rPr>
                <w:color w:val="000000"/>
                <w:sz w:val="22"/>
                <w:szCs w:val="22"/>
              </w:rPr>
              <w:lastRenderedPageBreak/>
              <w:t>Viðhaldsmeðferð</w:t>
            </w:r>
          </w:p>
          <w:p w14:paraId="05B8B3EB" w14:textId="77777777" w:rsidR="001973ED" w:rsidRPr="006774D3" w:rsidRDefault="0089006B" w:rsidP="00F77C66">
            <w:pPr>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r>
            <w:r w:rsidR="00E23FC2" w:rsidRPr="006774D3">
              <w:rPr>
                <w:color w:val="000000"/>
                <w:sz w:val="22"/>
                <w:szCs w:val="20"/>
              </w:rPr>
              <w:t>vikna lotur</w:t>
            </w:r>
            <w:r w:rsidR="001973ED" w:rsidRPr="006774D3">
              <w:rPr>
                <w:color w:val="000000"/>
                <w:sz w:val="22"/>
                <w:szCs w:val="20"/>
              </w:rPr>
              <w:t>)</w:t>
            </w:r>
          </w:p>
          <w:p w14:paraId="05B8B3EC" w14:textId="77777777" w:rsidR="001973ED" w:rsidRPr="006774D3" w:rsidRDefault="00E23FC2" w:rsidP="00F77C66">
            <w:pPr>
              <w:widowControl w:val="0"/>
              <w:tabs>
                <w:tab w:val="left" w:pos="567"/>
              </w:tabs>
              <w:rPr>
                <w:color w:val="000000"/>
                <w:sz w:val="22"/>
                <w:szCs w:val="20"/>
              </w:rPr>
            </w:pPr>
            <w:r w:rsidRPr="006774D3">
              <w:rPr>
                <w:color w:val="000000"/>
                <w:sz w:val="22"/>
                <w:szCs w:val="20"/>
              </w:rPr>
              <w:t>Lota</w:t>
            </w:r>
            <w:r w:rsidR="001973ED" w:rsidRPr="006774D3">
              <w:rPr>
                <w:color w:val="000000"/>
                <w:sz w:val="22"/>
                <w:szCs w:val="20"/>
              </w:rPr>
              <w:t> 1–4</w:t>
            </w:r>
          </w:p>
        </w:tc>
        <w:tc>
          <w:tcPr>
            <w:tcW w:w="6929" w:type="dxa"/>
            <w:shd w:val="clear" w:color="auto" w:fill="auto"/>
          </w:tcPr>
          <w:p w14:paraId="05B8B3ED" w14:textId="77777777" w:rsidR="001973ED" w:rsidRPr="006774D3" w:rsidRDefault="001973ED" w:rsidP="00F77C66">
            <w:pPr>
              <w:widowControl w:val="0"/>
              <w:tabs>
                <w:tab w:val="left" w:pos="567"/>
              </w:tabs>
              <w:rPr>
                <w:color w:val="000000"/>
                <w:sz w:val="22"/>
                <w:szCs w:val="20"/>
              </w:rPr>
            </w:pPr>
            <w:r w:rsidRPr="006774D3">
              <w:rPr>
                <w:color w:val="000000"/>
                <w:sz w:val="22"/>
                <w:szCs w:val="20"/>
              </w:rPr>
              <w:t>MTX (5 g/m</w:t>
            </w:r>
            <w:r w:rsidRPr="006774D3">
              <w:rPr>
                <w:color w:val="000000"/>
                <w:sz w:val="22"/>
                <w:szCs w:val="20"/>
                <w:vertAlign w:val="superscript"/>
              </w:rPr>
              <w:t>2</w:t>
            </w:r>
            <w:r w:rsidRPr="006774D3">
              <w:rPr>
                <w:color w:val="000000"/>
                <w:sz w:val="22"/>
                <w:szCs w:val="20"/>
              </w:rPr>
              <w:t xml:space="preserve"> </w:t>
            </w:r>
            <w:r w:rsidR="00B84392" w:rsidRPr="006774D3">
              <w:rPr>
                <w:color w:val="000000"/>
                <w:sz w:val="22"/>
                <w:szCs w:val="20"/>
              </w:rPr>
              <w:t>á</w:t>
            </w:r>
            <w:r w:rsidRPr="006774D3">
              <w:rPr>
                <w:color w:val="000000"/>
                <w:sz w:val="22"/>
                <w:szCs w:val="20"/>
              </w:rPr>
              <w:t xml:space="preserve"> 24 </w:t>
            </w:r>
            <w:r w:rsidR="00B84392" w:rsidRPr="006774D3">
              <w:rPr>
                <w:color w:val="000000"/>
                <w:sz w:val="22"/>
                <w:szCs w:val="20"/>
              </w:rPr>
              <w:t>klst.</w:t>
            </w:r>
            <w:r w:rsidRPr="006774D3">
              <w:rPr>
                <w:color w:val="000000"/>
                <w:sz w:val="22"/>
                <w:szCs w:val="20"/>
              </w:rPr>
              <w:t xml:space="preserve">, </w:t>
            </w:r>
            <w:r w:rsidR="00B84392" w:rsidRPr="006774D3">
              <w:rPr>
                <w:color w:val="000000"/>
                <w:sz w:val="22"/>
                <w:szCs w:val="20"/>
              </w:rPr>
              <w:t>i.v.</w:t>
            </w:r>
            <w:r w:rsidRPr="006774D3">
              <w:rPr>
                <w:color w:val="000000"/>
                <w:sz w:val="22"/>
                <w:szCs w:val="20"/>
              </w:rPr>
              <w:t xml:space="preserve">): </w:t>
            </w:r>
            <w:r w:rsidR="00B84392" w:rsidRPr="006774D3">
              <w:rPr>
                <w:color w:val="000000"/>
                <w:sz w:val="22"/>
                <w:szCs w:val="20"/>
              </w:rPr>
              <w:t>dagur</w:t>
            </w:r>
            <w:r w:rsidRPr="006774D3">
              <w:rPr>
                <w:color w:val="000000"/>
                <w:sz w:val="22"/>
                <w:szCs w:val="20"/>
              </w:rPr>
              <w:t> 1</w:t>
            </w:r>
          </w:p>
          <w:p w14:paraId="05B8B3EE" w14:textId="77777777" w:rsidR="001973ED" w:rsidRPr="006774D3" w:rsidRDefault="001973ED"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w:t>
            </w:r>
            <w:r w:rsidR="00B84392" w:rsidRPr="006774D3">
              <w:rPr>
                <w:color w:val="000000"/>
                <w:sz w:val="22"/>
                <w:szCs w:val="20"/>
              </w:rPr>
              <w:t>á 36. klst. i.v.; 15 mg/m</w:t>
            </w:r>
            <w:r w:rsidR="00B84392" w:rsidRPr="006774D3">
              <w:rPr>
                <w:color w:val="000000"/>
                <w:sz w:val="22"/>
                <w:szCs w:val="20"/>
                <w:vertAlign w:val="superscript"/>
              </w:rPr>
              <w:t>2</w:t>
            </w:r>
            <w:r w:rsidR="00B84392" w:rsidRPr="006774D3">
              <w:rPr>
                <w:color w:val="000000"/>
                <w:sz w:val="22"/>
                <w:szCs w:val="20"/>
              </w:rPr>
              <w:t xml:space="preserve"> i.v. eða til inntöku á 6 klst. fresti x</w:t>
            </w:r>
            <w:r w:rsidR="0089006B" w:rsidRPr="006774D3">
              <w:rPr>
                <w:color w:val="000000"/>
                <w:sz w:val="22"/>
                <w:szCs w:val="20"/>
              </w:rPr>
              <w:t> </w:t>
            </w:r>
            <w:r w:rsidR="00B84392" w:rsidRPr="006774D3">
              <w:rPr>
                <w:color w:val="000000"/>
                <w:sz w:val="22"/>
                <w:szCs w:val="20"/>
              </w:rPr>
              <w:t>6 skammtar</w:t>
            </w:r>
            <w:r w:rsidRPr="006774D3">
              <w:rPr>
                <w:color w:val="000000"/>
                <w:sz w:val="22"/>
                <w:szCs w:val="20"/>
              </w:rPr>
              <w:t xml:space="preserve">)iii: </w:t>
            </w:r>
            <w:r w:rsidR="00B84392" w:rsidRPr="006774D3">
              <w:rPr>
                <w:color w:val="000000"/>
                <w:sz w:val="22"/>
                <w:szCs w:val="20"/>
              </w:rPr>
              <w:t>dagar</w:t>
            </w:r>
            <w:r w:rsidRPr="006774D3">
              <w:rPr>
                <w:color w:val="000000"/>
                <w:sz w:val="22"/>
                <w:szCs w:val="20"/>
              </w:rPr>
              <w:t xml:space="preserve"> 2 </w:t>
            </w:r>
            <w:r w:rsidR="00B84392" w:rsidRPr="006774D3">
              <w:rPr>
                <w:color w:val="000000"/>
                <w:sz w:val="22"/>
                <w:szCs w:val="20"/>
              </w:rPr>
              <w:t>og</w:t>
            </w:r>
            <w:r w:rsidRPr="006774D3">
              <w:rPr>
                <w:color w:val="000000"/>
                <w:sz w:val="22"/>
                <w:szCs w:val="20"/>
              </w:rPr>
              <w:t xml:space="preserve"> 3</w:t>
            </w:r>
          </w:p>
          <w:p w14:paraId="05B8B3EF" w14:textId="77777777" w:rsidR="001973ED" w:rsidRPr="006774D3" w:rsidRDefault="00B84392" w:rsidP="00F77C66">
            <w:pPr>
              <w:widowControl w:val="0"/>
              <w:tabs>
                <w:tab w:val="left" w:pos="567"/>
              </w:tabs>
              <w:rPr>
                <w:color w:val="000000"/>
                <w:sz w:val="22"/>
                <w:szCs w:val="20"/>
              </w:rPr>
            </w:pPr>
            <w:r w:rsidRPr="006774D3">
              <w:rPr>
                <w:color w:val="000000"/>
                <w:sz w:val="22"/>
                <w:szCs w:val="20"/>
              </w:rPr>
              <w:t xml:space="preserve">Þreföld </w:t>
            </w:r>
            <w:r w:rsidR="00732E14" w:rsidRPr="006774D3">
              <w:rPr>
                <w:color w:val="000000"/>
                <w:sz w:val="22"/>
                <w:szCs w:val="20"/>
              </w:rPr>
              <w:t xml:space="preserve">i.t. </w:t>
            </w:r>
            <w:r w:rsidRPr="006774D3">
              <w:rPr>
                <w:color w:val="000000"/>
                <w:sz w:val="22"/>
                <w:szCs w:val="20"/>
              </w:rPr>
              <w:t>meðferð (aðlöguð að aldri):</w:t>
            </w:r>
            <w:r w:rsidR="001973ED" w:rsidRPr="006774D3">
              <w:rPr>
                <w:color w:val="000000"/>
                <w:sz w:val="22"/>
                <w:szCs w:val="20"/>
              </w:rPr>
              <w:t xml:space="preserve"> </w:t>
            </w:r>
            <w:r w:rsidRPr="006774D3">
              <w:rPr>
                <w:color w:val="000000"/>
                <w:sz w:val="22"/>
                <w:szCs w:val="20"/>
              </w:rPr>
              <w:t>dagar</w:t>
            </w:r>
            <w:r w:rsidR="0089006B" w:rsidRPr="006774D3">
              <w:rPr>
                <w:color w:val="000000"/>
                <w:sz w:val="22"/>
                <w:szCs w:val="20"/>
              </w:rPr>
              <w:t> 1 og</w:t>
            </w:r>
            <w:r w:rsidR="001973ED" w:rsidRPr="006774D3">
              <w:rPr>
                <w:color w:val="000000"/>
                <w:sz w:val="22"/>
                <w:szCs w:val="20"/>
              </w:rPr>
              <w:t xml:space="preserve"> 29</w:t>
            </w:r>
          </w:p>
          <w:p w14:paraId="05B8B3F0" w14:textId="77777777" w:rsidR="001973ED" w:rsidRPr="006774D3" w:rsidRDefault="001973ED" w:rsidP="00F77C66">
            <w:pPr>
              <w:widowControl w:val="0"/>
              <w:tabs>
                <w:tab w:val="left" w:pos="567"/>
              </w:tabs>
              <w:rPr>
                <w:color w:val="000000"/>
                <w:sz w:val="22"/>
                <w:szCs w:val="20"/>
              </w:rPr>
            </w:pPr>
            <w:r w:rsidRPr="006774D3">
              <w:rPr>
                <w:color w:val="000000"/>
                <w:sz w:val="22"/>
                <w:szCs w:val="20"/>
              </w:rPr>
              <w:t>VCR (1</w:t>
            </w:r>
            <w:r w:rsidR="00A45DE2" w:rsidRPr="006774D3">
              <w:rPr>
                <w:color w:val="000000"/>
                <w:sz w:val="22"/>
                <w:szCs w:val="20"/>
              </w:rPr>
              <w:t>,</w:t>
            </w:r>
            <w:r w:rsidRPr="006774D3">
              <w:rPr>
                <w:color w:val="000000"/>
                <w:sz w:val="22"/>
                <w:szCs w:val="20"/>
              </w:rPr>
              <w:t>5 mg/m</w:t>
            </w:r>
            <w:r w:rsidRPr="006774D3">
              <w:rPr>
                <w:color w:val="000000"/>
                <w:sz w:val="22"/>
                <w:szCs w:val="20"/>
                <w:vertAlign w:val="superscript"/>
              </w:rPr>
              <w:t>2</w:t>
            </w:r>
            <w:r w:rsidRPr="006774D3">
              <w:rPr>
                <w:color w:val="000000"/>
                <w:sz w:val="22"/>
                <w:szCs w:val="20"/>
              </w:rPr>
              <w:t xml:space="preserve">, </w:t>
            </w:r>
            <w:r w:rsidR="00A45DE2" w:rsidRPr="006774D3">
              <w:rPr>
                <w:color w:val="000000"/>
                <w:sz w:val="22"/>
                <w:szCs w:val="20"/>
              </w:rPr>
              <w:t>i.v.</w:t>
            </w:r>
            <w:r w:rsidRPr="006774D3">
              <w:rPr>
                <w:color w:val="000000"/>
                <w:sz w:val="22"/>
                <w:szCs w:val="20"/>
              </w:rPr>
              <w:t xml:space="preserve">): </w:t>
            </w:r>
            <w:r w:rsidR="00A45DE2" w:rsidRPr="006774D3">
              <w:rPr>
                <w:color w:val="000000"/>
                <w:sz w:val="22"/>
                <w:szCs w:val="20"/>
              </w:rPr>
              <w:t>dagar</w:t>
            </w:r>
            <w:r w:rsidRPr="006774D3">
              <w:rPr>
                <w:color w:val="000000"/>
                <w:sz w:val="22"/>
                <w:szCs w:val="20"/>
              </w:rPr>
              <w:t> 1</w:t>
            </w:r>
            <w:r w:rsidR="0089006B" w:rsidRPr="006774D3">
              <w:rPr>
                <w:color w:val="000000"/>
                <w:sz w:val="22"/>
                <w:szCs w:val="20"/>
              </w:rPr>
              <w:t xml:space="preserve"> og</w:t>
            </w:r>
            <w:r w:rsidRPr="006774D3">
              <w:rPr>
                <w:color w:val="000000"/>
                <w:sz w:val="22"/>
                <w:szCs w:val="20"/>
              </w:rPr>
              <w:t xml:space="preserve"> 29</w:t>
            </w:r>
          </w:p>
          <w:p w14:paraId="05B8B3F1" w14:textId="77777777" w:rsidR="001973ED" w:rsidRPr="006774D3" w:rsidRDefault="001973ED"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w:t>
            </w:r>
            <w:r w:rsidR="00A45DE2" w:rsidRPr="006774D3">
              <w:rPr>
                <w:color w:val="000000"/>
                <w:sz w:val="22"/>
                <w:szCs w:val="20"/>
              </w:rPr>
              <w:t>sólarhring, til inntöku</w:t>
            </w:r>
            <w:r w:rsidRPr="006774D3">
              <w:rPr>
                <w:color w:val="000000"/>
                <w:sz w:val="22"/>
                <w:szCs w:val="20"/>
              </w:rPr>
              <w:t xml:space="preserve">): </w:t>
            </w:r>
            <w:r w:rsidR="00A45DE2" w:rsidRPr="006774D3">
              <w:rPr>
                <w:color w:val="000000"/>
                <w:sz w:val="22"/>
                <w:szCs w:val="20"/>
              </w:rPr>
              <w:t>dagar</w:t>
            </w:r>
            <w:r w:rsidRPr="006774D3">
              <w:rPr>
                <w:color w:val="000000"/>
                <w:sz w:val="22"/>
                <w:szCs w:val="20"/>
              </w:rPr>
              <w:t> 1</w:t>
            </w:r>
            <w:r w:rsidRPr="006774D3">
              <w:rPr>
                <w:color w:val="000000"/>
                <w:sz w:val="22"/>
                <w:szCs w:val="20"/>
              </w:rPr>
              <w:noBreakHyphen/>
              <w:t>5; 29</w:t>
            </w:r>
            <w:r w:rsidRPr="006774D3">
              <w:rPr>
                <w:color w:val="000000"/>
                <w:sz w:val="22"/>
                <w:szCs w:val="20"/>
              </w:rPr>
              <w:noBreakHyphen/>
              <w:t>33</w:t>
            </w:r>
          </w:p>
          <w:p w14:paraId="05B8B3F2" w14:textId="77777777" w:rsidR="001973ED" w:rsidRPr="006774D3" w:rsidRDefault="001973ED" w:rsidP="00F77C66">
            <w:pPr>
              <w:widowControl w:val="0"/>
              <w:tabs>
                <w:tab w:val="left" w:pos="567"/>
              </w:tabs>
              <w:rPr>
                <w:color w:val="000000"/>
                <w:sz w:val="22"/>
                <w:szCs w:val="20"/>
              </w:rPr>
            </w:pPr>
            <w:r w:rsidRPr="006774D3">
              <w:rPr>
                <w:color w:val="000000"/>
                <w:sz w:val="22"/>
                <w:szCs w:val="20"/>
              </w:rPr>
              <w:t>6</w:t>
            </w:r>
            <w:r w:rsidR="0089006B" w:rsidRPr="006774D3">
              <w:rPr>
                <w:color w:val="000000"/>
                <w:sz w:val="22"/>
                <w:szCs w:val="20"/>
              </w:rPr>
              <w:noBreakHyphen/>
            </w:r>
            <w:r w:rsidRPr="006774D3">
              <w:rPr>
                <w:color w:val="000000"/>
                <w:sz w:val="22"/>
                <w:szCs w:val="20"/>
              </w:rPr>
              <w:t>MP (75 mg/m</w:t>
            </w:r>
            <w:r w:rsidRPr="006774D3">
              <w:rPr>
                <w:color w:val="000000"/>
                <w:sz w:val="22"/>
                <w:szCs w:val="20"/>
                <w:vertAlign w:val="superscript"/>
              </w:rPr>
              <w:t>2</w:t>
            </w:r>
            <w:r w:rsidRPr="006774D3">
              <w:rPr>
                <w:color w:val="000000"/>
                <w:sz w:val="22"/>
                <w:szCs w:val="20"/>
              </w:rPr>
              <w:t>/</w:t>
            </w:r>
            <w:r w:rsidR="00A45DE2" w:rsidRPr="006774D3">
              <w:rPr>
                <w:color w:val="000000"/>
                <w:sz w:val="22"/>
                <w:szCs w:val="20"/>
              </w:rPr>
              <w:t>sólarhring</w:t>
            </w:r>
            <w:r w:rsidRPr="006774D3">
              <w:rPr>
                <w:color w:val="000000"/>
                <w:sz w:val="22"/>
                <w:szCs w:val="20"/>
              </w:rPr>
              <w:t xml:space="preserve">, </w:t>
            </w:r>
            <w:r w:rsidR="00A45DE2" w:rsidRPr="006774D3">
              <w:rPr>
                <w:color w:val="000000"/>
                <w:sz w:val="22"/>
                <w:szCs w:val="20"/>
              </w:rPr>
              <w:t>til inntöku</w:t>
            </w:r>
            <w:r w:rsidRPr="006774D3">
              <w:rPr>
                <w:color w:val="000000"/>
                <w:sz w:val="22"/>
                <w:szCs w:val="20"/>
              </w:rPr>
              <w:t xml:space="preserve">): </w:t>
            </w:r>
            <w:r w:rsidR="00A45DE2" w:rsidRPr="006774D3">
              <w:rPr>
                <w:color w:val="000000"/>
                <w:sz w:val="22"/>
                <w:szCs w:val="20"/>
              </w:rPr>
              <w:t>dagar</w:t>
            </w:r>
            <w:r w:rsidR="0089006B" w:rsidRPr="006774D3">
              <w:rPr>
                <w:color w:val="000000"/>
                <w:sz w:val="22"/>
                <w:szCs w:val="20"/>
              </w:rPr>
              <w:t> 8</w:t>
            </w:r>
            <w:r w:rsidR="0089006B" w:rsidRPr="006774D3">
              <w:rPr>
                <w:color w:val="000000"/>
                <w:sz w:val="22"/>
                <w:szCs w:val="20"/>
              </w:rPr>
              <w:noBreakHyphen/>
            </w:r>
            <w:r w:rsidRPr="006774D3">
              <w:rPr>
                <w:color w:val="000000"/>
                <w:sz w:val="22"/>
                <w:szCs w:val="20"/>
              </w:rPr>
              <w:t>28</w:t>
            </w:r>
          </w:p>
          <w:p w14:paraId="05B8B3F3" w14:textId="77777777" w:rsidR="001973ED" w:rsidRPr="006774D3" w:rsidRDefault="00A45DE2" w:rsidP="00F77C66">
            <w:pPr>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(20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viku</w:t>
            </w:r>
            <w:r w:rsidR="001973ED" w:rsidRPr="006774D3">
              <w:rPr>
                <w:color w:val="000000"/>
                <w:sz w:val="22"/>
                <w:szCs w:val="20"/>
              </w:rPr>
              <w:t xml:space="preserve">, </w:t>
            </w:r>
            <w:r w:rsidRPr="006774D3">
              <w:rPr>
                <w:color w:val="000000"/>
                <w:sz w:val="22"/>
                <w:szCs w:val="20"/>
              </w:rPr>
              <w:t>til inntöku</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8, 15</w:t>
            </w:r>
            <w:r w:rsidR="0089006B" w:rsidRPr="006774D3">
              <w:rPr>
                <w:color w:val="000000"/>
                <w:sz w:val="22"/>
                <w:szCs w:val="20"/>
              </w:rPr>
              <w:t xml:space="preserve"> og</w:t>
            </w:r>
            <w:r w:rsidR="001973ED" w:rsidRPr="006774D3">
              <w:rPr>
                <w:color w:val="000000"/>
                <w:sz w:val="22"/>
                <w:szCs w:val="20"/>
              </w:rPr>
              <w:t xml:space="preserve"> 22</w:t>
            </w:r>
          </w:p>
          <w:p w14:paraId="05B8B3F4" w14:textId="77777777" w:rsidR="001973ED" w:rsidRPr="006774D3" w:rsidRDefault="0089006B"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r>
            <w:r w:rsidR="001973ED" w:rsidRPr="006774D3">
              <w:rPr>
                <w:color w:val="000000"/>
                <w:sz w:val="22"/>
                <w:szCs w:val="20"/>
              </w:rPr>
              <w:t>16 (100 mg/m</w:t>
            </w:r>
            <w:r w:rsidR="001973ED" w:rsidRPr="006774D3">
              <w:rPr>
                <w:color w:val="000000"/>
                <w:sz w:val="22"/>
                <w:szCs w:val="20"/>
                <w:vertAlign w:val="superscript"/>
              </w:rPr>
              <w:t>2</w:t>
            </w:r>
            <w:r w:rsidR="001973ED" w:rsidRPr="006774D3">
              <w:rPr>
                <w:color w:val="000000"/>
                <w:sz w:val="22"/>
                <w:szCs w:val="20"/>
              </w:rPr>
              <w:t xml:space="preserve">, </w:t>
            </w:r>
            <w:r w:rsidR="00A45DE2" w:rsidRPr="006774D3">
              <w:rPr>
                <w:color w:val="000000"/>
                <w:sz w:val="22"/>
                <w:szCs w:val="20"/>
              </w:rPr>
              <w:t>i.v.</w:t>
            </w:r>
            <w:r w:rsidR="001973ED" w:rsidRPr="006774D3">
              <w:rPr>
                <w:color w:val="000000"/>
                <w:sz w:val="22"/>
                <w:szCs w:val="20"/>
              </w:rPr>
              <w:t xml:space="preserve">): </w:t>
            </w:r>
            <w:r w:rsidR="00A45DE2" w:rsidRPr="006774D3">
              <w:rPr>
                <w:color w:val="000000"/>
                <w:sz w:val="22"/>
                <w:szCs w:val="20"/>
              </w:rPr>
              <w:t>dagar</w:t>
            </w:r>
            <w:r w:rsidR="001973ED" w:rsidRPr="006774D3">
              <w:rPr>
                <w:color w:val="000000"/>
                <w:sz w:val="22"/>
                <w:szCs w:val="20"/>
              </w:rPr>
              <w:t> 29</w:t>
            </w:r>
            <w:r w:rsidR="001973ED" w:rsidRPr="006774D3">
              <w:rPr>
                <w:color w:val="000000"/>
                <w:sz w:val="22"/>
                <w:szCs w:val="20"/>
              </w:rPr>
              <w:noBreakHyphen/>
              <w:t>33</w:t>
            </w:r>
          </w:p>
          <w:p w14:paraId="05B8B3F5" w14:textId="77777777" w:rsidR="001973ED" w:rsidRPr="006774D3" w:rsidRDefault="001973ED"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 xml:space="preserve">, </w:t>
            </w:r>
            <w:r w:rsidR="00A45DE2" w:rsidRPr="006774D3">
              <w:rPr>
                <w:color w:val="000000"/>
                <w:sz w:val="22"/>
                <w:szCs w:val="20"/>
              </w:rPr>
              <w:t>i.v.</w:t>
            </w:r>
            <w:r w:rsidRPr="006774D3">
              <w:rPr>
                <w:color w:val="000000"/>
                <w:sz w:val="22"/>
                <w:szCs w:val="20"/>
              </w:rPr>
              <w:t xml:space="preserve">): </w:t>
            </w:r>
            <w:r w:rsidR="00A45DE2" w:rsidRPr="006774D3">
              <w:rPr>
                <w:color w:val="000000"/>
                <w:sz w:val="22"/>
                <w:szCs w:val="20"/>
              </w:rPr>
              <w:t>dagar</w:t>
            </w:r>
            <w:r w:rsidRPr="006774D3">
              <w:rPr>
                <w:color w:val="000000"/>
                <w:sz w:val="22"/>
                <w:szCs w:val="20"/>
              </w:rPr>
              <w:t> 29</w:t>
            </w:r>
            <w:r w:rsidRPr="006774D3">
              <w:rPr>
                <w:color w:val="000000"/>
                <w:sz w:val="22"/>
                <w:szCs w:val="20"/>
              </w:rPr>
              <w:noBreakHyphen/>
              <w:t>33</w:t>
            </w:r>
          </w:p>
          <w:p w14:paraId="05B8B3F6" w14:textId="77777777" w:rsidR="001973ED" w:rsidRPr="006774D3" w:rsidRDefault="00AB49E0" w:rsidP="00F77C66">
            <w:pPr>
              <w:widowControl w:val="0"/>
              <w:tabs>
                <w:tab w:val="left" w:pos="567"/>
              </w:tabs>
              <w:rPr>
                <w:color w:val="000000"/>
                <w:sz w:val="22"/>
                <w:szCs w:val="20"/>
              </w:rPr>
            </w:pPr>
            <w:r w:rsidRPr="006774D3">
              <w:rPr>
                <w:color w:val="000000"/>
                <w:sz w:val="22"/>
                <w:szCs w:val="20"/>
              </w:rPr>
              <w:t>MESNA</w:t>
            </w:r>
            <w:r w:rsidR="001973ED" w:rsidRPr="006774D3">
              <w:rPr>
                <w:color w:val="000000"/>
                <w:sz w:val="22"/>
                <w:szCs w:val="20"/>
              </w:rPr>
              <w:t xml:space="preserve"> </w:t>
            </w:r>
            <w:r w:rsidR="00A45DE2" w:rsidRPr="006774D3">
              <w:rPr>
                <w:color w:val="000000"/>
                <w:sz w:val="22"/>
                <w:szCs w:val="20"/>
              </w:rPr>
              <w:t>i.v.</w:t>
            </w:r>
            <w:r w:rsidR="001973ED" w:rsidRPr="006774D3">
              <w:rPr>
                <w:color w:val="000000"/>
                <w:sz w:val="22"/>
                <w:szCs w:val="20"/>
              </w:rPr>
              <w:t xml:space="preserve"> </w:t>
            </w:r>
            <w:r w:rsidR="00A45DE2" w:rsidRPr="006774D3">
              <w:rPr>
                <w:color w:val="000000"/>
                <w:sz w:val="22"/>
                <w:szCs w:val="20"/>
              </w:rPr>
              <w:t>dagar</w:t>
            </w:r>
            <w:r w:rsidR="001973ED" w:rsidRPr="006774D3">
              <w:rPr>
                <w:color w:val="000000"/>
                <w:sz w:val="22"/>
                <w:szCs w:val="20"/>
              </w:rPr>
              <w:t> 29</w:t>
            </w:r>
            <w:r w:rsidR="001973ED" w:rsidRPr="006774D3">
              <w:rPr>
                <w:color w:val="000000"/>
                <w:sz w:val="22"/>
                <w:szCs w:val="20"/>
              </w:rPr>
              <w:noBreakHyphen/>
              <w:t>33</w:t>
            </w:r>
          </w:p>
          <w:p w14:paraId="05B8B3F7" w14:textId="77777777" w:rsidR="001973ED" w:rsidRPr="006774D3" w:rsidRDefault="0089006B"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r>
            <w:r w:rsidR="001973ED" w:rsidRPr="006774D3">
              <w:rPr>
                <w:color w:val="000000"/>
                <w:sz w:val="22"/>
                <w:szCs w:val="20"/>
              </w:rPr>
              <w:t xml:space="preserve">CSF (5 μg/kg, </w:t>
            </w:r>
            <w:r w:rsidR="00A45DE2" w:rsidRPr="006774D3">
              <w:rPr>
                <w:color w:val="000000"/>
                <w:sz w:val="22"/>
                <w:szCs w:val="20"/>
              </w:rPr>
              <w:t>s.c.</w:t>
            </w:r>
            <w:r w:rsidR="001973ED" w:rsidRPr="006774D3">
              <w:rPr>
                <w:color w:val="000000"/>
                <w:sz w:val="22"/>
                <w:szCs w:val="20"/>
              </w:rPr>
              <w:t xml:space="preserve">): </w:t>
            </w:r>
            <w:r w:rsidR="00A45DE2" w:rsidRPr="006774D3">
              <w:rPr>
                <w:color w:val="000000"/>
                <w:sz w:val="22"/>
                <w:szCs w:val="20"/>
              </w:rPr>
              <w:t>dagar</w:t>
            </w:r>
            <w:r w:rsidR="001973ED" w:rsidRPr="006774D3">
              <w:rPr>
                <w:color w:val="000000"/>
                <w:sz w:val="22"/>
                <w:szCs w:val="20"/>
              </w:rPr>
              <w:t> 34</w:t>
            </w:r>
            <w:r w:rsidR="001973ED" w:rsidRPr="006774D3">
              <w:rPr>
                <w:color w:val="000000"/>
                <w:sz w:val="22"/>
                <w:szCs w:val="20"/>
              </w:rPr>
              <w:noBreakHyphen/>
              <w:t>43</w:t>
            </w:r>
          </w:p>
        </w:tc>
      </w:tr>
      <w:tr w:rsidR="001973ED" w:rsidRPr="006774D3" w14:paraId="05B8B403" w14:textId="77777777" w:rsidTr="00632D98">
        <w:trPr>
          <w:cantSplit/>
        </w:trPr>
        <w:tc>
          <w:tcPr>
            <w:tcW w:w="2358" w:type="dxa"/>
            <w:shd w:val="clear" w:color="auto" w:fill="auto"/>
          </w:tcPr>
          <w:p w14:paraId="05B8B3F9" w14:textId="77777777" w:rsidR="00E23FC2" w:rsidRPr="006774D3" w:rsidRDefault="00E23FC2" w:rsidP="00F77C66">
            <w:pPr>
              <w:widowControl w:val="0"/>
              <w:tabs>
                <w:tab w:val="left" w:pos="567"/>
              </w:tabs>
              <w:rPr>
                <w:color w:val="000000"/>
                <w:sz w:val="22"/>
                <w:szCs w:val="20"/>
              </w:rPr>
            </w:pPr>
            <w:r w:rsidRPr="006774D3">
              <w:rPr>
                <w:color w:val="000000"/>
                <w:sz w:val="22"/>
                <w:szCs w:val="22"/>
              </w:rPr>
              <w:t>Viðhaldsmeðferð</w:t>
            </w:r>
          </w:p>
          <w:p w14:paraId="05B8B3FA" w14:textId="77777777" w:rsidR="001973ED" w:rsidRPr="006774D3" w:rsidRDefault="0089006B" w:rsidP="00F77C66">
            <w:pPr>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r>
            <w:r w:rsidR="00E23FC2" w:rsidRPr="006774D3">
              <w:rPr>
                <w:color w:val="000000"/>
                <w:sz w:val="22"/>
                <w:szCs w:val="20"/>
              </w:rPr>
              <w:t>vikna lotur</w:t>
            </w:r>
            <w:r w:rsidR="001973ED" w:rsidRPr="006774D3">
              <w:rPr>
                <w:color w:val="000000"/>
                <w:sz w:val="22"/>
                <w:szCs w:val="20"/>
              </w:rPr>
              <w:t>)</w:t>
            </w:r>
          </w:p>
          <w:p w14:paraId="05B8B3FB" w14:textId="77777777" w:rsidR="001973ED" w:rsidRPr="006774D3" w:rsidRDefault="00E23FC2" w:rsidP="00F77C66">
            <w:pPr>
              <w:widowControl w:val="0"/>
              <w:tabs>
                <w:tab w:val="left" w:pos="567"/>
              </w:tabs>
              <w:rPr>
                <w:color w:val="000000"/>
                <w:sz w:val="22"/>
                <w:szCs w:val="20"/>
              </w:rPr>
            </w:pPr>
            <w:r w:rsidRPr="006774D3">
              <w:rPr>
                <w:color w:val="000000"/>
                <w:sz w:val="22"/>
                <w:szCs w:val="20"/>
              </w:rPr>
              <w:t>Lota</w:t>
            </w:r>
            <w:r w:rsidR="001973ED" w:rsidRPr="006774D3">
              <w:rPr>
                <w:color w:val="000000"/>
                <w:sz w:val="22"/>
                <w:szCs w:val="20"/>
              </w:rPr>
              <w:t> 5</w:t>
            </w:r>
          </w:p>
        </w:tc>
        <w:tc>
          <w:tcPr>
            <w:tcW w:w="6929" w:type="dxa"/>
            <w:shd w:val="clear" w:color="auto" w:fill="auto"/>
          </w:tcPr>
          <w:p w14:paraId="05B8B3FC" w14:textId="77777777" w:rsidR="001973ED" w:rsidRPr="006774D3" w:rsidRDefault="0089006B" w:rsidP="00F77C66">
            <w:pPr>
              <w:widowControl w:val="0"/>
              <w:tabs>
                <w:tab w:val="left" w:pos="567"/>
              </w:tabs>
              <w:rPr>
                <w:color w:val="000000"/>
                <w:sz w:val="22"/>
                <w:szCs w:val="20"/>
              </w:rPr>
            </w:pPr>
            <w:r w:rsidRPr="006774D3">
              <w:rPr>
                <w:color w:val="000000"/>
                <w:sz w:val="22"/>
                <w:szCs w:val="20"/>
              </w:rPr>
              <w:t>Geislun á höfu</w:t>
            </w:r>
            <w:r w:rsidR="00107D5B" w:rsidRPr="006774D3">
              <w:rPr>
                <w:color w:val="000000"/>
                <w:sz w:val="22"/>
                <w:szCs w:val="20"/>
              </w:rPr>
              <w:t>ð</w:t>
            </w:r>
            <w:r w:rsidR="001973ED" w:rsidRPr="006774D3">
              <w:rPr>
                <w:color w:val="000000"/>
                <w:sz w:val="22"/>
                <w:szCs w:val="20"/>
              </w:rPr>
              <w:t xml:space="preserve"> (</w:t>
            </w:r>
            <w:r w:rsidR="008258C7" w:rsidRPr="006774D3">
              <w:rPr>
                <w:color w:val="000000"/>
                <w:sz w:val="22"/>
                <w:szCs w:val="20"/>
              </w:rPr>
              <w:t>einungis hluti</w:t>
            </w:r>
            <w:r w:rsidR="001973ED" w:rsidRPr="006774D3">
              <w:rPr>
                <w:color w:val="000000"/>
                <w:sz w:val="22"/>
                <w:szCs w:val="20"/>
              </w:rPr>
              <w:t> 5)</w:t>
            </w:r>
          </w:p>
          <w:p w14:paraId="05B8B3FD" w14:textId="77777777" w:rsidR="001973ED" w:rsidRPr="006774D3" w:rsidRDefault="001973ED" w:rsidP="00F77C66">
            <w:pPr>
              <w:widowControl w:val="0"/>
              <w:tabs>
                <w:tab w:val="left" w:pos="567"/>
              </w:tabs>
              <w:rPr>
                <w:color w:val="000000"/>
                <w:sz w:val="22"/>
                <w:szCs w:val="20"/>
              </w:rPr>
            </w:pPr>
            <w:r w:rsidRPr="006774D3">
              <w:rPr>
                <w:color w:val="000000"/>
                <w:sz w:val="22"/>
                <w:szCs w:val="20"/>
              </w:rPr>
              <w:t xml:space="preserve">12 Gy </w:t>
            </w:r>
            <w:r w:rsidR="008258C7" w:rsidRPr="006774D3">
              <w:rPr>
                <w:color w:val="000000"/>
                <w:sz w:val="22"/>
                <w:szCs w:val="20"/>
              </w:rPr>
              <w:t>í</w:t>
            </w:r>
            <w:r w:rsidRPr="006774D3">
              <w:rPr>
                <w:color w:val="000000"/>
                <w:sz w:val="22"/>
                <w:szCs w:val="20"/>
              </w:rPr>
              <w:t xml:space="preserve"> 8 </w:t>
            </w:r>
            <w:r w:rsidR="008258C7" w:rsidRPr="006774D3">
              <w:rPr>
                <w:color w:val="000000"/>
                <w:sz w:val="22"/>
                <w:szCs w:val="20"/>
              </w:rPr>
              <w:t xml:space="preserve">hlutum fyrir alla sjúklinga sem eru </w:t>
            </w:r>
            <w:r w:rsidRPr="006774D3">
              <w:rPr>
                <w:color w:val="000000"/>
                <w:sz w:val="22"/>
                <w:szCs w:val="20"/>
              </w:rPr>
              <w:t xml:space="preserve">CNS1 </w:t>
            </w:r>
            <w:r w:rsidR="008258C7" w:rsidRPr="006774D3">
              <w:rPr>
                <w:color w:val="000000"/>
                <w:sz w:val="22"/>
                <w:szCs w:val="20"/>
              </w:rPr>
              <w:t>og</w:t>
            </w:r>
            <w:r w:rsidRPr="006774D3">
              <w:rPr>
                <w:color w:val="000000"/>
                <w:sz w:val="22"/>
                <w:szCs w:val="20"/>
              </w:rPr>
              <w:t xml:space="preserve"> CNS2 </w:t>
            </w:r>
            <w:r w:rsidR="008258C7" w:rsidRPr="006774D3">
              <w:rPr>
                <w:color w:val="000000"/>
                <w:sz w:val="22"/>
                <w:szCs w:val="20"/>
              </w:rPr>
              <w:t>við greiningu</w:t>
            </w:r>
          </w:p>
          <w:p w14:paraId="05B8B3FE" w14:textId="77777777" w:rsidR="001973ED" w:rsidRPr="006774D3" w:rsidRDefault="001973ED" w:rsidP="00F77C66">
            <w:pPr>
              <w:widowControl w:val="0"/>
              <w:tabs>
                <w:tab w:val="left" w:pos="567"/>
              </w:tabs>
              <w:rPr>
                <w:color w:val="000000"/>
                <w:sz w:val="22"/>
                <w:szCs w:val="20"/>
              </w:rPr>
            </w:pPr>
            <w:r w:rsidRPr="006774D3">
              <w:rPr>
                <w:color w:val="000000"/>
                <w:sz w:val="22"/>
                <w:szCs w:val="20"/>
              </w:rPr>
              <w:t xml:space="preserve">18 Gy </w:t>
            </w:r>
            <w:r w:rsidR="008258C7" w:rsidRPr="006774D3">
              <w:rPr>
                <w:color w:val="000000"/>
                <w:sz w:val="22"/>
                <w:szCs w:val="20"/>
              </w:rPr>
              <w:t>í</w:t>
            </w:r>
            <w:r w:rsidRPr="006774D3">
              <w:rPr>
                <w:color w:val="000000"/>
                <w:sz w:val="22"/>
                <w:szCs w:val="20"/>
              </w:rPr>
              <w:t xml:space="preserve"> 10 </w:t>
            </w:r>
            <w:r w:rsidR="008258C7" w:rsidRPr="006774D3">
              <w:rPr>
                <w:color w:val="000000"/>
                <w:sz w:val="22"/>
                <w:szCs w:val="20"/>
              </w:rPr>
              <w:t>hlutum fyrir sjúklinga sem eru</w:t>
            </w:r>
            <w:r w:rsidRPr="006774D3">
              <w:rPr>
                <w:color w:val="000000"/>
                <w:sz w:val="22"/>
                <w:szCs w:val="20"/>
              </w:rPr>
              <w:t xml:space="preserve"> CNS3 </w:t>
            </w:r>
            <w:r w:rsidR="008258C7" w:rsidRPr="006774D3">
              <w:rPr>
                <w:color w:val="000000"/>
                <w:sz w:val="22"/>
                <w:szCs w:val="20"/>
              </w:rPr>
              <w:t>við greiningu</w:t>
            </w:r>
          </w:p>
          <w:p w14:paraId="05B8B3FF" w14:textId="77777777" w:rsidR="001973ED" w:rsidRPr="006774D3" w:rsidRDefault="008258C7" w:rsidP="00F77C66">
            <w:pPr>
              <w:widowControl w:val="0"/>
              <w:tabs>
                <w:tab w:val="left" w:pos="567"/>
              </w:tabs>
              <w:rPr>
                <w:color w:val="000000"/>
                <w:sz w:val="22"/>
                <w:szCs w:val="20"/>
              </w:rPr>
            </w:pPr>
            <w:r w:rsidRPr="006774D3">
              <w:rPr>
                <w:color w:val="000000"/>
                <w:sz w:val="22"/>
                <w:szCs w:val="20"/>
              </w:rPr>
              <w:t>VCR (1,</w:t>
            </w:r>
            <w:r w:rsidR="001973ED" w:rsidRPr="006774D3">
              <w:rPr>
                <w:color w:val="000000"/>
                <w:sz w:val="22"/>
                <w:szCs w:val="20"/>
              </w:rPr>
              <w:t>5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sólarhring</w:t>
            </w:r>
            <w:r w:rsidR="001973ED" w:rsidRPr="006774D3">
              <w:rPr>
                <w:color w:val="000000"/>
                <w:sz w:val="22"/>
                <w:szCs w:val="20"/>
              </w:rPr>
              <w:t>,</w:t>
            </w:r>
            <w:r w:rsidRPr="006774D3">
              <w:rPr>
                <w:color w:val="000000"/>
                <w:sz w:val="22"/>
                <w:szCs w:val="20"/>
              </w:rPr>
              <w:t xml:space="preserve"> i.v.</w:t>
            </w:r>
            <w:r w:rsidR="001973ED" w:rsidRPr="006774D3">
              <w:rPr>
                <w:color w:val="000000"/>
                <w:sz w:val="22"/>
                <w:szCs w:val="20"/>
              </w:rPr>
              <w:t xml:space="preserve">): </w:t>
            </w:r>
            <w:r w:rsidRPr="006774D3">
              <w:rPr>
                <w:color w:val="000000"/>
                <w:sz w:val="22"/>
                <w:szCs w:val="20"/>
              </w:rPr>
              <w:t>dagar</w:t>
            </w:r>
            <w:r w:rsidR="0089006B" w:rsidRPr="006774D3">
              <w:rPr>
                <w:color w:val="000000"/>
                <w:sz w:val="22"/>
                <w:szCs w:val="20"/>
              </w:rPr>
              <w:t> 1 og</w:t>
            </w:r>
            <w:r w:rsidR="001973ED" w:rsidRPr="006774D3">
              <w:rPr>
                <w:color w:val="000000"/>
                <w:sz w:val="22"/>
                <w:szCs w:val="20"/>
              </w:rPr>
              <w:t xml:space="preserve"> 29</w:t>
            </w:r>
          </w:p>
          <w:p w14:paraId="05B8B400" w14:textId="77777777" w:rsidR="001973ED" w:rsidRPr="006774D3" w:rsidRDefault="001973ED" w:rsidP="00F77C66">
            <w:pPr>
              <w:widowControl w:val="0"/>
              <w:tabs>
                <w:tab w:val="left" w:pos="567"/>
              </w:tabs>
              <w:rPr>
                <w:color w:val="000000"/>
                <w:sz w:val="22"/>
                <w:szCs w:val="20"/>
              </w:rPr>
            </w:pPr>
            <w:r w:rsidRPr="006774D3">
              <w:rPr>
                <w:color w:val="000000"/>
                <w:sz w:val="22"/>
                <w:szCs w:val="20"/>
              </w:rPr>
              <w:t>DEX (6</w:t>
            </w:r>
            <w:r w:rsidR="00914717" w:rsidRPr="006774D3">
              <w:rPr>
                <w:color w:val="000000"/>
                <w:sz w:val="22"/>
                <w:szCs w:val="20"/>
              </w:rPr>
              <w:t> </w:t>
            </w:r>
            <w:r w:rsidRPr="006774D3">
              <w:rPr>
                <w:color w:val="000000"/>
                <w:sz w:val="22"/>
                <w:szCs w:val="20"/>
              </w:rPr>
              <w:t>mg/m</w:t>
            </w:r>
            <w:r w:rsidRPr="006774D3">
              <w:rPr>
                <w:color w:val="000000"/>
                <w:sz w:val="22"/>
                <w:szCs w:val="20"/>
                <w:vertAlign w:val="superscript"/>
              </w:rPr>
              <w:t>2</w:t>
            </w:r>
            <w:r w:rsidRPr="006774D3">
              <w:rPr>
                <w:color w:val="000000"/>
                <w:sz w:val="22"/>
                <w:szCs w:val="20"/>
              </w:rPr>
              <w:t>/</w:t>
            </w:r>
            <w:r w:rsidR="008258C7" w:rsidRPr="006774D3">
              <w:rPr>
                <w:color w:val="000000"/>
                <w:sz w:val="22"/>
                <w:szCs w:val="20"/>
              </w:rPr>
              <w:t>sólarhring</w:t>
            </w:r>
            <w:r w:rsidRPr="006774D3">
              <w:rPr>
                <w:color w:val="000000"/>
                <w:sz w:val="22"/>
                <w:szCs w:val="20"/>
              </w:rPr>
              <w:t xml:space="preserve">, </w:t>
            </w:r>
            <w:r w:rsidR="008258C7" w:rsidRPr="006774D3">
              <w:rPr>
                <w:color w:val="000000"/>
                <w:sz w:val="22"/>
                <w:szCs w:val="20"/>
              </w:rPr>
              <w:t>til inntöku</w:t>
            </w:r>
            <w:r w:rsidRPr="006774D3">
              <w:rPr>
                <w:color w:val="000000"/>
                <w:sz w:val="22"/>
                <w:szCs w:val="20"/>
              </w:rPr>
              <w:t xml:space="preserve">): </w:t>
            </w:r>
            <w:r w:rsidR="008258C7" w:rsidRPr="006774D3">
              <w:rPr>
                <w:color w:val="000000"/>
                <w:sz w:val="22"/>
                <w:szCs w:val="20"/>
              </w:rPr>
              <w:t>dagar</w:t>
            </w:r>
            <w:r w:rsidRPr="006774D3">
              <w:rPr>
                <w:color w:val="000000"/>
                <w:sz w:val="22"/>
                <w:szCs w:val="20"/>
              </w:rPr>
              <w:t> 1</w:t>
            </w:r>
            <w:r w:rsidRPr="006774D3">
              <w:rPr>
                <w:color w:val="000000"/>
                <w:sz w:val="22"/>
                <w:szCs w:val="20"/>
              </w:rPr>
              <w:noBreakHyphen/>
              <w:t>5; 29</w:t>
            </w:r>
            <w:r w:rsidRPr="006774D3">
              <w:rPr>
                <w:color w:val="000000"/>
                <w:sz w:val="22"/>
                <w:szCs w:val="20"/>
              </w:rPr>
              <w:noBreakHyphen/>
              <w:t>33</w:t>
            </w:r>
          </w:p>
          <w:p w14:paraId="05B8B401" w14:textId="77777777" w:rsidR="001973ED" w:rsidRPr="006774D3" w:rsidRDefault="0089006B" w:rsidP="00F77C66">
            <w:pPr>
              <w:widowControl w:val="0"/>
              <w:tabs>
                <w:tab w:val="left" w:pos="567"/>
              </w:tabs>
              <w:rPr>
                <w:color w:val="000000"/>
                <w:sz w:val="22"/>
                <w:szCs w:val="20"/>
              </w:rPr>
            </w:pPr>
            <w:r w:rsidRPr="006774D3">
              <w:rPr>
                <w:color w:val="000000"/>
                <w:sz w:val="22"/>
                <w:szCs w:val="20"/>
              </w:rPr>
              <w:t>6</w:t>
            </w:r>
            <w:r w:rsidRPr="006774D3">
              <w:rPr>
                <w:color w:val="000000"/>
                <w:sz w:val="22"/>
                <w:szCs w:val="20"/>
              </w:rPr>
              <w:noBreakHyphen/>
            </w:r>
            <w:r w:rsidR="001973ED" w:rsidRPr="006774D3">
              <w:rPr>
                <w:color w:val="000000"/>
                <w:sz w:val="22"/>
                <w:szCs w:val="20"/>
              </w:rPr>
              <w:t>MP (75 mg/m</w:t>
            </w:r>
            <w:r w:rsidR="001973ED" w:rsidRPr="006774D3">
              <w:rPr>
                <w:color w:val="000000"/>
                <w:sz w:val="22"/>
                <w:szCs w:val="20"/>
                <w:vertAlign w:val="superscript"/>
              </w:rPr>
              <w:t>2</w:t>
            </w:r>
            <w:r w:rsidR="001973ED" w:rsidRPr="006774D3">
              <w:rPr>
                <w:color w:val="000000"/>
                <w:sz w:val="22"/>
                <w:szCs w:val="20"/>
              </w:rPr>
              <w:t>/</w:t>
            </w:r>
            <w:r w:rsidR="008258C7" w:rsidRPr="006774D3">
              <w:rPr>
                <w:color w:val="000000"/>
                <w:sz w:val="22"/>
                <w:szCs w:val="20"/>
              </w:rPr>
              <w:t>sólarhring</w:t>
            </w:r>
            <w:r w:rsidR="001973ED" w:rsidRPr="006774D3">
              <w:rPr>
                <w:color w:val="000000"/>
                <w:sz w:val="22"/>
                <w:szCs w:val="20"/>
              </w:rPr>
              <w:t xml:space="preserve">, </w:t>
            </w:r>
            <w:r w:rsidR="008258C7" w:rsidRPr="006774D3">
              <w:rPr>
                <w:color w:val="000000"/>
                <w:sz w:val="22"/>
                <w:szCs w:val="20"/>
              </w:rPr>
              <w:t>til inntöku</w:t>
            </w:r>
            <w:r w:rsidR="001973ED" w:rsidRPr="006774D3">
              <w:rPr>
                <w:color w:val="000000"/>
                <w:sz w:val="22"/>
                <w:szCs w:val="20"/>
              </w:rPr>
              <w:t xml:space="preserve">): </w:t>
            </w:r>
            <w:r w:rsidR="008258C7" w:rsidRPr="006774D3">
              <w:rPr>
                <w:color w:val="000000"/>
                <w:sz w:val="22"/>
                <w:szCs w:val="20"/>
              </w:rPr>
              <w:t>dagar</w:t>
            </w:r>
            <w:r w:rsidR="001973ED" w:rsidRPr="006774D3">
              <w:rPr>
                <w:color w:val="000000"/>
                <w:sz w:val="22"/>
                <w:szCs w:val="20"/>
              </w:rPr>
              <w:t> 11</w:t>
            </w:r>
            <w:r w:rsidR="001973ED" w:rsidRPr="006774D3">
              <w:rPr>
                <w:color w:val="000000"/>
                <w:sz w:val="22"/>
                <w:szCs w:val="20"/>
              </w:rPr>
              <w:noBreakHyphen/>
              <w:t>56 (</w:t>
            </w:r>
            <w:r w:rsidRPr="006774D3">
              <w:rPr>
                <w:color w:val="000000"/>
                <w:sz w:val="22"/>
                <w:szCs w:val="20"/>
              </w:rPr>
              <w:t>Gera skal</w:t>
            </w:r>
            <w:r w:rsidR="00034792" w:rsidRPr="006774D3">
              <w:rPr>
                <w:color w:val="000000"/>
                <w:sz w:val="22"/>
                <w:szCs w:val="20"/>
              </w:rPr>
              <w:t xml:space="preserve"> hlé á</w:t>
            </w:r>
            <w:r w:rsidRPr="006774D3">
              <w:rPr>
                <w:color w:val="000000"/>
                <w:sz w:val="22"/>
                <w:szCs w:val="20"/>
              </w:rPr>
              <w:t xml:space="preserve"> 6</w:t>
            </w:r>
            <w:r w:rsidRPr="006774D3">
              <w:rPr>
                <w:color w:val="000000"/>
                <w:sz w:val="22"/>
                <w:szCs w:val="20"/>
              </w:rPr>
              <w:noBreakHyphen/>
            </w:r>
            <w:r w:rsidR="001973ED" w:rsidRPr="006774D3">
              <w:rPr>
                <w:color w:val="000000"/>
                <w:sz w:val="22"/>
                <w:szCs w:val="20"/>
              </w:rPr>
              <w:t xml:space="preserve">MP </w:t>
            </w:r>
            <w:r w:rsidR="00034792" w:rsidRPr="006774D3">
              <w:rPr>
                <w:color w:val="000000"/>
                <w:sz w:val="22"/>
                <w:szCs w:val="20"/>
              </w:rPr>
              <w:t xml:space="preserve">þá </w:t>
            </w:r>
            <w:r w:rsidR="001973ED" w:rsidRPr="006774D3">
              <w:rPr>
                <w:color w:val="000000"/>
                <w:sz w:val="22"/>
                <w:szCs w:val="20"/>
              </w:rPr>
              <w:t>6</w:t>
            </w:r>
            <w:r w:rsidR="001973ED" w:rsidRPr="006774D3">
              <w:rPr>
                <w:color w:val="000000"/>
                <w:sz w:val="22"/>
                <w:szCs w:val="20"/>
              </w:rPr>
              <w:noBreakHyphen/>
              <w:t>10 </w:t>
            </w:r>
            <w:r w:rsidR="00034792" w:rsidRPr="006774D3">
              <w:rPr>
                <w:color w:val="000000"/>
                <w:sz w:val="22"/>
                <w:szCs w:val="20"/>
              </w:rPr>
              <w:t>sólarhringa sem geislun á höfuð stendur</w:t>
            </w:r>
            <w:r w:rsidRPr="006774D3">
              <w:rPr>
                <w:color w:val="000000"/>
                <w:sz w:val="22"/>
                <w:szCs w:val="20"/>
              </w:rPr>
              <w:t xml:space="preserve"> yfir,</w:t>
            </w:r>
            <w:r w:rsidR="00034792" w:rsidRPr="006774D3">
              <w:rPr>
                <w:color w:val="000000"/>
                <w:sz w:val="22"/>
                <w:szCs w:val="20"/>
              </w:rPr>
              <w:t xml:space="preserve"> frá 1. degi 5. lotu</w:t>
            </w:r>
            <w:r w:rsidR="001973ED" w:rsidRPr="006774D3">
              <w:rPr>
                <w:color w:val="000000"/>
                <w:sz w:val="22"/>
                <w:szCs w:val="20"/>
              </w:rPr>
              <w:t>.</w:t>
            </w:r>
            <w:r w:rsidR="00034792" w:rsidRPr="006774D3">
              <w:rPr>
                <w:color w:val="000000"/>
                <w:sz w:val="22"/>
                <w:szCs w:val="20"/>
              </w:rPr>
              <w:t xml:space="preserve"> Hefja </w:t>
            </w:r>
            <w:r w:rsidRPr="006774D3">
              <w:rPr>
                <w:color w:val="000000"/>
                <w:sz w:val="22"/>
                <w:szCs w:val="20"/>
              </w:rPr>
              <w:t>skal</w:t>
            </w:r>
            <w:r w:rsidR="00034792" w:rsidRPr="006774D3">
              <w:rPr>
                <w:color w:val="000000"/>
                <w:sz w:val="22"/>
                <w:szCs w:val="20"/>
              </w:rPr>
              <w:t xml:space="preserve"> meðferð með</w:t>
            </w:r>
            <w:r w:rsidRPr="006774D3">
              <w:rPr>
                <w:color w:val="000000"/>
                <w:sz w:val="22"/>
                <w:szCs w:val="20"/>
              </w:rPr>
              <w:t xml:space="preserve"> 6</w:t>
            </w:r>
            <w:r w:rsidRPr="006774D3">
              <w:rPr>
                <w:color w:val="000000"/>
                <w:sz w:val="22"/>
                <w:szCs w:val="20"/>
              </w:rPr>
              <w:noBreakHyphen/>
            </w:r>
            <w:r w:rsidR="001973ED" w:rsidRPr="006774D3">
              <w:rPr>
                <w:color w:val="000000"/>
                <w:sz w:val="22"/>
                <w:szCs w:val="20"/>
              </w:rPr>
              <w:t>MP</w:t>
            </w:r>
            <w:r w:rsidRPr="006774D3">
              <w:rPr>
                <w:color w:val="000000"/>
                <w:sz w:val="22"/>
                <w:szCs w:val="20"/>
              </w:rPr>
              <w:t xml:space="preserve"> aftur</w:t>
            </w:r>
            <w:r w:rsidR="00034792" w:rsidRPr="006774D3">
              <w:rPr>
                <w:color w:val="000000"/>
                <w:sz w:val="22"/>
                <w:szCs w:val="20"/>
              </w:rPr>
              <w:t xml:space="preserve"> á 1. degi eftir að geislun á höfuðkúpu lýkur</w:t>
            </w:r>
            <w:r w:rsidR="00C652F0" w:rsidRPr="006774D3">
              <w:rPr>
                <w:color w:val="000000"/>
                <w:sz w:val="22"/>
                <w:szCs w:val="20"/>
              </w:rPr>
              <w:t>.</w:t>
            </w:r>
            <w:r w:rsidR="001973ED" w:rsidRPr="006774D3">
              <w:rPr>
                <w:color w:val="000000"/>
                <w:sz w:val="22"/>
                <w:szCs w:val="20"/>
              </w:rPr>
              <w:t>)</w:t>
            </w:r>
          </w:p>
          <w:p w14:paraId="05B8B402" w14:textId="77777777" w:rsidR="001973ED" w:rsidRPr="006774D3" w:rsidRDefault="00034792" w:rsidP="00F77C66">
            <w:pPr>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(20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viku</w:t>
            </w:r>
            <w:r w:rsidR="001973ED" w:rsidRPr="006774D3">
              <w:rPr>
                <w:color w:val="000000"/>
                <w:sz w:val="22"/>
                <w:szCs w:val="20"/>
              </w:rPr>
              <w:t xml:space="preserve">, </w:t>
            </w:r>
            <w:r w:rsidRPr="006774D3">
              <w:rPr>
                <w:color w:val="000000"/>
                <w:sz w:val="22"/>
                <w:szCs w:val="20"/>
              </w:rPr>
              <w:t>til inntöku</w:t>
            </w:r>
            <w:r w:rsidR="001973ED" w:rsidRPr="006774D3">
              <w:rPr>
                <w:color w:val="000000"/>
                <w:sz w:val="22"/>
                <w:szCs w:val="20"/>
              </w:rPr>
              <w:t xml:space="preserve">): </w:t>
            </w:r>
            <w:r w:rsidRPr="006774D3">
              <w:rPr>
                <w:color w:val="000000"/>
                <w:sz w:val="22"/>
                <w:szCs w:val="20"/>
              </w:rPr>
              <w:t>dagar</w:t>
            </w:r>
            <w:r w:rsidR="0089006B" w:rsidRPr="006774D3">
              <w:rPr>
                <w:color w:val="000000"/>
                <w:sz w:val="22"/>
                <w:szCs w:val="20"/>
              </w:rPr>
              <w:t> 8, 15, 22, 29, 36, 43 og</w:t>
            </w:r>
            <w:r w:rsidR="001973ED" w:rsidRPr="006774D3">
              <w:rPr>
                <w:color w:val="000000"/>
                <w:sz w:val="22"/>
                <w:szCs w:val="20"/>
              </w:rPr>
              <w:t xml:space="preserve"> 50</w:t>
            </w:r>
          </w:p>
        </w:tc>
      </w:tr>
      <w:tr w:rsidR="001973ED" w:rsidRPr="006774D3" w14:paraId="05B8B40B" w14:textId="77777777" w:rsidTr="00632D98">
        <w:trPr>
          <w:cantSplit/>
        </w:trPr>
        <w:tc>
          <w:tcPr>
            <w:tcW w:w="2358" w:type="dxa"/>
            <w:shd w:val="clear" w:color="auto" w:fill="auto"/>
          </w:tcPr>
          <w:p w14:paraId="05B8B404" w14:textId="77777777" w:rsidR="001973ED" w:rsidRPr="006774D3" w:rsidRDefault="00E23FC2" w:rsidP="00632D98">
            <w:pPr>
              <w:keepNext/>
              <w:widowControl w:val="0"/>
              <w:tabs>
                <w:tab w:val="left" w:pos="567"/>
              </w:tabs>
              <w:rPr>
                <w:color w:val="000000"/>
                <w:sz w:val="22"/>
                <w:szCs w:val="20"/>
              </w:rPr>
            </w:pPr>
            <w:r w:rsidRPr="006774D3">
              <w:rPr>
                <w:color w:val="000000"/>
                <w:sz w:val="22"/>
                <w:szCs w:val="20"/>
              </w:rPr>
              <w:t>Viðhaldsmeðferð</w:t>
            </w:r>
          </w:p>
          <w:p w14:paraId="05B8B405" w14:textId="77777777" w:rsidR="001973ED" w:rsidRPr="006774D3" w:rsidRDefault="0089006B" w:rsidP="00632D98">
            <w:pPr>
              <w:keepNext/>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r>
            <w:r w:rsidR="00E23FC2" w:rsidRPr="006774D3">
              <w:rPr>
                <w:color w:val="000000"/>
                <w:sz w:val="22"/>
                <w:szCs w:val="20"/>
              </w:rPr>
              <w:t>vikna lotur</w:t>
            </w:r>
            <w:r w:rsidR="001973ED" w:rsidRPr="006774D3">
              <w:rPr>
                <w:color w:val="000000"/>
                <w:sz w:val="22"/>
                <w:szCs w:val="20"/>
              </w:rPr>
              <w:t>)</w:t>
            </w:r>
          </w:p>
          <w:p w14:paraId="05B8B406" w14:textId="77777777" w:rsidR="001973ED" w:rsidRPr="006774D3" w:rsidRDefault="00E23FC2" w:rsidP="00632D98">
            <w:pPr>
              <w:keepNext/>
              <w:widowControl w:val="0"/>
              <w:tabs>
                <w:tab w:val="left" w:pos="567"/>
              </w:tabs>
              <w:rPr>
                <w:color w:val="000000"/>
                <w:sz w:val="22"/>
                <w:szCs w:val="20"/>
              </w:rPr>
            </w:pPr>
            <w:r w:rsidRPr="006774D3">
              <w:rPr>
                <w:color w:val="000000"/>
                <w:sz w:val="22"/>
                <w:szCs w:val="20"/>
              </w:rPr>
              <w:t>Lotur</w:t>
            </w:r>
            <w:r w:rsidR="001973ED" w:rsidRPr="006774D3">
              <w:rPr>
                <w:color w:val="000000"/>
                <w:sz w:val="22"/>
                <w:szCs w:val="20"/>
              </w:rPr>
              <w:t> 6</w:t>
            </w:r>
            <w:r w:rsidR="001973ED" w:rsidRPr="006774D3">
              <w:rPr>
                <w:color w:val="000000"/>
                <w:sz w:val="22"/>
                <w:szCs w:val="20"/>
              </w:rPr>
              <w:noBreakHyphen/>
              <w:t>12</w:t>
            </w:r>
          </w:p>
        </w:tc>
        <w:tc>
          <w:tcPr>
            <w:tcW w:w="6929" w:type="dxa"/>
            <w:shd w:val="clear" w:color="auto" w:fill="auto"/>
          </w:tcPr>
          <w:p w14:paraId="05B8B407" w14:textId="77777777" w:rsidR="001973ED" w:rsidRPr="006774D3" w:rsidRDefault="00034792" w:rsidP="00632D98">
            <w:pPr>
              <w:keepNext/>
              <w:widowControl w:val="0"/>
              <w:tabs>
                <w:tab w:val="left" w:pos="567"/>
              </w:tabs>
              <w:rPr>
                <w:color w:val="000000"/>
                <w:sz w:val="22"/>
                <w:szCs w:val="20"/>
              </w:rPr>
            </w:pPr>
            <w:r w:rsidRPr="006774D3">
              <w:rPr>
                <w:color w:val="000000"/>
                <w:sz w:val="22"/>
                <w:szCs w:val="20"/>
              </w:rPr>
              <w:t>VCR (1,</w:t>
            </w:r>
            <w:r w:rsidR="001973ED" w:rsidRPr="006774D3">
              <w:rPr>
                <w:color w:val="000000"/>
                <w:sz w:val="22"/>
                <w:szCs w:val="20"/>
              </w:rPr>
              <w:t>5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sólarhring</w:t>
            </w:r>
            <w:r w:rsidR="001973ED" w:rsidRPr="006774D3">
              <w:rPr>
                <w:color w:val="000000"/>
                <w:sz w:val="22"/>
                <w:szCs w:val="20"/>
              </w:rPr>
              <w:t>,</w:t>
            </w:r>
            <w:r w:rsidRPr="006774D3">
              <w:rPr>
                <w:color w:val="000000"/>
                <w:sz w:val="22"/>
                <w:szCs w:val="20"/>
              </w:rPr>
              <w:t xml:space="preserve"> i.v.</w:t>
            </w:r>
            <w:r w:rsidR="001973ED" w:rsidRPr="006774D3">
              <w:rPr>
                <w:color w:val="000000"/>
                <w:sz w:val="22"/>
                <w:szCs w:val="20"/>
              </w:rPr>
              <w:t xml:space="preserve">): </w:t>
            </w:r>
            <w:r w:rsidRPr="006774D3">
              <w:rPr>
                <w:color w:val="000000"/>
                <w:sz w:val="22"/>
                <w:szCs w:val="20"/>
              </w:rPr>
              <w:t>dagar</w:t>
            </w:r>
            <w:r w:rsidR="0089006B" w:rsidRPr="006774D3">
              <w:rPr>
                <w:color w:val="000000"/>
                <w:sz w:val="22"/>
                <w:szCs w:val="20"/>
              </w:rPr>
              <w:t> 1 og</w:t>
            </w:r>
            <w:r w:rsidR="001973ED" w:rsidRPr="006774D3">
              <w:rPr>
                <w:color w:val="000000"/>
                <w:sz w:val="22"/>
                <w:szCs w:val="20"/>
              </w:rPr>
              <w:t xml:space="preserve"> 29</w:t>
            </w:r>
          </w:p>
          <w:p w14:paraId="05B8B408" w14:textId="77777777" w:rsidR="001973ED" w:rsidRPr="006774D3" w:rsidRDefault="001973ED" w:rsidP="00632D98">
            <w:pPr>
              <w:keepNext/>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w:t>
            </w:r>
            <w:r w:rsidR="00034792" w:rsidRPr="006774D3">
              <w:rPr>
                <w:color w:val="000000"/>
                <w:sz w:val="22"/>
                <w:szCs w:val="20"/>
              </w:rPr>
              <w:t>sólarhring</w:t>
            </w:r>
            <w:r w:rsidRPr="006774D3">
              <w:rPr>
                <w:color w:val="000000"/>
                <w:sz w:val="22"/>
                <w:szCs w:val="20"/>
              </w:rPr>
              <w:t xml:space="preserve">, </w:t>
            </w:r>
            <w:r w:rsidR="00034792" w:rsidRPr="006774D3">
              <w:rPr>
                <w:color w:val="000000"/>
                <w:sz w:val="22"/>
                <w:szCs w:val="20"/>
              </w:rPr>
              <w:t>til inntöku</w:t>
            </w:r>
            <w:r w:rsidRPr="006774D3">
              <w:rPr>
                <w:color w:val="000000"/>
                <w:sz w:val="22"/>
                <w:szCs w:val="20"/>
              </w:rPr>
              <w:t xml:space="preserve">): </w:t>
            </w:r>
            <w:r w:rsidR="00034792" w:rsidRPr="006774D3">
              <w:rPr>
                <w:color w:val="000000"/>
                <w:sz w:val="22"/>
                <w:szCs w:val="20"/>
              </w:rPr>
              <w:t>dagar</w:t>
            </w:r>
            <w:r w:rsidRPr="006774D3">
              <w:rPr>
                <w:color w:val="000000"/>
                <w:sz w:val="22"/>
                <w:szCs w:val="20"/>
              </w:rPr>
              <w:t> 1</w:t>
            </w:r>
            <w:r w:rsidRPr="006774D3">
              <w:rPr>
                <w:color w:val="000000"/>
                <w:sz w:val="22"/>
                <w:szCs w:val="20"/>
              </w:rPr>
              <w:noBreakHyphen/>
              <w:t>5; 29</w:t>
            </w:r>
            <w:r w:rsidRPr="006774D3">
              <w:rPr>
                <w:color w:val="000000"/>
                <w:sz w:val="22"/>
                <w:szCs w:val="20"/>
              </w:rPr>
              <w:noBreakHyphen/>
              <w:t>33</w:t>
            </w:r>
          </w:p>
          <w:p w14:paraId="05B8B409" w14:textId="77777777" w:rsidR="001973ED" w:rsidRPr="006774D3" w:rsidRDefault="001973ED" w:rsidP="00632D98">
            <w:pPr>
              <w:keepNext/>
              <w:widowControl w:val="0"/>
              <w:tabs>
                <w:tab w:val="left" w:pos="567"/>
              </w:tabs>
              <w:rPr>
                <w:color w:val="000000"/>
                <w:sz w:val="22"/>
                <w:szCs w:val="20"/>
              </w:rPr>
            </w:pPr>
            <w:r w:rsidRPr="006774D3">
              <w:rPr>
                <w:color w:val="000000"/>
                <w:sz w:val="22"/>
                <w:szCs w:val="20"/>
              </w:rPr>
              <w:t>6</w:t>
            </w:r>
            <w:r w:rsidR="00914717" w:rsidRPr="006774D3">
              <w:rPr>
                <w:color w:val="000000"/>
                <w:sz w:val="22"/>
                <w:szCs w:val="20"/>
              </w:rPr>
              <w:noBreakHyphen/>
            </w:r>
            <w:r w:rsidRPr="006774D3">
              <w:rPr>
                <w:color w:val="000000"/>
                <w:sz w:val="22"/>
                <w:szCs w:val="20"/>
              </w:rPr>
              <w:t>MP (75 mg/m</w:t>
            </w:r>
            <w:r w:rsidRPr="006774D3">
              <w:rPr>
                <w:color w:val="000000"/>
                <w:sz w:val="22"/>
                <w:szCs w:val="20"/>
                <w:vertAlign w:val="superscript"/>
              </w:rPr>
              <w:t>2</w:t>
            </w:r>
            <w:r w:rsidRPr="006774D3">
              <w:rPr>
                <w:color w:val="000000"/>
                <w:sz w:val="22"/>
                <w:szCs w:val="20"/>
              </w:rPr>
              <w:t>/</w:t>
            </w:r>
            <w:r w:rsidR="00034792" w:rsidRPr="006774D3">
              <w:rPr>
                <w:color w:val="000000"/>
                <w:sz w:val="22"/>
                <w:szCs w:val="20"/>
              </w:rPr>
              <w:t>sólarhring</w:t>
            </w:r>
            <w:r w:rsidRPr="006774D3">
              <w:rPr>
                <w:color w:val="000000"/>
                <w:sz w:val="22"/>
                <w:szCs w:val="20"/>
              </w:rPr>
              <w:t xml:space="preserve">, </w:t>
            </w:r>
            <w:r w:rsidR="00034792" w:rsidRPr="006774D3">
              <w:rPr>
                <w:color w:val="000000"/>
                <w:sz w:val="22"/>
                <w:szCs w:val="20"/>
              </w:rPr>
              <w:t>til inntöku</w:t>
            </w:r>
            <w:r w:rsidRPr="006774D3">
              <w:rPr>
                <w:color w:val="000000"/>
                <w:sz w:val="22"/>
                <w:szCs w:val="20"/>
              </w:rPr>
              <w:t xml:space="preserve">): </w:t>
            </w:r>
            <w:r w:rsidR="00034792" w:rsidRPr="006774D3">
              <w:rPr>
                <w:color w:val="000000"/>
                <w:sz w:val="22"/>
                <w:szCs w:val="20"/>
              </w:rPr>
              <w:t>dagar</w:t>
            </w:r>
            <w:r w:rsidRPr="006774D3">
              <w:rPr>
                <w:color w:val="000000"/>
                <w:sz w:val="22"/>
                <w:szCs w:val="20"/>
              </w:rPr>
              <w:t> 1</w:t>
            </w:r>
            <w:r w:rsidRPr="006774D3">
              <w:rPr>
                <w:color w:val="000000"/>
                <w:sz w:val="22"/>
                <w:szCs w:val="20"/>
              </w:rPr>
              <w:noBreakHyphen/>
              <w:t>56</w:t>
            </w:r>
          </w:p>
          <w:p w14:paraId="05B8B40A" w14:textId="77777777" w:rsidR="001973ED" w:rsidRPr="006774D3" w:rsidRDefault="00034792" w:rsidP="00632D98">
            <w:pPr>
              <w:keepNext/>
              <w:widowControl w:val="0"/>
              <w:tabs>
                <w:tab w:val="left" w:pos="567"/>
              </w:tabs>
              <w:rPr>
                <w:color w:val="000000"/>
                <w:sz w:val="22"/>
                <w:szCs w:val="20"/>
              </w:rPr>
            </w:pPr>
            <w:r w:rsidRPr="006774D3">
              <w:rPr>
                <w:color w:val="000000"/>
                <w:sz w:val="22"/>
                <w:szCs w:val="20"/>
              </w:rPr>
              <w:t>Metótrexat</w:t>
            </w:r>
            <w:r w:rsidR="001973ED" w:rsidRPr="006774D3">
              <w:rPr>
                <w:color w:val="000000"/>
                <w:sz w:val="22"/>
                <w:szCs w:val="20"/>
              </w:rPr>
              <w:t xml:space="preserve"> (20 mg/m</w:t>
            </w:r>
            <w:r w:rsidR="001973ED" w:rsidRPr="006774D3">
              <w:rPr>
                <w:color w:val="000000"/>
                <w:sz w:val="22"/>
                <w:szCs w:val="20"/>
                <w:vertAlign w:val="superscript"/>
              </w:rPr>
              <w:t>2</w:t>
            </w:r>
            <w:r w:rsidR="001973ED" w:rsidRPr="006774D3">
              <w:rPr>
                <w:color w:val="000000"/>
                <w:sz w:val="22"/>
                <w:szCs w:val="20"/>
              </w:rPr>
              <w:t>/</w:t>
            </w:r>
            <w:r w:rsidRPr="006774D3">
              <w:rPr>
                <w:color w:val="000000"/>
                <w:sz w:val="22"/>
                <w:szCs w:val="20"/>
              </w:rPr>
              <w:t>viku</w:t>
            </w:r>
            <w:r w:rsidR="001973ED" w:rsidRPr="006774D3">
              <w:rPr>
                <w:color w:val="000000"/>
                <w:sz w:val="22"/>
                <w:szCs w:val="20"/>
              </w:rPr>
              <w:t xml:space="preserve">, </w:t>
            </w:r>
            <w:r w:rsidRPr="006774D3">
              <w:rPr>
                <w:color w:val="000000"/>
                <w:sz w:val="22"/>
                <w:szCs w:val="20"/>
              </w:rPr>
              <w:t>til inntöku</w:t>
            </w:r>
            <w:r w:rsidR="001973ED" w:rsidRPr="006774D3">
              <w:rPr>
                <w:color w:val="000000"/>
                <w:sz w:val="22"/>
                <w:szCs w:val="20"/>
              </w:rPr>
              <w:t xml:space="preserve">): </w:t>
            </w:r>
            <w:r w:rsidRPr="006774D3">
              <w:rPr>
                <w:color w:val="000000"/>
                <w:sz w:val="22"/>
                <w:szCs w:val="20"/>
              </w:rPr>
              <w:t>dagar</w:t>
            </w:r>
            <w:r w:rsidR="001973ED" w:rsidRPr="006774D3">
              <w:rPr>
                <w:color w:val="000000"/>
                <w:sz w:val="22"/>
                <w:szCs w:val="20"/>
              </w:rPr>
              <w:t> 1, 8, 15, 22, 29, 36, 43</w:t>
            </w:r>
            <w:r w:rsidR="0089006B" w:rsidRPr="006774D3">
              <w:rPr>
                <w:color w:val="000000"/>
                <w:sz w:val="22"/>
                <w:szCs w:val="20"/>
              </w:rPr>
              <w:t xml:space="preserve"> og</w:t>
            </w:r>
            <w:r w:rsidR="001973ED" w:rsidRPr="006774D3">
              <w:rPr>
                <w:color w:val="000000"/>
                <w:sz w:val="22"/>
                <w:szCs w:val="20"/>
              </w:rPr>
              <w:t xml:space="preserve"> 50</w:t>
            </w:r>
          </w:p>
        </w:tc>
      </w:tr>
    </w:tbl>
    <w:p w14:paraId="05B8B40C" w14:textId="77777777" w:rsidR="001973ED" w:rsidRPr="006774D3" w:rsidRDefault="0089006B" w:rsidP="00632D98">
      <w:pPr>
        <w:keepLines/>
        <w:widowControl w:val="0"/>
        <w:tabs>
          <w:tab w:val="left" w:pos="567"/>
        </w:tabs>
        <w:rPr>
          <w:color w:val="000000"/>
          <w:sz w:val="22"/>
          <w:szCs w:val="22"/>
        </w:rPr>
      </w:pPr>
      <w:r w:rsidRPr="006774D3">
        <w:rPr>
          <w:color w:val="000000"/>
          <w:sz w:val="22"/>
          <w:szCs w:val="22"/>
        </w:rPr>
        <w:t>G</w:t>
      </w:r>
      <w:r w:rsidRPr="006774D3">
        <w:rPr>
          <w:color w:val="000000"/>
          <w:sz w:val="22"/>
          <w:szCs w:val="22"/>
        </w:rPr>
        <w:noBreakHyphen/>
      </w:r>
      <w:r w:rsidR="001973ED" w:rsidRPr="006774D3">
        <w:rPr>
          <w:color w:val="000000"/>
          <w:sz w:val="22"/>
          <w:szCs w:val="22"/>
        </w:rPr>
        <w:t xml:space="preserve">CSF = </w:t>
      </w:r>
      <w:r w:rsidR="00732E14" w:rsidRPr="006774D3">
        <w:rPr>
          <w:color w:val="000000"/>
          <w:sz w:val="22"/>
          <w:szCs w:val="22"/>
        </w:rPr>
        <w:t>kyrningavaxtarþáttur (</w:t>
      </w:r>
      <w:r w:rsidR="001973ED" w:rsidRPr="006774D3">
        <w:rPr>
          <w:color w:val="000000"/>
          <w:sz w:val="22"/>
          <w:szCs w:val="22"/>
        </w:rPr>
        <w:t>granulocyte colony stimulating factor</w:t>
      </w:r>
      <w:r w:rsidR="00732E14" w:rsidRPr="006774D3">
        <w:rPr>
          <w:color w:val="000000"/>
          <w:sz w:val="22"/>
          <w:szCs w:val="22"/>
        </w:rPr>
        <w:t>)</w:t>
      </w:r>
      <w:r w:rsidRPr="006774D3">
        <w:rPr>
          <w:color w:val="000000"/>
          <w:sz w:val="22"/>
          <w:szCs w:val="22"/>
        </w:rPr>
        <w:t>, VP</w:t>
      </w:r>
      <w:r w:rsidRPr="006774D3">
        <w:rPr>
          <w:color w:val="000000"/>
          <w:sz w:val="22"/>
          <w:szCs w:val="22"/>
        </w:rPr>
        <w:noBreakHyphen/>
      </w:r>
      <w:r w:rsidR="001973ED" w:rsidRPr="006774D3">
        <w:rPr>
          <w:color w:val="000000"/>
          <w:sz w:val="22"/>
          <w:szCs w:val="22"/>
        </w:rPr>
        <w:t xml:space="preserve">16 = etoposid, MTX = </w:t>
      </w:r>
      <w:r w:rsidR="00732E14" w:rsidRPr="006774D3">
        <w:rPr>
          <w:color w:val="000000"/>
          <w:sz w:val="22"/>
          <w:szCs w:val="22"/>
        </w:rPr>
        <w:t>metótrexat</w:t>
      </w:r>
      <w:r w:rsidR="001973ED" w:rsidRPr="006774D3">
        <w:rPr>
          <w:color w:val="000000"/>
          <w:sz w:val="22"/>
          <w:szCs w:val="22"/>
        </w:rPr>
        <w:t xml:space="preserve">, </w:t>
      </w:r>
      <w:r w:rsidR="00732E14" w:rsidRPr="006774D3">
        <w:rPr>
          <w:color w:val="000000"/>
          <w:sz w:val="22"/>
          <w:szCs w:val="22"/>
        </w:rPr>
        <w:t>i.v.</w:t>
      </w:r>
      <w:r w:rsidR="001973ED" w:rsidRPr="006774D3">
        <w:rPr>
          <w:color w:val="000000"/>
          <w:sz w:val="22"/>
          <w:szCs w:val="22"/>
        </w:rPr>
        <w:t xml:space="preserve"> = </w:t>
      </w:r>
      <w:r w:rsidR="00732E14" w:rsidRPr="006774D3">
        <w:rPr>
          <w:color w:val="000000"/>
          <w:sz w:val="22"/>
          <w:szCs w:val="22"/>
        </w:rPr>
        <w:t>í bláæð</w:t>
      </w:r>
      <w:r w:rsidR="001973ED" w:rsidRPr="006774D3">
        <w:rPr>
          <w:color w:val="000000"/>
          <w:sz w:val="22"/>
          <w:szCs w:val="22"/>
        </w:rPr>
        <w:t xml:space="preserve">, </w:t>
      </w:r>
      <w:r w:rsidR="00732E14" w:rsidRPr="006774D3">
        <w:rPr>
          <w:color w:val="000000"/>
          <w:sz w:val="22"/>
          <w:szCs w:val="22"/>
        </w:rPr>
        <w:t>s.c.</w:t>
      </w:r>
      <w:r w:rsidR="001973ED" w:rsidRPr="006774D3">
        <w:rPr>
          <w:color w:val="000000"/>
          <w:sz w:val="22"/>
          <w:szCs w:val="22"/>
        </w:rPr>
        <w:t xml:space="preserve"> = </w:t>
      </w:r>
      <w:r w:rsidR="00732E14" w:rsidRPr="006774D3">
        <w:rPr>
          <w:color w:val="000000"/>
          <w:sz w:val="22"/>
          <w:szCs w:val="22"/>
        </w:rPr>
        <w:t>undir húð</w:t>
      </w:r>
      <w:r w:rsidR="001973ED" w:rsidRPr="006774D3">
        <w:rPr>
          <w:color w:val="000000"/>
          <w:sz w:val="22"/>
          <w:szCs w:val="22"/>
        </w:rPr>
        <w:t xml:space="preserve">, </w:t>
      </w:r>
      <w:r w:rsidR="00732E14" w:rsidRPr="006774D3">
        <w:rPr>
          <w:color w:val="000000"/>
          <w:sz w:val="22"/>
          <w:szCs w:val="22"/>
        </w:rPr>
        <w:t>i.t.</w:t>
      </w:r>
      <w:r w:rsidR="001973ED" w:rsidRPr="006774D3">
        <w:rPr>
          <w:color w:val="000000"/>
          <w:sz w:val="22"/>
          <w:szCs w:val="22"/>
        </w:rPr>
        <w:t xml:space="preserve"> = </w:t>
      </w:r>
      <w:r w:rsidR="00732E14" w:rsidRPr="006774D3">
        <w:rPr>
          <w:color w:val="000000"/>
          <w:sz w:val="22"/>
          <w:szCs w:val="22"/>
        </w:rPr>
        <w:t>í mænuvökva</w:t>
      </w:r>
      <w:r w:rsidR="001973ED" w:rsidRPr="006774D3">
        <w:rPr>
          <w:color w:val="000000"/>
          <w:sz w:val="22"/>
          <w:szCs w:val="22"/>
        </w:rPr>
        <w:t xml:space="preserve">, </w:t>
      </w:r>
      <w:r w:rsidR="00732E14" w:rsidRPr="006774D3">
        <w:rPr>
          <w:color w:val="000000"/>
          <w:sz w:val="22"/>
          <w:szCs w:val="22"/>
        </w:rPr>
        <w:t>i.m.</w:t>
      </w:r>
      <w:r w:rsidR="001973ED" w:rsidRPr="006774D3">
        <w:rPr>
          <w:color w:val="000000"/>
          <w:sz w:val="22"/>
          <w:szCs w:val="22"/>
        </w:rPr>
        <w:t xml:space="preserve"> = </w:t>
      </w:r>
      <w:r w:rsidR="00732E14" w:rsidRPr="006774D3">
        <w:rPr>
          <w:color w:val="000000"/>
          <w:sz w:val="22"/>
          <w:szCs w:val="22"/>
        </w:rPr>
        <w:t>í vöðva</w:t>
      </w:r>
      <w:r w:rsidR="001973ED" w:rsidRPr="006774D3">
        <w:rPr>
          <w:color w:val="000000"/>
          <w:sz w:val="22"/>
          <w:szCs w:val="22"/>
        </w:rPr>
        <w:t xml:space="preserve">, ARA-C = cytarabin, CPM = </w:t>
      </w:r>
      <w:r w:rsidR="00732E14" w:rsidRPr="006774D3">
        <w:rPr>
          <w:color w:val="000000"/>
          <w:sz w:val="22"/>
          <w:szCs w:val="22"/>
        </w:rPr>
        <w:t>cyclofosfamid</w:t>
      </w:r>
      <w:r w:rsidR="001973ED" w:rsidRPr="006774D3">
        <w:rPr>
          <w:color w:val="000000"/>
          <w:sz w:val="22"/>
          <w:szCs w:val="22"/>
        </w:rPr>
        <w:t>, VCR = vincristin, DEX = dexam</w:t>
      </w:r>
      <w:r w:rsidRPr="006774D3">
        <w:rPr>
          <w:color w:val="000000"/>
          <w:sz w:val="22"/>
          <w:szCs w:val="22"/>
        </w:rPr>
        <w:t>etason, DAUN = daunorubicin, 6</w:t>
      </w:r>
      <w:r w:rsidRPr="006774D3">
        <w:rPr>
          <w:color w:val="000000"/>
          <w:sz w:val="22"/>
          <w:szCs w:val="22"/>
        </w:rPr>
        <w:noBreakHyphen/>
      </w:r>
      <w:r w:rsidR="001973ED" w:rsidRPr="006774D3">
        <w:rPr>
          <w:color w:val="000000"/>
          <w:sz w:val="22"/>
          <w:szCs w:val="22"/>
        </w:rPr>
        <w:t>MP = 6-mercaptopurin, E.</w:t>
      </w:r>
      <w:r w:rsidR="00F67C83" w:rsidRPr="006774D3">
        <w:rPr>
          <w:color w:val="000000"/>
          <w:sz w:val="22"/>
          <w:szCs w:val="22"/>
        </w:rPr>
        <w:t>c</w:t>
      </w:r>
      <w:r w:rsidR="001973ED" w:rsidRPr="006774D3">
        <w:rPr>
          <w:color w:val="000000"/>
          <w:sz w:val="22"/>
          <w:szCs w:val="22"/>
        </w:rPr>
        <w:t>oli L</w:t>
      </w:r>
      <w:r w:rsidRPr="006774D3">
        <w:rPr>
          <w:color w:val="000000"/>
          <w:sz w:val="22"/>
          <w:szCs w:val="22"/>
        </w:rPr>
        <w:noBreakHyphen/>
        <w:t>ASP = L</w:t>
      </w:r>
      <w:r w:rsidRPr="006774D3">
        <w:rPr>
          <w:color w:val="000000"/>
          <w:sz w:val="22"/>
          <w:szCs w:val="22"/>
        </w:rPr>
        <w:noBreakHyphen/>
      </w:r>
      <w:r w:rsidR="00744ADE" w:rsidRPr="006774D3">
        <w:rPr>
          <w:color w:val="000000"/>
          <w:sz w:val="22"/>
          <w:szCs w:val="22"/>
        </w:rPr>
        <w:t>asparaginasi</w:t>
      </w:r>
      <w:r w:rsidRPr="006774D3">
        <w:rPr>
          <w:color w:val="000000"/>
          <w:sz w:val="22"/>
          <w:szCs w:val="22"/>
        </w:rPr>
        <w:t>, PEG</w:t>
      </w:r>
      <w:r w:rsidRPr="006774D3">
        <w:rPr>
          <w:color w:val="000000"/>
          <w:sz w:val="22"/>
          <w:szCs w:val="22"/>
        </w:rPr>
        <w:noBreakHyphen/>
      </w:r>
      <w:r w:rsidR="001973ED" w:rsidRPr="006774D3">
        <w:rPr>
          <w:color w:val="000000"/>
          <w:sz w:val="22"/>
          <w:szCs w:val="22"/>
        </w:rPr>
        <w:t xml:space="preserve">ASP = PEG </w:t>
      </w:r>
      <w:r w:rsidR="00744ADE" w:rsidRPr="006774D3">
        <w:rPr>
          <w:color w:val="000000"/>
          <w:sz w:val="22"/>
          <w:szCs w:val="22"/>
        </w:rPr>
        <w:t>asparaginasi,</w:t>
      </w:r>
      <w:r w:rsidRPr="006774D3">
        <w:rPr>
          <w:color w:val="000000"/>
          <w:sz w:val="22"/>
          <w:szCs w:val="22"/>
        </w:rPr>
        <w:t xml:space="preserve"> MESNA= 2</w:t>
      </w:r>
      <w:r w:rsidRPr="006774D3">
        <w:rPr>
          <w:color w:val="000000"/>
          <w:sz w:val="22"/>
          <w:szCs w:val="22"/>
        </w:rPr>
        <w:noBreakHyphen/>
      </w:r>
      <w:r w:rsidR="00744ADE" w:rsidRPr="006774D3">
        <w:rPr>
          <w:color w:val="000000"/>
          <w:sz w:val="22"/>
          <w:szCs w:val="22"/>
        </w:rPr>
        <w:t>mercaptoet</w:t>
      </w:r>
      <w:r w:rsidR="001973ED" w:rsidRPr="006774D3">
        <w:rPr>
          <w:color w:val="000000"/>
          <w:sz w:val="22"/>
          <w:szCs w:val="22"/>
        </w:rPr>
        <w:t>an</w:t>
      </w:r>
      <w:r w:rsidR="00744ADE" w:rsidRPr="006774D3">
        <w:rPr>
          <w:color w:val="000000"/>
          <w:sz w:val="22"/>
          <w:szCs w:val="22"/>
        </w:rPr>
        <w:t xml:space="preserve"> sulfonat</w:t>
      </w:r>
      <w:r w:rsidR="001973ED" w:rsidRPr="006774D3">
        <w:rPr>
          <w:color w:val="000000"/>
          <w:sz w:val="22"/>
          <w:szCs w:val="22"/>
        </w:rPr>
        <w:t xml:space="preserve"> </w:t>
      </w:r>
      <w:r w:rsidR="00744ADE" w:rsidRPr="006774D3">
        <w:rPr>
          <w:color w:val="000000"/>
          <w:sz w:val="22"/>
          <w:szCs w:val="22"/>
        </w:rPr>
        <w:t>natríum</w:t>
      </w:r>
      <w:r w:rsidR="001973ED" w:rsidRPr="006774D3">
        <w:rPr>
          <w:color w:val="000000"/>
          <w:sz w:val="22"/>
          <w:szCs w:val="22"/>
        </w:rPr>
        <w:t xml:space="preserve">, iii= </w:t>
      </w:r>
      <w:r w:rsidR="00744ADE" w:rsidRPr="006774D3">
        <w:rPr>
          <w:color w:val="000000"/>
          <w:sz w:val="22"/>
          <w:szCs w:val="22"/>
        </w:rPr>
        <w:t>eða þar til</w:t>
      </w:r>
      <w:r w:rsidR="001973ED" w:rsidRPr="006774D3">
        <w:rPr>
          <w:color w:val="000000"/>
          <w:sz w:val="22"/>
          <w:szCs w:val="22"/>
        </w:rPr>
        <w:t xml:space="preserve"> MTX </w:t>
      </w:r>
      <w:r w:rsidR="00744ADE" w:rsidRPr="006774D3">
        <w:rPr>
          <w:color w:val="000000"/>
          <w:sz w:val="22"/>
          <w:szCs w:val="22"/>
        </w:rPr>
        <w:t>þéttni er &lt; 0,</w:t>
      </w:r>
      <w:r w:rsidR="001973ED" w:rsidRPr="006774D3">
        <w:rPr>
          <w:color w:val="000000"/>
          <w:sz w:val="22"/>
          <w:szCs w:val="22"/>
        </w:rPr>
        <w:t>1 µM, Gy= Gray</w:t>
      </w:r>
    </w:p>
    <w:p w14:paraId="05B8B40D" w14:textId="77777777" w:rsidR="001973ED" w:rsidRPr="006774D3" w:rsidRDefault="001973ED" w:rsidP="00F77C66">
      <w:pPr>
        <w:widowControl w:val="0"/>
        <w:tabs>
          <w:tab w:val="left" w:pos="567"/>
        </w:tabs>
        <w:rPr>
          <w:color w:val="000000"/>
          <w:sz w:val="22"/>
          <w:szCs w:val="22"/>
        </w:rPr>
      </w:pPr>
    </w:p>
    <w:p w14:paraId="05B8B40E" w14:textId="77777777" w:rsidR="003D768B" w:rsidRPr="006774D3" w:rsidRDefault="003D768B" w:rsidP="00F77C66">
      <w:pPr>
        <w:widowControl w:val="0"/>
        <w:tabs>
          <w:tab w:val="left" w:pos="567"/>
        </w:tabs>
        <w:rPr>
          <w:color w:val="000000"/>
          <w:sz w:val="22"/>
          <w:szCs w:val="22"/>
        </w:rPr>
      </w:pPr>
      <w:r w:rsidRPr="006774D3">
        <w:rPr>
          <w:color w:val="000000"/>
          <w:sz w:val="22"/>
          <w:szCs w:val="22"/>
        </w:rPr>
        <w:t>RannsóknAIT07 var fjölsetra, opin, slembuð, II/III</w:t>
      </w:r>
      <w:r w:rsidR="0089006B" w:rsidRPr="006774D3">
        <w:rPr>
          <w:color w:val="000000"/>
          <w:sz w:val="22"/>
          <w:szCs w:val="22"/>
        </w:rPr>
        <w:t> stigs</w:t>
      </w:r>
      <w:r w:rsidRPr="006774D3">
        <w:rPr>
          <w:color w:val="000000"/>
          <w:sz w:val="22"/>
          <w:szCs w:val="22"/>
        </w:rPr>
        <w:t xml:space="preserve"> rannsókn sem í tóku þátt 128 sjúklingar (1</w:t>
      </w:r>
      <w:r w:rsidR="0089006B" w:rsidRPr="006774D3">
        <w:rPr>
          <w:color w:val="000000"/>
          <w:sz w:val="22"/>
          <w:szCs w:val="22"/>
        </w:rPr>
        <w:t> árs</w:t>
      </w:r>
      <w:r w:rsidRPr="006774D3">
        <w:rPr>
          <w:color w:val="000000"/>
          <w:sz w:val="22"/>
          <w:szCs w:val="22"/>
        </w:rPr>
        <w:t xml:space="preserve"> til &lt; 18 ára) </w:t>
      </w:r>
      <w:r w:rsidR="00EA324C" w:rsidRPr="006774D3">
        <w:rPr>
          <w:color w:val="000000"/>
          <w:sz w:val="22"/>
          <w:szCs w:val="22"/>
        </w:rPr>
        <w:t xml:space="preserve">sem fengu meðferð með imatinibi samhliða krabbameinslyfjameðferð. Upplýsingar um öryggi úr þessari rannsókn </w:t>
      </w:r>
      <w:r w:rsidR="00AB49E0" w:rsidRPr="006774D3">
        <w:rPr>
          <w:color w:val="000000"/>
          <w:sz w:val="22"/>
          <w:szCs w:val="22"/>
        </w:rPr>
        <w:t xml:space="preserve">virðast vera í samræmi við </w:t>
      </w:r>
      <w:r w:rsidR="00EA324C" w:rsidRPr="006774D3">
        <w:rPr>
          <w:color w:val="000000"/>
          <w:sz w:val="22"/>
          <w:szCs w:val="22"/>
        </w:rPr>
        <w:t>upplýsingar um örygg</w:t>
      </w:r>
      <w:r w:rsidR="0089006B" w:rsidRPr="006774D3">
        <w:rPr>
          <w:color w:val="000000"/>
          <w:sz w:val="22"/>
          <w:szCs w:val="22"/>
        </w:rPr>
        <w:t>i</w:t>
      </w:r>
      <w:r w:rsidR="00EA324C" w:rsidRPr="006774D3">
        <w:rPr>
          <w:color w:val="000000"/>
          <w:sz w:val="22"/>
          <w:szCs w:val="22"/>
        </w:rPr>
        <w:t xml:space="preserve"> imatinibs hjá sjúklingum með Ph+ ALL.</w:t>
      </w:r>
    </w:p>
    <w:p w14:paraId="05B8B40F" w14:textId="77777777" w:rsidR="005F57F3" w:rsidRPr="006774D3" w:rsidRDefault="005F57F3" w:rsidP="00F77C66">
      <w:pPr>
        <w:rPr>
          <w:color w:val="000000"/>
          <w:sz w:val="22"/>
          <w:szCs w:val="22"/>
        </w:rPr>
      </w:pPr>
    </w:p>
    <w:p w14:paraId="05B8B410" w14:textId="77777777" w:rsidR="005F57F3" w:rsidRPr="006774D3" w:rsidRDefault="005F57F3" w:rsidP="00F77C66">
      <w:pPr>
        <w:rPr>
          <w:color w:val="000000"/>
          <w:sz w:val="22"/>
          <w:szCs w:val="22"/>
        </w:rPr>
      </w:pPr>
      <w:r w:rsidRPr="006774D3">
        <w:rPr>
          <w:i/>
          <w:color w:val="000000"/>
          <w:sz w:val="22"/>
          <w:szCs w:val="22"/>
        </w:rPr>
        <w:t>Endurkomið/þrálátt Ph+ ALL</w:t>
      </w:r>
      <w:r w:rsidRPr="006774D3">
        <w:rPr>
          <w:color w:val="000000"/>
          <w:sz w:val="22"/>
          <w:szCs w:val="22"/>
        </w:rPr>
        <w:t>: Þegar imatinib var notað eitt sér handa sjúklingum með endur</w:t>
      </w:r>
      <w:r w:rsidRPr="006774D3">
        <w:rPr>
          <w:color w:val="000000"/>
          <w:sz w:val="22"/>
          <w:szCs w:val="22"/>
        </w:rPr>
        <w:softHyphen/>
        <w:t xml:space="preserve">komið/þrálátt Ph+ ALL hafði það í för með sér, hjá þeim 53 af 411 sjúklingum sem unnt var að leggja mat á, að hlutfall blóðsvörunar var 30% (hlutfall </w:t>
      </w:r>
      <w:r w:rsidR="00172F56" w:rsidRPr="006774D3">
        <w:rPr>
          <w:color w:val="000000"/>
          <w:sz w:val="22"/>
          <w:szCs w:val="22"/>
        </w:rPr>
        <w:t>heildar</w:t>
      </w:r>
      <w:r w:rsidRPr="006774D3">
        <w:rPr>
          <w:color w:val="000000"/>
          <w:sz w:val="22"/>
          <w:szCs w:val="22"/>
        </w:rPr>
        <w:t>blóðsvörunar var 9%) og hlutfall meiriháttar litningasvörunar var 23%. (Haft skal í huga að af 411 sjúklingum fengu 353 meðferð í útvíkkaðri þátttökurannsókn, án þess að grunnupplýsingum um svörun væri safnað saman). Miðgildi tíma að versnun sjúkdóms hjá öllum 411 sjúklingunum með endurkomið/þrálátt Ph+ ALL var á bilinu 2,6 til 3,1 mánuður og miðgildi heildar lifunar hjá þeim 401 sjúklingi sem unnt var að leggja mat á, var á bilinu 4,9 til 9 mánuðir. Svipaðar niðurstöður komu fram við endurgreiningu upplýsinga þannig að einungis voru metnir þeir sjúklingar sem voru 55 ára eða eldri.</w:t>
      </w:r>
    </w:p>
    <w:p w14:paraId="05B8B411" w14:textId="77777777" w:rsidR="005F57F3" w:rsidRPr="006774D3" w:rsidRDefault="005F57F3" w:rsidP="00F77C66">
      <w:pPr>
        <w:rPr>
          <w:color w:val="000000"/>
          <w:sz w:val="22"/>
          <w:szCs w:val="22"/>
        </w:rPr>
      </w:pPr>
    </w:p>
    <w:p w14:paraId="05B8B412" w14:textId="77777777" w:rsidR="005F57F3" w:rsidRPr="006774D3" w:rsidRDefault="005F57F3" w:rsidP="00F77C66">
      <w:pPr>
        <w:keepNext/>
        <w:rPr>
          <w:color w:val="000000"/>
          <w:sz w:val="22"/>
          <w:szCs w:val="22"/>
          <w:u w:val="single"/>
        </w:rPr>
      </w:pPr>
      <w:r w:rsidRPr="006774D3">
        <w:rPr>
          <w:color w:val="000000"/>
          <w:sz w:val="22"/>
          <w:szCs w:val="22"/>
          <w:u w:val="single"/>
        </w:rPr>
        <w:t>Klínískar rannsóknir á MDS/MPD</w:t>
      </w:r>
    </w:p>
    <w:p w14:paraId="05B8B413" w14:textId="77777777" w:rsidR="00C73A56" w:rsidRPr="006774D3" w:rsidRDefault="005F57F3" w:rsidP="00F77C66">
      <w:pPr>
        <w:rPr>
          <w:color w:val="000000"/>
          <w:sz w:val="22"/>
          <w:szCs w:val="22"/>
        </w:rPr>
      </w:pPr>
      <w:r w:rsidRPr="006774D3">
        <w:rPr>
          <w:color w:val="000000"/>
          <w:sz w:val="22"/>
          <w:szCs w:val="22"/>
        </w:rPr>
        <w:t>Reynsla af notkun Glivec við þessari ábendingu er mjög takmörkuð og byggist á blóð- og litningasvörunar</w:t>
      </w:r>
      <w:r w:rsidRPr="006774D3">
        <w:rPr>
          <w:color w:val="000000"/>
          <w:sz w:val="22"/>
          <w:szCs w:val="22"/>
        </w:rPr>
        <w:softHyphen/>
        <w:t>hlutföllum. Ekki hafa verið gerðar neinar samanburðarrannsóknir sem sýna fram á klínískan ávinning eða lengri lifun. Í einni opinni, fjölsetra, II. stigs klínískri rannsókn (rannsókn B2225) var lagt mat á Glivec hjá fjölbreytilegu sjúklingaþýði með lífshættulega sjúkdóma sem tengjast Abl, Kit eða PDGFR proteintyrosin</w:t>
      </w:r>
      <w:r w:rsidRPr="006774D3">
        <w:rPr>
          <w:color w:val="000000"/>
          <w:sz w:val="22"/>
          <w:szCs w:val="22"/>
        </w:rPr>
        <w:softHyphen/>
        <w:t xml:space="preserve">kinasa. Í þessari rannsókn tóku þátt 7 sjúklingar með MDS/MPD sem fengu meðferð með 400 mg af Glivec á sólarhring. Þrír sjúklingar náðu </w:t>
      </w:r>
      <w:r w:rsidR="008C146A" w:rsidRPr="006774D3">
        <w:rPr>
          <w:color w:val="000000"/>
          <w:sz w:val="22"/>
          <w:szCs w:val="22"/>
        </w:rPr>
        <w:t>heildar</w:t>
      </w:r>
      <w:r w:rsidRPr="006774D3">
        <w:rPr>
          <w:color w:val="000000"/>
          <w:sz w:val="22"/>
          <w:szCs w:val="22"/>
        </w:rPr>
        <w:t xml:space="preserve">blóðsvörun (CHR) og einn sjúklingur náði blóðsvörun að hluta (PHR). Þegar upphaflega </w:t>
      </w:r>
      <w:r w:rsidRPr="006774D3">
        <w:rPr>
          <w:color w:val="000000"/>
          <w:sz w:val="22"/>
          <w:szCs w:val="22"/>
        </w:rPr>
        <w:lastRenderedPageBreak/>
        <w:t>greiningin fór fram höfðu þrír af fjórum sjúklingum með staðfesta PDGFR endurröðun erfðavísa náð blóðsvörun (2 CHR og 1 PHR). Sjúklingarnir voru á aldrinum 20 til 72 ára.</w:t>
      </w:r>
    </w:p>
    <w:p w14:paraId="05B8B414" w14:textId="77777777" w:rsidR="00C73A56" w:rsidRPr="006774D3" w:rsidRDefault="00C73A56" w:rsidP="00F77C66">
      <w:pPr>
        <w:rPr>
          <w:color w:val="000000"/>
          <w:sz w:val="22"/>
          <w:szCs w:val="22"/>
        </w:rPr>
      </w:pPr>
    </w:p>
    <w:p w14:paraId="05B8B415" w14:textId="77777777" w:rsidR="00C73A56" w:rsidRPr="006774D3" w:rsidRDefault="00C73A56" w:rsidP="00F77C66">
      <w:pPr>
        <w:rPr>
          <w:color w:val="000000"/>
          <w:sz w:val="22"/>
          <w:szCs w:val="22"/>
        </w:rPr>
      </w:pPr>
      <w:r w:rsidRPr="006774D3">
        <w:rPr>
          <w:color w:val="000000"/>
          <w:sz w:val="22"/>
          <w:szCs w:val="22"/>
        </w:rPr>
        <w:t>Gerð var áhorfs</w:t>
      </w:r>
      <w:r w:rsidR="00996CBD" w:rsidRPr="006774D3">
        <w:rPr>
          <w:color w:val="000000"/>
          <w:sz w:val="22"/>
          <w:szCs w:val="22"/>
        </w:rPr>
        <w:t>skrá</w:t>
      </w:r>
      <w:r w:rsidRPr="006774D3">
        <w:rPr>
          <w:color w:val="000000"/>
          <w:sz w:val="22"/>
          <w:szCs w:val="22"/>
        </w:rPr>
        <w:t xml:space="preserve"> (rannsókn L2401) til að safna saman upplýsingum um langtímaöryggi og </w:t>
      </w:r>
      <w:r w:rsidRPr="006774D3">
        <w:rPr>
          <w:color w:val="000000"/>
          <w:sz w:val="22"/>
          <w:szCs w:val="22"/>
        </w:rPr>
        <w:noBreakHyphen/>
        <w:t xml:space="preserve">verkun hjá sjúklingum með </w:t>
      </w:r>
      <w:r w:rsidRPr="006774D3">
        <w:rPr>
          <w:iCs/>
          <w:color w:val="000000"/>
          <w:sz w:val="22"/>
          <w:szCs w:val="22"/>
        </w:rPr>
        <w:t xml:space="preserve">æxli vegna mergfrumnafjölgunar með PDGFR- β endurröðun og sem fengu meðferð með Glivec. Þeir 23 sjúklingar sem skráðir voru fengu Glivec skammta sem voru að miðgildi 264 mg á sólarhring (á bilinu 100 til 400 mg) í að miðgildi 7,2 ár (á bilinu 0,1 til 12,7 ár). </w:t>
      </w:r>
      <w:r w:rsidR="00996CBD" w:rsidRPr="006774D3">
        <w:rPr>
          <w:iCs/>
          <w:color w:val="000000"/>
          <w:sz w:val="22"/>
          <w:szCs w:val="22"/>
        </w:rPr>
        <w:t xml:space="preserve">Vegna eðlis </w:t>
      </w:r>
      <w:r w:rsidR="006A0A38" w:rsidRPr="006774D3">
        <w:rPr>
          <w:iCs/>
          <w:color w:val="000000"/>
          <w:sz w:val="22"/>
          <w:szCs w:val="22"/>
        </w:rPr>
        <w:t>áhorfs</w:t>
      </w:r>
      <w:r w:rsidR="00996CBD" w:rsidRPr="006774D3">
        <w:rPr>
          <w:iCs/>
          <w:color w:val="000000"/>
          <w:sz w:val="22"/>
          <w:szCs w:val="22"/>
        </w:rPr>
        <w:t xml:space="preserve">skrárinnar lágu upplýsingar um blóðfræðilegt, frumuerfðafræðilegt og sameindafræðilegt mat fyrir hjá 22, 9 og 17 af þeim 23 sjúklingum sem skráðir voru, tilgreint í sömu röð. </w:t>
      </w:r>
      <w:r w:rsidR="006F579C" w:rsidRPr="006774D3">
        <w:rPr>
          <w:iCs/>
          <w:color w:val="000000"/>
          <w:sz w:val="22"/>
          <w:szCs w:val="22"/>
        </w:rPr>
        <w:t>Þegar varlega er áætlað að sjúklingar sem ekki liggja fyrir upplýsingar um svari ekki meðferð</w:t>
      </w:r>
      <w:r w:rsidR="003551CF" w:rsidRPr="006774D3">
        <w:rPr>
          <w:iCs/>
          <w:color w:val="000000"/>
          <w:sz w:val="22"/>
          <w:szCs w:val="22"/>
        </w:rPr>
        <w:t>,</w:t>
      </w:r>
      <w:r w:rsidR="006F579C" w:rsidRPr="006774D3">
        <w:rPr>
          <w:iCs/>
          <w:color w:val="000000"/>
          <w:sz w:val="22"/>
          <w:szCs w:val="22"/>
        </w:rPr>
        <w:t xml:space="preserve"> </w:t>
      </w:r>
      <w:r w:rsidR="006A0A38" w:rsidRPr="006774D3">
        <w:rPr>
          <w:iCs/>
          <w:color w:val="000000"/>
          <w:sz w:val="22"/>
          <w:szCs w:val="22"/>
        </w:rPr>
        <w:t>kemur</w:t>
      </w:r>
      <w:r w:rsidR="006F579C" w:rsidRPr="006774D3">
        <w:rPr>
          <w:iCs/>
          <w:color w:val="000000"/>
          <w:sz w:val="22"/>
          <w:szCs w:val="22"/>
        </w:rPr>
        <w:t xml:space="preserve"> fram </w:t>
      </w:r>
      <w:r w:rsidR="006A0A38" w:rsidRPr="006774D3">
        <w:rPr>
          <w:iCs/>
          <w:color w:val="000000"/>
          <w:sz w:val="22"/>
          <w:szCs w:val="22"/>
        </w:rPr>
        <w:t xml:space="preserve">að </w:t>
      </w:r>
      <w:r w:rsidR="0030257E" w:rsidRPr="006774D3">
        <w:rPr>
          <w:iCs/>
          <w:color w:val="000000"/>
          <w:sz w:val="22"/>
          <w:szCs w:val="22"/>
        </w:rPr>
        <w:t>heildar</w:t>
      </w:r>
      <w:r w:rsidR="006F579C" w:rsidRPr="006774D3">
        <w:rPr>
          <w:iCs/>
          <w:color w:val="000000"/>
          <w:sz w:val="22"/>
          <w:szCs w:val="22"/>
        </w:rPr>
        <w:t xml:space="preserve">blóðsvörun </w:t>
      </w:r>
      <w:r w:rsidR="006A0A38" w:rsidRPr="006774D3">
        <w:rPr>
          <w:iCs/>
          <w:color w:val="000000"/>
          <w:sz w:val="22"/>
          <w:szCs w:val="22"/>
        </w:rPr>
        <w:t xml:space="preserve">sást </w:t>
      </w:r>
      <w:r w:rsidR="006F579C" w:rsidRPr="006774D3">
        <w:rPr>
          <w:iCs/>
          <w:color w:val="000000"/>
          <w:sz w:val="22"/>
          <w:szCs w:val="22"/>
        </w:rPr>
        <w:t xml:space="preserve">hjá 20/23 (87%) sjúklingum, </w:t>
      </w:r>
      <w:r w:rsidR="006F579C" w:rsidRPr="006774D3">
        <w:rPr>
          <w:color w:val="000000"/>
          <w:sz w:val="22"/>
          <w:szCs w:val="22"/>
        </w:rPr>
        <w:t xml:space="preserve">full litningasvörun (CCyR) hjá 9/23 (39,1%) sjúklingum og </w:t>
      </w:r>
      <w:r w:rsidR="006A0A38" w:rsidRPr="006774D3">
        <w:rPr>
          <w:color w:val="000000"/>
          <w:sz w:val="22"/>
          <w:szCs w:val="22"/>
        </w:rPr>
        <w:t>sameindasvörun (</w:t>
      </w:r>
      <w:r w:rsidR="006F579C" w:rsidRPr="006774D3">
        <w:rPr>
          <w:color w:val="000000"/>
          <w:sz w:val="22"/>
          <w:szCs w:val="22"/>
        </w:rPr>
        <w:t>MR</w:t>
      </w:r>
      <w:r w:rsidR="006A0A38" w:rsidRPr="006774D3">
        <w:rPr>
          <w:color w:val="000000"/>
          <w:sz w:val="22"/>
          <w:szCs w:val="22"/>
        </w:rPr>
        <w:t>)</w:t>
      </w:r>
      <w:r w:rsidR="006F579C" w:rsidRPr="006774D3">
        <w:rPr>
          <w:color w:val="000000"/>
          <w:sz w:val="22"/>
          <w:szCs w:val="22"/>
        </w:rPr>
        <w:t xml:space="preserve"> hjá 11/23 (47,8%) sjúklingum, tilgreint í sömu röð.</w:t>
      </w:r>
      <w:r w:rsidR="003551CF" w:rsidRPr="006774D3">
        <w:rPr>
          <w:color w:val="000000"/>
          <w:sz w:val="22"/>
          <w:szCs w:val="22"/>
        </w:rPr>
        <w:t xml:space="preserve"> Þegar svörunarhlutfallið er reiknað hjá sjúklingum með að minnsta kosti eitt gilt mat er svörunarhlutfallið fyrir </w:t>
      </w:r>
      <w:r w:rsidR="0030257E" w:rsidRPr="006774D3">
        <w:rPr>
          <w:color w:val="000000"/>
          <w:sz w:val="22"/>
          <w:szCs w:val="22"/>
        </w:rPr>
        <w:t>heildar</w:t>
      </w:r>
      <w:r w:rsidR="003551CF" w:rsidRPr="006774D3">
        <w:rPr>
          <w:color w:val="000000"/>
          <w:sz w:val="22"/>
          <w:szCs w:val="22"/>
        </w:rPr>
        <w:t xml:space="preserve">blóðsvörun </w:t>
      </w:r>
      <w:r w:rsidR="00EB1DD3" w:rsidRPr="006774D3">
        <w:rPr>
          <w:color w:val="000000"/>
          <w:sz w:val="22"/>
          <w:szCs w:val="22"/>
        </w:rPr>
        <w:t>20</w:t>
      </w:r>
      <w:r w:rsidR="003551CF" w:rsidRPr="006774D3">
        <w:rPr>
          <w:color w:val="000000"/>
          <w:sz w:val="22"/>
          <w:szCs w:val="22"/>
        </w:rPr>
        <w:t>/22 (90,9%), fyrir full</w:t>
      </w:r>
      <w:r w:rsidR="0030257E" w:rsidRPr="006774D3">
        <w:rPr>
          <w:color w:val="000000"/>
          <w:sz w:val="22"/>
          <w:szCs w:val="22"/>
        </w:rPr>
        <w:t>a</w:t>
      </w:r>
      <w:r w:rsidR="003551CF" w:rsidRPr="006774D3">
        <w:rPr>
          <w:color w:val="000000"/>
          <w:sz w:val="22"/>
          <w:szCs w:val="22"/>
        </w:rPr>
        <w:t xml:space="preserve"> litningasvörun 9/9 (100%) og fyrir </w:t>
      </w:r>
      <w:r w:rsidR="006A0A38" w:rsidRPr="006774D3">
        <w:rPr>
          <w:color w:val="000000"/>
          <w:sz w:val="22"/>
          <w:szCs w:val="22"/>
        </w:rPr>
        <w:t>sameindasvörun</w:t>
      </w:r>
      <w:r w:rsidR="003551CF" w:rsidRPr="006774D3">
        <w:rPr>
          <w:color w:val="000000"/>
          <w:sz w:val="22"/>
          <w:szCs w:val="22"/>
        </w:rPr>
        <w:t xml:space="preserve"> 11/17 (64,7%).</w:t>
      </w:r>
    </w:p>
    <w:p w14:paraId="05B8B416" w14:textId="77777777" w:rsidR="00C73A56" w:rsidRPr="006774D3" w:rsidRDefault="00C73A56" w:rsidP="00F77C66">
      <w:pPr>
        <w:rPr>
          <w:color w:val="000000"/>
          <w:sz w:val="22"/>
          <w:szCs w:val="22"/>
        </w:rPr>
      </w:pPr>
    </w:p>
    <w:p w14:paraId="05B8B417" w14:textId="77777777" w:rsidR="005F57F3" w:rsidRPr="006774D3" w:rsidRDefault="005F57F3" w:rsidP="00F77C66">
      <w:pPr>
        <w:rPr>
          <w:color w:val="000000"/>
          <w:sz w:val="22"/>
          <w:szCs w:val="22"/>
        </w:rPr>
      </w:pPr>
      <w:r w:rsidRPr="006774D3">
        <w:rPr>
          <w:color w:val="000000"/>
          <w:sz w:val="22"/>
          <w:szCs w:val="22"/>
        </w:rPr>
        <w:t>Í 13 birtum heimildum var greint frá 24 sjúklingum til viðbótar, sem voru með MDS/MPD. Af þeim fékk 21 sjúklingur meðferð með Glivec 400 mg á sólarhring en hinir 3 fengu minni skammta. Hjá 11 sjúklingum greindist PDGFR endurröðun erfðavísa og af þeim náðu 9 CHR og 1 PHR. Sjúklingarnir voru á aldrinum 2 til 79 ára. Uppfærðar upplýsingar vegna 6 sjúklinga af þessum 11 voru birtar nýlega og samkvæmt þeim eru allir sjúklingarnir í sjúkdómshléi hvað varðar litningasvörun (á bilinu 32</w:t>
      </w:r>
      <w:r w:rsidRPr="006774D3">
        <w:rPr>
          <w:color w:val="000000"/>
          <w:sz w:val="22"/>
          <w:szCs w:val="22"/>
        </w:rPr>
        <w:noBreakHyphen/>
        <w:t>38 mánuðir). Í sömu birtu heimild er greint frá upplýsingum úr langtíma eftirfylgni 12 sjúklinga með MDS/MPD með PDGFR endurröðun erfðavísa (5 sjúklingar úr rannsókn B2225). Miðgildi tíma sem þessir sjúklingar höfðu notað Glivec var 47 mánuðir (á bilinu 24 dagar </w:t>
      </w:r>
      <w:r w:rsidRPr="006774D3">
        <w:rPr>
          <w:color w:val="000000"/>
          <w:sz w:val="22"/>
          <w:szCs w:val="22"/>
        </w:rPr>
        <w:noBreakHyphen/>
        <w:t> 60 mánuðir). Hjá 6 sjúklinganna hefur eftirfylgni nú varað í meira en 4 ár. 11 sjúklingar náðu skjótri CHR, þar af voru 10 án allra litningafrávika og samrunaumritanir (fusion transcripts), metið samkvæmt RT</w:t>
      </w:r>
      <w:r w:rsidRPr="006774D3">
        <w:rPr>
          <w:color w:val="000000"/>
          <w:sz w:val="22"/>
          <w:szCs w:val="22"/>
        </w:rPr>
        <w:noBreakHyphen/>
        <w:t>PCR, annaðhvort minnkuðu eða hurfu. Miðgildi þess tíma sem blóð- og litningasvörun hefur varað er 49 mánuðir (á bilinu 19</w:t>
      </w:r>
      <w:r w:rsidRPr="006774D3">
        <w:rPr>
          <w:color w:val="000000"/>
          <w:sz w:val="22"/>
          <w:szCs w:val="22"/>
        </w:rPr>
        <w:noBreakHyphen/>
        <w:t>60) og 47 mánuðir (á bilinu 16</w:t>
      </w:r>
      <w:r w:rsidRPr="006774D3">
        <w:rPr>
          <w:color w:val="000000"/>
          <w:sz w:val="22"/>
          <w:szCs w:val="22"/>
        </w:rPr>
        <w:noBreakHyphen/>
        <w:t>59), tilgreint í sömu röð. Heildarlifun er 65 mánuðir frá greiningu (á bilinu 25</w:t>
      </w:r>
      <w:r w:rsidRPr="006774D3">
        <w:rPr>
          <w:color w:val="000000"/>
          <w:sz w:val="22"/>
          <w:szCs w:val="22"/>
        </w:rPr>
        <w:noBreakHyphen/>
        <w:t>234). Notkun Glivec handa sjúklingum sem ekki eru með yfirfærslu í erfðaefni (genetic translocation) skilar yfirleitt ekki ávinningi.</w:t>
      </w:r>
    </w:p>
    <w:p w14:paraId="05B8B418" w14:textId="77777777" w:rsidR="00A3620E" w:rsidRPr="006774D3" w:rsidRDefault="00A3620E" w:rsidP="00F77C66">
      <w:pPr>
        <w:rPr>
          <w:color w:val="000000"/>
          <w:sz w:val="22"/>
          <w:szCs w:val="22"/>
        </w:rPr>
      </w:pPr>
    </w:p>
    <w:p w14:paraId="05B8B419" w14:textId="77777777" w:rsidR="00A3620E" w:rsidRPr="006774D3" w:rsidRDefault="00A3620E" w:rsidP="00F77C66">
      <w:pPr>
        <w:rPr>
          <w:color w:val="000000"/>
          <w:sz w:val="22"/>
          <w:szCs w:val="22"/>
        </w:rPr>
      </w:pPr>
      <w:r w:rsidRPr="006774D3">
        <w:rPr>
          <w:color w:val="000000"/>
          <w:sz w:val="22"/>
          <w:szCs w:val="22"/>
        </w:rPr>
        <w:t xml:space="preserve">Ekki hafa verið gerðar neinar samanburðarrannsóknir hjá börnum með MDS/MPD. </w:t>
      </w:r>
      <w:r w:rsidR="00625CFD" w:rsidRPr="006774D3">
        <w:rPr>
          <w:color w:val="000000"/>
          <w:sz w:val="22"/>
          <w:szCs w:val="22"/>
        </w:rPr>
        <w:t>Í 4 </w:t>
      </w:r>
      <w:r w:rsidR="00B9187A" w:rsidRPr="006774D3">
        <w:rPr>
          <w:color w:val="000000"/>
          <w:sz w:val="22"/>
          <w:szCs w:val="22"/>
        </w:rPr>
        <w:t xml:space="preserve">birtum </w:t>
      </w:r>
      <w:r w:rsidR="00C6348B" w:rsidRPr="006774D3">
        <w:rPr>
          <w:color w:val="000000"/>
          <w:sz w:val="22"/>
          <w:szCs w:val="22"/>
        </w:rPr>
        <w:t>heimildum</w:t>
      </w:r>
      <w:r w:rsidR="00B9187A" w:rsidRPr="006774D3">
        <w:rPr>
          <w:color w:val="000000"/>
          <w:sz w:val="22"/>
          <w:szCs w:val="22"/>
        </w:rPr>
        <w:t xml:space="preserve"> var g</w:t>
      </w:r>
      <w:r w:rsidRPr="006774D3">
        <w:rPr>
          <w:color w:val="000000"/>
          <w:sz w:val="22"/>
          <w:szCs w:val="22"/>
        </w:rPr>
        <w:t xml:space="preserve">reint frá </w:t>
      </w:r>
      <w:r w:rsidR="004D43A1" w:rsidRPr="006774D3">
        <w:rPr>
          <w:color w:val="000000"/>
          <w:sz w:val="22"/>
          <w:szCs w:val="22"/>
        </w:rPr>
        <w:t>5 </w:t>
      </w:r>
      <w:r w:rsidRPr="006774D3">
        <w:rPr>
          <w:color w:val="000000"/>
          <w:sz w:val="22"/>
          <w:szCs w:val="22"/>
        </w:rPr>
        <w:t>sjúklingum með MDS/MPD í tengslum við PDGFR endurröðun erfðavísa</w:t>
      </w:r>
      <w:r w:rsidR="001040A0" w:rsidRPr="006774D3">
        <w:rPr>
          <w:color w:val="000000"/>
          <w:sz w:val="22"/>
          <w:szCs w:val="22"/>
        </w:rPr>
        <w:t xml:space="preserve">. Sjúklingarnir voru á aldrinum 3 mánaða til 4 ára og fengu imatinib </w:t>
      </w:r>
      <w:r w:rsidR="00443C15" w:rsidRPr="006774D3">
        <w:rPr>
          <w:color w:val="000000"/>
          <w:sz w:val="22"/>
          <w:szCs w:val="22"/>
        </w:rPr>
        <w:t xml:space="preserve">í skammtinum 50 mg á sólarhring eða </w:t>
      </w:r>
      <w:r w:rsidR="001040A0" w:rsidRPr="006774D3">
        <w:rPr>
          <w:color w:val="000000"/>
          <w:sz w:val="22"/>
          <w:szCs w:val="22"/>
        </w:rPr>
        <w:t>í skömmtum á bilinu 92,5 til 340 mg/m</w:t>
      </w:r>
      <w:r w:rsidR="001040A0" w:rsidRPr="006774D3">
        <w:rPr>
          <w:color w:val="000000"/>
          <w:sz w:val="22"/>
          <w:szCs w:val="22"/>
          <w:vertAlign w:val="superscript"/>
        </w:rPr>
        <w:t>2</w:t>
      </w:r>
      <w:r w:rsidR="001040A0" w:rsidRPr="006774D3">
        <w:rPr>
          <w:color w:val="000000"/>
          <w:sz w:val="22"/>
          <w:szCs w:val="22"/>
        </w:rPr>
        <w:t xml:space="preserve"> á sólarhring.</w:t>
      </w:r>
      <w:r w:rsidRPr="006774D3">
        <w:rPr>
          <w:color w:val="000000"/>
          <w:sz w:val="22"/>
          <w:szCs w:val="22"/>
        </w:rPr>
        <w:t xml:space="preserve"> </w:t>
      </w:r>
      <w:r w:rsidR="001040A0" w:rsidRPr="006774D3">
        <w:rPr>
          <w:color w:val="000000"/>
          <w:sz w:val="22"/>
          <w:szCs w:val="22"/>
        </w:rPr>
        <w:t xml:space="preserve">Allir sjúklingar náðu </w:t>
      </w:r>
      <w:r w:rsidR="008C146A" w:rsidRPr="006774D3">
        <w:rPr>
          <w:color w:val="000000"/>
          <w:sz w:val="22"/>
          <w:szCs w:val="22"/>
        </w:rPr>
        <w:t>heildar</w:t>
      </w:r>
      <w:r w:rsidR="001040A0" w:rsidRPr="006774D3">
        <w:rPr>
          <w:color w:val="000000"/>
          <w:sz w:val="22"/>
          <w:szCs w:val="22"/>
        </w:rPr>
        <w:t>blóðsvörun, litningasvörun og/eða klínískri svörun.</w:t>
      </w:r>
    </w:p>
    <w:p w14:paraId="05B8B41A" w14:textId="77777777" w:rsidR="005F57F3" w:rsidRPr="006774D3" w:rsidRDefault="005F57F3" w:rsidP="00F77C66">
      <w:pPr>
        <w:rPr>
          <w:color w:val="000000"/>
          <w:sz w:val="22"/>
          <w:szCs w:val="22"/>
        </w:rPr>
      </w:pPr>
    </w:p>
    <w:p w14:paraId="05B8B41B" w14:textId="77777777" w:rsidR="005F57F3" w:rsidRPr="006774D3" w:rsidRDefault="005F57F3" w:rsidP="00F77C66">
      <w:pPr>
        <w:keepNext/>
        <w:rPr>
          <w:color w:val="000000"/>
          <w:sz w:val="22"/>
          <w:szCs w:val="22"/>
          <w:u w:val="single"/>
        </w:rPr>
      </w:pPr>
      <w:r w:rsidRPr="006774D3">
        <w:rPr>
          <w:color w:val="000000"/>
          <w:sz w:val="22"/>
          <w:szCs w:val="22"/>
          <w:u w:val="single"/>
        </w:rPr>
        <w:t>Klínískar rannsóknir á HES/CEL</w:t>
      </w:r>
    </w:p>
    <w:p w14:paraId="05B8B41C" w14:textId="77777777" w:rsidR="005F57F3" w:rsidRPr="006774D3" w:rsidRDefault="005F57F3" w:rsidP="00F77C66">
      <w:pPr>
        <w:rPr>
          <w:color w:val="000000"/>
          <w:sz w:val="22"/>
          <w:szCs w:val="22"/>
        </w:rPr>
      </w:pPr>
      <w:r w:rsidRPr="006774D3">
        <w:rPr>
          <w:color w:val="000000"/>
          <w:sz w:val="22"/>
          <w:szCs w:val="22"/>
        </w:rPr>
        <w:t>Gerð var ein opin, fjölsetra, II. stigs klínísk rannsókn (B2225) þar sem notkun Glivec var rannsökuð hjá fjölbreyttu sjúklingaþýði með lífshættulega sjúkdóma sem tengjast Abl, Kit eða PDGFR proteintyrosin</w:t>
      </w:r>
      <w:r w:rsidRPr="006774D3">
        <w:rPr>
          <w:color w:val="000000"/>
          <w:sz w:val="22"/>
          <w:szCs w:val="22"/>
        </w:rPr>
        <w:softHyphen/>
        <w:t>kinasa. Í þessari rannsókn fengu 14 sjúklingar með HES/CEL meðferð með Glivec 100 til 1.000 mg/sólar</w:t>
      </w:r>
      <w:r w:rsidRPr="006774D3">
        <w:rPr>
          <w:color w:val="000000"/>
          <w:sz w:val="22"/>
          <w:szCs w:val="22"/>
        </w:rPr>
        <w:softHyphen/>
        <w:t>hring. Til viðbótar var greint</w:t>
      </w:r>
      <w:r w:rsidR="00600891" w:rsidRPr="006774D3">
        <w:rPr>
          <w:color w:val="000000"/>
          <w:sz w:val="22"/>
          <w:szCs w:val="22"/>
        </w:rPr>
        <w:t xml:space="preserve"> frá 162 sjúklingum með HES/CEL</w:t>
      </w:r>
      <w:r w:rsidRPr="006774D3">
        <w:rPr>
          <w:color w:val="000000"/>
          <w:sz w:val="22"/>
          <w:szCs w:val="22"/>
        </w:rPr>
        <w:t xml:space="preserve"> í 35 birtum tilfellagreinum (case reports) og tilfellasyrpum (case series), sem fengu Glivec 75 mg til 800 mg á sólarhring. Lagt var mat á litningafrávik hjá 117 sjúklingum af heildarþýðinu sem var 176 sjúklingar. Hjá 61 sjúklingi af þessum 117 sjúklingum greindist FIP1L1</w:t>
      </w:r>
      <w:r w:rsidRPr="006774D3">
        <w:rPr>
          <w:color w:val="000000"/>
          <w:sz w:val="22"/>
          <w:szCs w:val="22"/>
        </w:rPr>
        <w:noBreakHyphen/>
        <w:t>PDGFRα samrunakinasi. Fjórir HES sjúklingar til viðbótar voru FIP1L1</w:t>
      </w:r>
      <w:r w:rsidRPr="006774D3">
        <w:rPr>
          <w:color w:val="000000"/>
          <w:sz w:val="22"/>
          <w:szCs w:val="22"/>
        </w:rPr>
        <w:noBreakHyphen/>
        <w:t>PDGFRα</w:t>
      </w:r>
      <w:r w:rsidRPr="006774D3">
        <w:rPr>
          <w:color w:val="000000"/>
          <w:sz w:val="22"/>
          <w:szCs w:val="22"/>
        </w:rPr>
        <w:noBreakHyphen/>
        <w:t>-jákvæðir í 3 öðrum birtum tilfellagreinum. Allir sjúklingarnir 65 sem voru FIP1L1</w:t>
      </w:r>
      <w:r w:rsidRPr="006774D3">
        <w:rPr>
          <w:color w:val="000000"/>
          <w:sz w:val="22"/>
          <w:szCs w:val="22"/>
        </w:rPr>
        <w:noBreakHyphen/>
        <w:t>PDGFRα samrunakinasa-jákvæðir náðu CHR er stóð í marga mánuði (á bilinu 1+ til 44+ mánuðir, miðað við þann tíma þegar upplýsingarnar voru birtar). Nýlega voru birtar upplýsingar um að 21 af þessum 65 sjúklingum hafi einnig náð fullkomnu sjúkdómshléi hvað varðar litninga (complete molecular remission), þar sem miðgildi eftirfylgni var 28 mánuðir (á bilinu 13</w:t>
      </w:r>
      <w:r w:rsidRPr="006774D3">
        <w:rPr>
          <w:color w:val="000000"/>
          <w:sz w:val="22"/>
          <w:szCs w:val="22"/>
        </w:rPr>
        <w:noBreakHyphen/>
        <w:t>67 mánuðir). Sjúklingarnir voru á aldrinum 25 til 72 ára. Í tilvikagreinunum greindu rannsakendur að auki frá bata hvað varðar einkenni og aðra óeðlilega vanstarfsemi líffæra. Greint var frá ávinningi hvað varðar hjarta, taugar, húð/undirhúð, öndunarfæri/brjósthol/miðmæti, stoðkerfi/stoðvef/æðar og meltingarfæri.</w:t>
      </w:r>
    </w:p>
    <w:p w14:paraId="05B8B41D" w14:textId="77777777" w:rsidR="00630A46" w:rsidRPr="006774D3" w:rsidRDefault="00630A46" w:rsidP="00F77C66">
      <w:pPr>
        <w:rPr>
          <w:color w:val="000000"/>
          <w:sz w:val="22"/>
          <w:szCs w:val="22"/>
        </w:rPr>
      </w:pPr>
    </w:p>
    <w:p w14:paraId="05B8B41E" w14:textId="77777777" w:rsidR="00630A46" w:rsidRPr="006774D3" w:rsidRDefault="00630A46" w:rsidP="00F77C66">
      <w:pPr>
        <w:rPr>
          <w:color w:val="000000"/>
          <w:sz w:val="22"/>
          <w:szCs w:val="22"/>
        </w:rPr>
      </w:pPr>
      <w:r w:rsidRPr="006774D3">
        <w:rPr>
          <w:color w:val="000000"/>
          <w:sz w:val="22"/>
          <w:szCs w:val="22"/>
        </w:rPr>
        <w:lastRenderedPageBreak/>
        <w:t xml:space="preserve">Ekki hafa verið gerðar neinar samanburðarrannsóknir hjá börnum með HES/CEL. </w:t>
      </w:r>
      <w:r w:rsidR="00625CFD" w:rsidRPr="006774D3">
        <w:rPr>
          <w:color w:val="000000"/>
          <w:sz w:val="22"/>
          <w:szCs w:val="22"/>
        </w:rPr>
        <w:t xml:space="preserve">Í </w:t>
      </w:r>
      <w:r w:rsidR="004D43A1" w:rsidRPr="006774D3">
        <w:rPr>
          <w:color w:val="000000"/>
          <w:sz w:val="22"/>
          <w:szCs w:val="22"/>
        </w:rPr>
        <w:t>3</w:t>
      </w:r>
      <w:r w:rsidR="00625CFD" w:rsidRPr="006774D3">
        <w:rPr>
          <w:color w:val="000000"/>
          <w:sz w:val="22"/>
          <w:szCs w:val="22"/>
        </w:rPr>
        <w:t> </w:t>
      </w:r>
      <w:r w:rsidRPr="006774D3">
        <w:rPr>
          <w:color w:val="000000"/>
          <w:sz w:val="22"/>
          <w:szCs w:val="22"/>
        </w:rPr>
        <w:t xml:space="preserve">birtum </w:t>
      </w:r>
      <w:r w:rsidR="00C6348B" w:rsidRPr="006774D3">
        <w:rPr>
          <w:color w:val="000000"/>
          <w:sz w:val="22"/>
          <w:szCs w:val="22"/>
        </w:rPr>
        <w:t>heimildum</w:t>
      </w:r>
      <w:r w:rsidRPr="006774D3">
        <w:rPr>
          <w:color w:val="000000"/>
          <w:sz w:val="22"/>
          <w:szCs w:val="22"/>
        </w:rPr>
        <w:t xml:space="preserve"> var greint var fr</w:t>
      </w:r>
      <w:r w:rsidR="00625CFD" w:rsidRPr="006774D3">
        <w:rPr>
          <w:color w:val="000000"/>
          <w:sz w:val="22"/>
          <w:szCs w:val="22"/>
        </w:rPr>
        <w:t xml:space="preserve">á </w:t>
      </w:r>
      <w:r w:rsidR="004D43A1" w:rsidRPr="006774D3">
        <w:rPr>
          <w:color w:val="000000"/>
          <w:sz w:val="22"/>
          <w:szCs w:val="22"/>
        </w:rPr>
        <w:t>3</w:t>
      </w:r>
      <w:r w:rsidR="00625CFD" w:rsidRPr="006774D3">
        <w:rPr>
          <w:color w:val="000000"/>
          <w:sz w:val="22"/>
          <w:szCs w:val="22"/>
        </w:rPr>
        <w:t> </w:t>
      </w:r>
      <w:r w:rsidRPr="006774D3">
        <w:rPr>
          <w:color w:val="000000"/>
          <w:sz w:val="22"/>
          <w:szCs w:val="22"/>
        </w:rPr>
        <w:t xml:space="preserve">sjúklingum með </w:t>
      </w:r>
      <w:r w:rsidR="004D43A1" w:rsidRPr="006774D3">
        <w:rPr>
          <w:color w:val="000000"/>
          <w:sz w:val="22"/>
          <w:szCs w:val="22"/>
        </w:rPr>
        <w:t xml:space="preserve">HES og CEL </w:t>
      </w:r>
      <w:r w:rsidRPr="006774D3">
        <w:rPr>
          <w:color w:val="000000"/>
          <w:sz w:val="22"/>
          <w:szCs w:val="22"/>
        </w:rPr>
        <w:t xml:space="preserve">í tengslum við PDGFR endurröðun erfðavísa. Sjúklingarnir voru á aldrinum 2 ára til 16 ára og fengu imatinib </w:t>
      </w:r>
      <w:r w:rsidR="00443C15" w:rsidRPr="006774D3">
        <w:rPr>
          <w:color w:val="000000"/>
          <w:sz w:val="22"/>
          <w:szCs w:val="22"/>
        </w:rPr>
        <w:t>í skammtinum 300 mg/m</w:t>
      </w:r>
      <w:r w:rsidR="00443C15" w:rsidRPr="006774D3">
        <w:rPr>
          <w:color w:val="000000"/>
          <w:sz w:val="22"/>
          <w:szCs w:val="22"/>
          <w:vertAlign w:val="superscript"/>
        </w:rPr>
        <w:t>2</w:t>
      </w:r>
      <w:r w:rsidR="00443C15" w:rsidRPr="006774D3">
        <w:rPr>
          <w:color w:val="000000"/>
          <w:sz w:val="22"/>
          <w:szCs w:val="22"/>
        </w:rPr>
        <w:t xml:space="preserve"> á sólarhring eða </w:t>
      </w:r>
      <w:r w:rsidRPr="006774D3">
        <w:rPr>
          <w:color w:val="000000"/>
          <w:sz w:val="22"/>
          <w:szCs w:val="22"/>
        </w:rPr>
        <w:t xml:space="preserve">í skömmtum á bilinu 200 til 400 mg á sólarhring. </w:t>
      </w:r>
      <w:r w:rsidR="004F229A" w:rsidRPr="006774D3">
        <w:rPr>
          <w:color w:val="000000"/>
          <w:sz w:val="22"/>
          <w:szCs w:val="22"/>
        </w:rPr>
        <w:t xml:space="preserve">Allir sjúklingar náðu </w:t>
      </w:r>
      <w:r w:rsidR="008C146A" w:rsidRPr="006774D3">
        <w:rPr>
          <w:color w:val="000000"/>
          <w:sz w:val="22"/>
          <w:szCs w:val="22"/>
        </w:rPr>
        <w:t>heildar</w:t>
      </w:r>
      <w:r w:rsidR="004F229A" w:rsidRPr="006774D3">
        <w:rPr>
          <w:color w:val="000000"/>
          <w:sz w:val="22"/>
          <w:szCs w:val="22"/>
        </w:rPr>
        <w:t>blóðsvörun, full</w:t>
      </w:r>
      <w:r w:rsidR="003C5A06" w:rsidRPr="006774D3">
        <w:rPr>
          <w:color w:val="000000"/>
          <w:sz w:val="22"/>
          <w:szCs w:val="22"/>
        </w:rPr>
        <w:t xml:space="preserve">ri </w:t>
      </w:r>
      <w:r w:rsidR="004F229A" w:rsidRPr="006774D3">
        <w:rPr>
          <w:color w:val="000000"/>
          <w:sz w:val="22"/>
          <w:szCs w:val="22"/>
        </w:rPr>
        <w:t xml:space="preserve">litningasvörun og/eða </w:t>
      </w:r>
      <w:r w:rsidR="003C5A06" w:rsidRPr="006774D3">
        <w:rPr>
          <w:color w:val="000000"/>
          <w:sz w:val="22"/>
          <w:szCs w:val="22"/>
        </w:rPr>
        <w:t xml:space="preserve">fullri </w:t>
      </w:r>
      <w:r w:rsidR="004F229A" w:rsidRPr="006774D3">
        <w:rPr>
          <w:color w:val="000000"/>
          <w:sz w:val="22"/>
          <w:szCs w:val="22"/>
        </w:rPr>
        <w:t>sameindasvörun.</w:t>
      </w:r>
    </w:p>
    <w:p w14:paraId="05B8B41F" w14:textId="77777777" w:rsidR="005F57F3" w:rsidRPr="006774D3" w:rsidRDefault="005F57F3" w:rsidP="00F77C66">
      <w:pPr>
        <w:rPr>
          <w:color w:val="000000"/>
          <w:sz w:val="22"/>
          <w:szCs w:val="22"/>
        </w:rPr>
      </w:pPr>
    </w:p>
    <w:p w14:paraId="05B8B420" w14:textId="77777777" w:rsidR="00AB3B45" w:rsidRPr="006774D3" w:rsidRDefault="00AB3B45" w:rsidP="00F77C66">
      <w:pPr>
        <w:keepNext/>
        <w:rPr>
          <w:color w:val="000000"/>
          <w:sz w:val="22"/>
          <w:szCs w:val="22"/>
          <w:u w:val="single"/>
        </w:rPr>
      </w:pPr>
      <w:r w:rsidRPr="006774D3">
        <w:rPr>
          <w:color w:val="000000"/>
          <w:sz w:val="22"/>
          <w:szCs w:val="22"/>
          <w:u w:val="single"/>
        </w:rPr>
        <w:t>Klínískar rannsóknir á óskurðtæku GIST og/eða GIST með meinvörpum</w:t>
      </w:r>
    </w:p>
    <w:p w14:paraId="05B8B421" w14:textId="77777777" w:rsidR="005F57F3" w:rsidRPr="006774D3" w:rsidRDefault="005F57F3" w:rsidP="00632D98">
      <w:pPr>
        <w:pStyle w:val="EndnoteText"/>
        <w:spacing w:before="0" w:after="0"/>
        <w:ind w:left="0" w:firstLine="0"/>
        <w:rPr>
          <w:color w:val="000000"/>
          <w:sz w:val="22"/>
          <w:szCs w:val="22"/>
          <w:lang w:val="is-IS"/>
        </w:rPr>
      </w:pPr>
      <w:r w:rsidRPr="006774D3">
        <w:rPr>
          <w:color w:val="000000"/>
          <w:sz w:val="22"/>
          <w:szCs w:val="22"/>
          <w:lang w:val="is-IS"/>
        </w:rPr>
        <w:t>Gerð var ein II. stigs, opin, slembuð, fjölþjóðarannsókn án samanburðar hjá sjúklingum með óskurð</w:t>
      </w:r>
      <w:r w:rsidRPr="006774D3">
        <w:rPr>
          <w:color w:val="000000"/>
          <w:sz w:val="22"/>
          <w:szCs w:val="22"/>
          <w:lang w:val="is-IS"/>
        </w:rPr>
        <w:softHyphen/>
        <w:t>tækt eða illkynja æxli í stoðvef maga og þarma með meinvörpum (GIST). Í rannsókninni tóku þátt 147 sjúklingar og voru þeir valdir af handahófi þannig að þeir fengu annaðhvort 400 mg eða 600 mg til inntöku einu sinni á sólarhring í allt að 36 mánuði. Sjúklingarnir voru á aldrinum 18 til 83 ára og höfðu verið meinafræðilega greindir með Kit</w:t>
      </w:r>
      <w:r w:rsidRPr="006774D3">
        <w:rPr>
          <w:color w:val="000000"/>
          <w:sz w:val="22"/>
          <w:szCs w:val="22"/>
          <w:lang w:val="is-IS"/>
        </w:rPr>
        <w:noBreakHyphen/>
        <w:t>jákvætt illkynja GIST sem var óskurðtækt og/eða með meinvörpum. Ónæmisvefjaefna</w:t>
      </w:r>
      <w:r w:rsidRPr="006774D3">
        <w:rPr>
          <w:color w:val="000000"/>
          <w:sz w:val="22"/>
          <w:szCs w:val="22"/>
          <w:lang w:val="is-IS"/>
        </w:rPr>
        <w:softHyphen/>
        <w:t>fræðipróf var framkvæmt reglubundið með Kit mótefni (A</w:t>
      </w:r>
      <w:r w:rsidRPr="006774D3">
        <w:rPr>
          <w:color w:val="000000"/>
          <w:sz w:val="22"/>
          <w:szCs w:val="22"/>
          <w:lang w:val="is-IS"/>
        </w:rPr>
        <w:noBreakHyphen/>
        <w:t>4502, kanínu fjölklóna mótsermi, 1:100; DAKO Corporation, Carpinteria, CA) samkvæmt greiningu með avidin</w:t>
      </w:r>
      <w:r w:rsidRPr="006774D3">
        <w:rPr>
          <w:color w:val="000000"/>
          <w:sz w:val="22"/>
          <w:szCs w:val="22"/>
          <w:lang w:val="is-IS"/>
        </w:rPr>
        <w:noBreakHyphen/>
        <w:t>biotin</w:t>
      </w:r>
      <w:r w:rsidRPr="006774D3">
        <w:rPr>
          <w:color w:val="000000"/>
          <w:sz w:val="22"/>
          <w:szCs w:val="22"/>
          <w:lang w:val="is-IS"/>
        </w:rPr>
        <w:noBreakHyphen/>
        <w:t>peroxidasakomplex aðferð eftir endurheimt mótefnavaka.</w:t>
      </w:r>
    </w:p>
    <w:p w14:paraId="05B8B422" w14:textId="77777777" w:rsidR="005F57F3" w:rsidRPr="006774D3" w:rsidRDefault="005F57F3" w:rsidP="00F77C66">
      <w:pPr>
        <w:rPr>
          <w:color w:val="000000"/>
          <w:sz w:val="22"/>
          <w:szCs w:val="22"/>
        </w:rPr>
      </w:pPr>
    </w:p>
    <w:p w14:paraId="05B8B423" w14:textId="77777777" w:rsidR="005F57F3" w:rsidRPr="006774D3" w:rsidRDefault="005F57F3" w:rsidP="00F77C66">
      <w:pPr>
        <w:rPr>
          <w:color w:val="000000"/>
          <w:sz w:val="22"/>
          <w:szCs w:val="22"/>
        </w:rPr>
      </w:pPr>
      <w:r w:rsidRPr="006774D3">
        <w:rPr>
          <w:color w:val="000000"/>
          <w:sz w:val="22"/>
          <w:szCs w:val="22"/>
        </w:rPr>
        <w:t>Fyrsta staðfesting verkunar grundvallaðist á hlutlægu svörunarhlutfalli. Æxli urðu að vera mælanleg á að minnsta kosti einum stað sjúkdóms og svörun byggð á skilmerkjum Southwestern Oncology Group (SWOG). Sjá niðurstöður í töflu </w:t>
      </w:r>
      <w:r w:rsidR="00142B05" w:rsidRPr="006774D3">
        <w:rPr>
          <w:color w:val="000000"/>
          <w:sz w:val="22"/>
          <w:szCs w:val="22"/>
        </w:rPr>
        <w:t>6</w:t>
      </w:r>
      <w:r w:rsidRPr="006774D3">
        <w:rPr>
          <w:color w:val="000000"/>
          <w:sz w:val="22"/>
          <w:szCs w:val="22"/>
        </w:rPr>
        <w:t>.</w:t>
      </w:r>
    </w:p>
    <w:p w14:paraId="05B8B424" w14:textId="77777777" w:rsidR="005F57F3" w:rsidRPr="006774D3" w:rsidRDefault="005F57F3" w:rsidP="00F77C66">
      <w:pPr>
        <w:rPr>
          <w:color w:val="000000"/>
          <w:sz w:val="22"/>
          <w:szCs w:val="22"/>
        </w:rPr>
      </w:pPr>
    </w:p>
    <w:p w14:paraId="05B8B425" w14:textId="77777777" w:rsidR="005F57F3" w:rsidRPr="006774D3" w:rsidRDefault="005F57F3" w:rsidP="00632D98">
      <w:pPr>
        <w:pStyle w:val="Heading4"/>
        <w:keepLines w:val="0"/>
        <w:spacing w:before="0"/>
        <w:rPr>
          <w:rFonts w:ascii="Times New Roman" w:hAnsi="Times New Roman"/>
          <w:color w:val="000000"/>
          <w:szCs w:val="22"/>
          <w:lang w:val="is-IS"/>
        </w:rPr>
      </w:pPr>
      <w:r w:rsidRPr="006774D3">
        <w:rPr>
          <w:rFonts w:ascii="Times New Roman" w:hAnsi="Times New Roman"/>
          <w:color w:val="000000"/>
          <w:szCs w:val="22"/>
          <w:lang w:val="is-IS"/>
        </w:rPr>
        <w:t>Tafla </w:t>
      </w:r>
      <w:r w:rsidR="00142B05" w:rsidRPr="006774D3">
        <w:rPr>
          <w:rFonts w:ascii="Times New Roman" w:hAnsi="Times New Roman"/>
          <w:color w:val="000000"/>
          <w:szCs w:val="22"/>
          <w:lang w:val="is-IS"/>
        </w:rPr>
        <w:t>6</w:t>
      </w:r>
      <w:r w:rsidRPr="006774D3">
        <w:rPr>
          <w:rFonts w:ascii="Times New Roman" w:hAnsi="Times New Roman"/>
          <w:color w:val="000000"/>
          <w:szCs w:val="22"/>
          <w:lang w:val="is-IS"/>
        </w:rPr>
        <w:tab/>
        <w:t>Besta æxlissvörun í rannsókn STIB2222 (GIST)</w:t>
      </w:r>
    </w:p>
    <w:p w14:paraId="05B8B426" w14:textId="77777777" w:rsidR="005F57F3" w:rsidRPr="006774D3" w:rsidRDefault="005F57F3" w:rsidP="00632D98">
      <w:pPr>
        <w:pStyle w:val="Text"/>
        <w:keepNext/>
        <w:spacing w:before="0"/>
        <w:rPr>
          <w:color w:val="000000"/>
          <w:sz w:val="22"/>
          <w:szCs w:val="22"/>
          <w:lang w:val="is-IS"/>
        </w:rPr>
      </w:pPr>
    </w:p>
    <w:tbl>
      <w:tblPr>
        <w:tblW w:w="9322" w:type="dxa"/>
        <w:tblLayout w:type="fixed"/>
        <w:tblLook w:val="0000" w:firstRow="0" w:lastRow="0" w:firstColumn="0" w:lastColumn="0" w:noHBand="0" w:noVBand="0"/>
      </w:tblPr>
      <w:tblGrid>
        <w:gridCol w:w="4608"/>
        <w:gridCol w:w="4714"/>
      </w:tblGrid>
      <w:tr w:rsidR="005F57F3" w:rsidRPr="006774D3" w14:paraId="05B8B42F" w14:textId="77777777" w:rsidTr="00632D98">
        <w:trPr>
          <w:cantSplit/>
        </w:trPr>
        <w:tc>
          <w:tcPr>
            <w:tcW w:w="4608" w:type="dxa"/>
            <w:tcBorders>
              <w:top w:val="single" w:sz="4" w:space="0" w:color="auto"/>
              <w:bottom w:val="single" w:sz="4" w:space="0" w:color="auto"/>
            </w:tcBorders>
          </w:tcPr>
          <w:p w14:paraId="05B8B427" w14:textId="77777777" w:rsidR="005F57F3" w:rsidRPr="006774D3" w:rsidRDefault="005F57F3" w:rsidP="00632D98">
            <w:pPr>
              <w:pStyle w:val="Text"/>
              <w:keepNext/>
              <w:spacing w:before="0"/>
              <w:rPr>
                <w:color w:val="000000"/>
                <w:sz w:val="22"/>
                <w:szCs w:val="22"/>
                <w:lang w:val="is-IS"/>
              </w:rPr>
            </w:pPr>
          </w:p>
          <w:p w14:paraId="05B8B428" w14:textId="77777777" w:rsidR="005F57F3" w:rsidRPr="006774D3" w:rsidRDefault="005F57F3" w:rsidP="00632D98">
            <w:pPr>
              <w:pStyle w:val="Text"/>
              <w:keepNext/>
              <w:spacing w:before="0"/>
              <w:rPr>
                <w:color w:val="000000"/>
                <w:sz w:val="22"/>
                <w:szCs w:val="22"/>
                <w:lang w:val="is-IS"/>
              </w:rPr>
            </w:pPr>
          </w:p>
          <w:p w14:paraId="05B8B429" w14:textId="77777777" w:rsidR="005F57F3" w:rsidRPr="006774D3" w:rsidRDefault="005F57F3" w:rsidP="00632D98">
            <w:pPr>
              <w:pStyle w:val="Text"/>
              <w:keepNext/>
              <w:spacing w:before="0"/>
              <w:rPr>
                <w:color w:val="000000"/>
                <w:sz w:val="22"/>
                <w:szCs w:val="22"/>
                <w:lang w:val="is-IS"/>
              </w:rPr>
            </w:pPr>
          </w:p>
          <w:p w14:paraId="05B8B42A"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Besta svörun</w:t>
            </w:r>
          </w:p>
        </w:tc>
        <w:tc>
          <w:tcPr>
            <w:tcW w:w="4714" w:type="dxa"/>
            <w:tcBorders>
              <w:top w:val="single" w:sz="4" w:space="0" w:color="auto"/>
              <w:bottom w:val="single" w:sz="4" w:space="0" w:color="auto"/>
            </w:tcBorders>
          </w:tcPr>
          <w:p w14:paraId="05B8B42B" w14:textId="77777777" w:rsidR="005F57F3" w:rsidRPr="006774D3" w:rsidRDefault="005F57F3" w:rsidP="00632D98">
            <w:pPr>
              <w:pStyle w:val="Text"/>
              <w:keepNext/>
              <w:spacing w:before="0"/>
              <w:jc w:val="center"/>
              <w:outlineLvl w:val="0"/>
              <w:rPr>
                <w:color w:val="000000"/>
                <w:sz w:val="22"/>
                <w:szCs w:val="22"/>
                <w:lang w:val="is-IS"/>
              </w:rPr>
            </w:pPr>
            <w:r w:rsidRPr="006774D3">
              <w:rPr>
                <w:color w:val="000000"/>
                <w:sz w:val="22"/>
                <w:szCs w:val="22"/>
                <w:lang w:val="is-IS"/>
              </w:rPr>
              <w:t>Allir skammtar (n=147)</w:t>
            </w:r>
          </w:p>
          <w:p w14:paraId="05B8B42C" w14:textId="77777777" w:rsidR="005F57F3" w:rsidRPr="006774D3" w:rsidRDefault="005F57F3" w:rsidP="00632D98">
            <w:pPr>
              <w:pStyle w:val="Text"/>
              <w:keepNext/>
              <w:spacing w:before="0"/>
              <w:jc w:val="center"/>
              <w:outlineLvl w:val="0"/>
              <w:rPr>
                <w:color w:val="000000"/>
                <w:sz w:val="22"/>
                <w:szCs w:val="22"/>
                <w:lang w:val="is-IS"/>
              </w:rPr>
            </w:pPr>
            <w:r w:rsidRPr="006774D3">
              <w:rPr>
                <w:color w:val="000000"/>
                <w:sz w:val="22"/>
                <w:szCs w:val="22"/>
                <w:lang w:val="is-IS"/>
              </w:rPr>
              <w:t>400 mg (n=73)</w:t>
            </w:r>
          </w:p>
          <w:p w14:paraId="05B8B42D" w14:textId="77777777" w:rsidR="005F57F3" w:rsidRPr="006774D3" w:rsidRDefault="005F57F3" w:rsidP="00632D98">
            <w:pPr>
              <w:pStyle w:val="Text"/>
              <w:keepNext/>
              <w:spacing w:before="0"/>
              <w:jc w:val="center"/>
              <w:outlineLvl w:val="0"/>
              <w:rPr>
                <w:color w:val="000000"/>
                <w:sz w:val="22"/>
                <w:szCs w:val="22"/>
                <w:lang w:val="is-IS"/>
              </w:rPr>
            </w:pPr>
            <w:r w:rsidRPr="006774D3">
              <w:rPr>
                <w:color w:val="000000"/>
                <w:sz w:val="22"/>
                <w:szCs w:val="22"/>
                <w:lang w:val="is-IS"/>
              </w:rPr>
              <w:t>600 mg (n=74)</w:t>
            </w:r>
          </w:p>
          <w:p w14:paraId="05B8B42E" w14:textId="77777777" w:rsidR="005F57F3" w:rsidRPr="006774D3" w:rsidRDefault="005F57F3" w:rsidP="00632D98">
            <w:pPr>
              <w:pStyle w:val="Text"/>
              <w:keepNext/>
              <w:spacing w:before="0"/>
              <w:jc w:val="center"/>
              <w:outlineLvl w:val="0"/>
              <w:rPr>
                <w:color w:val="000000"/>
                <w:sz w:val="22"/>
                <w:szCs w:val="22"/>
                <w:lang w:val="is-IS"/>
              </w:rPr>
            </w:pPr>
            <w:r w:rsidRPr="006774D3">
              <w:rPr>
                <w:color w:val="000000"/>
                <w:sz w:val="22"/>
                <w:szCs w:val="22"/>
                <w:lang w:val="is-IS"/>
              </w:rPr>
              <w:t>n (%)</w:t>
            </w:r>
          </w:p>
        </w:tc>
      </w:tr>
      <w:tr w:rsidR="005F57F3" w:rsidRPr="006774D3" w14:paraId="05B8B432" w14:textId="77777777" w:rsidTr="00632D98">
        <w:trPr>
          <w:cantSplit/>
        </w:trPr>
        <w:tc>
          <w:tcPr>
            <w:tcW w:w="4608" w:type="dxa"/>
            <w:tcBorders>
              <w:top w:val="single" w:sz="4" w:space="0" w:color="auto"/>
            </w:tcBorders>
          </w:tcPr>
          <w:p w14:paraId="05B8B430"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Fullkomin svörun</w:t>
            </w:r>
          </w:p>
        </w:tc>
        <w:tc>
          <w:tcPr>
            <w:tcW w:w="4714" w:type="dxa"/>
            <w:tcBorders>
              <w:top w:val="single" w:sz="4" w:space="0" w:color="auto"/>
            </w:tcBorders>
          </w:tcPr>
          <w:p w14:paraId="05B8B431" w14:textId="77777777" w:rsidR="005F57F3" w:rsidRPr="006774D3" w:rsidRDefault="005F57F3" w:rsidP="00632D98">
            <w:pPr>
              <w:pStyle w:val="Text"/>
              <w:keepNext/>
              <w:spacing w:before="0"/>
              <w:jc w:val="center"/>
              <w:rPr>
                <w:color w:val="000000"/>
                <w:sz w:val="22"/>
                <w:szCs w:val="22"/>
                <w:lang w:val="is-IS"/>
              </w:rPr>
            </w:pPr>
            <w:r w:rsidRPr="006774D3">
              <w:rPr>
                <w:color w:val="000000"/>
                <w:sz w:val="22"/>
                <w:szCs w:val="22"/>
                <w:lang w:val="is-IS"/>
              </w:rPr>
              <w:t>1 (0,7)</w:t>
            </w:r>
          </w:p>
        </w:tc>
      </w:tr>
      <w:tr w:rsidR="005F57F3" w:rsidRPr="006774D3" w14:paraId="05B8B435" w14:textId="77777777" w:rsidTr="00632D98">
        <w:trPr>
          <w:cantSplit/>
        </w:trPr>
        <w:tc>
          <w:tcPr>
            <w:tcW w:w="4608" w:type="dxa"/>
          </w:tcPr>
          <w:p w14:paraId="05B8B433"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Svörun að hluta</w:t>
            </w:r>
          </w:p>
        </w:tc>
        <w:tc>
          <w:tcPr>
            <w:tcW w:w="4714" w:type="dxa"/>
          </w:tcPr>
          <w:p w14:paraId="05B8B434" w14:textId="77777777" w:rsidR="005F57F3" w:rsidRPr="006774D3" w:rsidRDefault="005F57F3" w:rsidP="00632D98">
            <w:pPr>
              <w:pStyle w:val="Text"/>
              <w:keepNext/>
              <w:spacing w:before="0"/>
              <w:jc w:val="center"/>
              <w:rPr>
                <w:color w:val="000000"/>
                <w:sz w:val="22"/>
                <w:szCs w:val="22"/>
                <w:lang w:val="is-IS"/>
              </w:rPr>
            </w:pPr>
            <w:r w:rsidRPr="006774D3">
              <w:rPr>
                <w:color w:val="000000"/>
                <w:sz w:val="22"/>
                <w:szCs w:val="22"/>
                <w:lang w:val="is-IS"/>
              </w:rPr>
              <w:t>98 (66,7)</w:t>
            </w:r>
          </w:p>
        </w:tc>
      </w:tr>
      <w:tr w:rsidR="005F57F3" w:rsidRPr="006774D3" w14:paraId="05B8B438" w14:textId="77777777" w:rsidTr="00632D98">
        <w:trPr>
          <w:cantSplit/>
        </w:trPr>
        <w:tc>
          <w:tcPr>
            <w:tcW w:w="4608" w:type="dxa"/>
          </w:tcPr>
          <w:p w14:paraId="05B8B436"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Sjúkdómur stöðugur</w:t>
            </w:r>
          </w:p>
        </w:tc>
        <w:tc>
          <w:tcPr>
            <w:tcW w:w="4714" w:type="dxa"/>
          </w:tcPr>
          <w:p w14:paraId="05B8B437" w14:textId="77777777" w:rsidR="005F57F3" w:rsidRPr="006774D3" w:rsidRDefault="005F57F3" w:rsidP="00632D98">
            <w:pPr>
              <w:pStyle w:val="Text"/>
              <w:keepNext/>
              <w:spacing w:before="0"/>
              <w:jc w:val="center"/>
              <w:rPr>
                <w:color w:val="000000"/>
                <w:sz w:val="22"/>
                <w:szCs w:val="22"/>
                <w:lang w:val="is-IS"/>
              </w:rPr>
            </w:pPr>
            <w:r w:rsidRPr="006774D3">
              <w:rPr>
                <w:color w:val="000000"/>
                <w:sz w:val="22"/>
                <w:szCs w:val="22"/>
                <w:lang w:val="is-IS"/>
              </w:rPr>
              <w:t>23 (15,6)</w:t>
            </w:r>
          </w:p>
        </w:tc>
      </w:tr>
      <w:tr w:rsidR="005F57F3" w:rsidRPr="006774D3" w14:paraId="05B8B43B" w14:textId="77777777" w:rsidTr="00632D98">
        <w:trPr>
          <w:cantSplit/>
        </w:trPr>
        <w:tc>
          <w:tcPr>
            <w:tcW w:w="4608" w:type="dxa"/>
          </w:tcPr>
          <w:p w14:paraId="05B8B439"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Versnun á sjúkdómi</w:t>
            </w:r>
          </w:p>
        </w:tc>
        <w:tc>
          <w:tcPr>
            <w:tcW w:w="4714" w:type="dxa"/>
          </w:tcPr>
          <w:p w14:paraId="05B8B43A" w14:textId="77777777" w:rsidR="005F57F3" w:rsidRPr="006774D3" w:rsidRDefault="005F57F3" w:rsidP="00632D98">
            <w:pPr>
              <w:pStyle w:val="Text"/>
              <w:keepNext/>
              <w:spacing w:before="0"/>
              <w:jc w:val="center"/>
              <w:rPr>
                <w:color w:val="000000"/>
                <w:sz w:val="22"/>
                <w:szCs w:val="22"/>
                <w:lang w:val="is-IS"/>
              </w:rPr>
            </w:pPr>
            <w:r w:rsidRPr="006774D3">
              <w:rPr>
                <w:color w:val="000000"/>
                <w:sz w:val="22"/>
                <w:szCs w:val="22"/>
                <w:lang w:val="is-IS"/>
              </w:rPr>
              <w:t>18 (12,2)</w:t>
            </w:r>
          </w:p>
        </w:tc>
      </w:tr>
      <w:tr w:rsidR="005F57F3" w:rsidRPr="006774D3" w14:paraId="05B8B43E" w14:textId="77777777" w:rsidTr="00632D98">
        <w:trPr>
          <w:cantSplit/>
        </w:trPr>
        <w:tc>
          <w:tcPr>
            <w:tcW w:w="4608" w:type="dxa"/>
          </w:tcPr>
          <w:p w14:paraId="05B8B43C" w14:textId="77777777" w:rsidR="005F57F3" w:rsidRPr="006774D3" w:rsidRDefault="005F57F3" w:rsidP="00632D98">
            <w:pPr>
              <w:pStyle w:val="Text"/>
              <w:keepNext/>
              <w:spacing w:before="0"/>
              <w:rPr>
                <w:color w:val="000000"/>
                <w:sz w:val="22"/>
                <w:szCs w:val="22"/>
                <w:lang w:val="is-IS"/>
              </w:rPr>
            </w:pPr>
            <w:r w:rsidRPr="006774D3">
              <w:rPr>
                <w:color w:val="000000"/>
                <w:sz w:val="22"/>
                <w:szCs w:val="22"/>
                <w:lang w:val="is-IS"/>
              </w:rPr>
              <w:t>Ekki metanlegt</w:t>
            </w:r>
          </w:p>
        </w:tc>
        <w:tc>
          <w:tcPr>
            <w:tcW w:w="4714" w:type="dxa"/>
          </w:tcPr>
          <w:p w14:paraId="05B8B43D" w14:textId="77777777" w:rsidR="005F57F3" w:rsidRPr="006774D3" w:rsidRDefault="005F57F3" w:rsidP="00632D98">
            <w:pPr>
              <w:pStyle w:val="Text"/>
              <w:keepNext/>
              <w:spacing w:before="0"/>
              <w:jc w:val="center"/>
              <w:rPr>
                <w:color w:val="000000"/>
                <w:sz w:val="22"/>
                <w:szCs w:val="22"/>
                <w:lang w:val="is-IS"/>
              </w:rPr>
            </w:pPr>
            <w:r w:rsidRPr="006774D3">
              <w:rPr>
                <w:color w:val="000000"/>
                <w:sz w:val="22"/>
                <w:szCs w:val="22"/>
                <w:lang w:val="is-IS"/>
              </w:rPr>
              <w:t>5 (3,4)</w:t>
            </w:r>
          </w:p>
        </w:tc>
      </w:tr>
      <w:tr w:rsidR="005F57F3" w:rsidRPr="006774D3" w14:paraId="05B8B441" w14:textId="77777777" w:rsidTr="00632D98">
        <w:trPr>
          <w:cantSplit/>
        </w:trPr>
        <w:tc>
          <w:tcPr>
            <w:tcW w:w="4608" w:type="dxa"/>
            <w:tcBorders>
              <w:bottom w:val="single" w:sz="4" w:space="0" w:color="auto"/>
            </w:tcBorders>
          </w:tcPr>
          <w:p w14:paraId="05B8B43F" w14:textId="77777777" w:rsidR="005F57F3" w:rsidRPr="006774D3" w:rsidRDefault="005F57F3" w:rsidP="00632D98">
            <w:pPr>
              <w:pStyle w:val="Text"/>
              <w:spacing w:before="0"/>
              <w:rPr>
                <w:color w:val="000000"/>
                <w:sz w:val="22"/>
                <w:szCs w:val="22"/>
                <w:lang w:val="is-IS"/>
              </w:rPr>
            </w:pPr>
            <w:r w:rsidRPr="006774D3">
              <w:rPr>
                <w:color w:val="000000"/>
                <w:sz w:val="22"/>
                <w:szCs w:val="22"/>
                <w:lang w:val="is-IS"/>
              </w:rPr>
              <w:t>Óþekkt</w:t>
            </w:r>
          </w:p>
        </w:tc>
        <w:tc>
          <w:tcPr>
            <w:tcW w:w="4714" w:type="dxa"/>
            <w:tcBorders>
              <w:bottom w:val="single" w:sz="4" w:space="0" w:color="auto"/>
            </w:tcBorders>
          </w:tcPr>
          <w:p w14:paraId="05B8B440" w14:textId="77777777" w:rsidR="005F57F3" w:rsidRPr="006774D3" w:rsidRDefault="005F57F3" w:rsidP="00632D98">
            <w:pPr>
              <w:pStyle w:val="Text"/>
              <w:spacing w:before="0"/>
              <w:jc w:val="center"/>
              <w:rPr>
                <w:color w:val="000000"/>
                <w:sz w:val="22"/>
                <w:szCs w:val="22"/>
                <w:lang w:val="is-IS"/>
              </w:rPr>
            </w:pPr>
            <w:r w:rsidRPr="006774D3">
              <w:rPr>
                <w:color w:val="000000"/>
                <w:sz w:val="22"/>
                <w:szCs w:val="22"/>
                <w:lang w:val="is-IS"/>
              </w:rPr>
              <w:t>2 (1,4)</w:t>
            </w:r>
          </w:p>
        </w:tc>
      </w:tr>
    </w:tbl>
    <w:p w14:paraId="05B8B442" w14:textId="77777777" w:rsidR="005F57F3" w:rsidRPr="006774D3" w:rsidRDefault="005F57F3" w:rsidP="00F77C66">
      <w:pPr>
        <w:rPr>
          <w:color w:val="000000"/>
          <w:sz w:val="22"/>
          <w:szCs w:val="22"/>
        </w:rPr>
      </w:pPr>
    </w:p>
    <w:p w14:paraId="05B8B443" w14:textId="77777777" w:rsidR="005F57F3" w:rsidRPr="006774D3" w:rsidRDefault="005F57F3" w:rsidP="00F77C66">
      <w:pPr>
        <w:rPr>
          <w:color w:val="000000"/>
          <w:sz w:val="22"/>
          <w:szCs w:val="22"/>
        </w:rPr>
      </w:pPr>
      <w:r w:rsidRPr="006774D3">
        <w:rPr>
          <w:color w:val="000000"/>
          <w:sz w:val="22"/>
          <w:szCs w:val="22"/>
        </w:rPr>
        <w:t>Enginn munur var á svörunarhlutföllum milli skammtahópanna tveggja. Marktækur fjöldi sjúklinga, sem var með stöðugan sjúkdóm þegar milligreining var gerð, náði svörun að hluta með lengri meðferð (miðgildi eftir</w:t>
      </w:r>
      <w:r w:rsidRPr="006774D3">
        <w:rPr>
          <w:color w:val="000000"/>
          <w:sz w:val="22"/>
          <w:szCs w:val="22"/>
        </w:rPr>
        <w:softHyphen/>
        <w:t>fylgni var 31 mánuður). Miðgildi tíma þar til svörun kom fram var 13 vikur (95% CI; 12</w:t>
      </w:r>
      <w:r w:rsidRPr="006774D3">
        <w:rPr>
          <w:color w:val="000000"/>
          <w:sz w:val="22"/>
          <w:szCs w:val="22"/>
        </w:rPr>
        <w:noBreakHyphen/>
        <w:t>23). Miðgildi tíma til meðferðarbrests hjá sjúklingum sem höfðu svarað meðferð var 122 vikur (95% CI: 106</w:t>
      </w:r>
      <w:r w:rsidRPr="006774D3">
        <w:rPr>
          <w:color w:val="000000"/>
          <w:sz w:val="22"/>
          <w:szCs w:val="22"/>
        </w:rPr>
        <w:noBreakHyphen/>
        <w:t>147) en hjá þýðinu öllu var þetta gildi 84 vikur (95% CI: 71</w:t>
      </w:r>
      <w:r w:rsidRPr="006774D3">
        <w:rPr>
          <w:color w:val="000000"/>
          <w:sz w:val="22"/>
          <w:szCs w:val="22"/>
        </w:rPr>
        <w:noBreakHyphen/>
        <w:t>109). Miðgildi heildar lifunar hefur ekki náðst. Kaplan-Meier mat á lifun eftir 36 mánaða eftirfylgni er 68%.</w:t>
      </w:r>
    </w:p>
    <w:p w14:paraId="05B8B444" w14:textId="77777777" w:rsidR="005F57F3" w:rsidRPr="006774D3" w:rsidRDefault="005F57F3" w:rsidP="00F77C66">
      <w:pPr>
        <w:rPr>
          <w:color w:val="000000"/>
          <w:sz w:val="22"/>
          <w:szCs w:val="22"/>
        </w:rPr>
      </w:pPr>
    </w:p>
    <w:p w14:paraId="05B8B445" w14:textId="77777777" w:rsidR="005F57F3" w:rsidRPr="006774D3" w:rsidRDefault="005F57F3" w:rsidP="00F77C66">
      <w:pPr>
        <w:rPr>
          <w:color w:val="000000"/>
          <w:sz w:val="22"/>
          <w:szCs w:val="22"/>
        </w:rPr>
      </w:pPr>
      <w:r w:rsidRPr="006774D3">
        <w:rPr>
          <w:color w:val="000000"/>
          <w:sz w:val="22"/>
          <w:szCs w:val="22"/>
        </w:rPr>
        <w:t>Í tveimur klínískum rannsóknum (rannsókn B2222 og millihópsrannsókn S0033) var sólarhrings</w:t>
      </w:r>
      <w:r w:rsidRPr="006774D3">
        <w:rPr>
          <w:color w:val="000000"/>
          <w:sz w:val="22"/>
          <w:szCs w:val="22"/>
        </w:rPr>
        <w:softHyphen/>
        <w:t>skammtur Glivec aukinn í 800 mg hjá sjúklingum sem voru með versnandi sjúkdóm við minni sólar</w:t>
      </w:r>
      <w:r w:rsidRPr="006774D3">
        <w:rPr>
          <w:color w:val="000000"/>
          <w:sz w:val="22"/>
          <w:szCs w:val="22"/>
        </w:rPr>
        <w:softHyphen/>
        <w:t>hrings</w:t>
      </w:r>
      <w:r w:rsidRPr="006774D3">
        <w:rPr>
          <w:color w:val="000000"/>
          <w:sz w:val="22"/>
          <w:szCs w:val="22"/>
        </w:rPr>
        <w:softHyphen/>
        <w:t>skammtana 400 mg eða 600 mg. Sólarhringsskammturinn var aukinn í 800 mg hjá alls 103 sjúklingum; hjá 6 sjúklingum kom fram svörun að hluta og hjá 21 sjúklingi varð sjúkdómurinn stöðugur eftir skammta</w:t>
      </w:r>
      <w:r w:rsidRPr="006774D3">
        <w:rPr>
          <w:color w:val="000000"/>
          <w:sz w:val="22"/>
          <w:szCs w:val="22"/>
        </w:rPr>
        <w:softHyphen/>
        <w:t>aukningu þannig að heildar klínískur ávinningur var 26%. Samkvæmt fyrirliggjandi upplýsingum um öryggi virðist skammta</w:t>
      </w:r>
      <w:r w:rsidRPr="006774D3">
        <w:rPr>
          <w:color w:val="000000"/>
          <w:sz w:val="22"/>
          <w:szCs w:val="22"/>
        </w:rPr>
        <w:softHyphen/>
        <w:t>aukning í 800 mg á sólarhring, hjá sjúklingum með versnandi sjúkdóm við minni sólarhringsskammtana 400 mg eða 600 mg, ekki hafa áhrif á öryggi Glivec.</w:t>
      </w:r>
    </w:p>
    <w:p w14:paraId="05B8B446" w14:textId="77777777" w:rsidR="00AB3B45" w:rsidRPr="006774D3" w:rsidRDefault="00AB3B45" w:rsidP="00F77C66">
      <w:pPr>
        <w:rPr>
          <w:color w:val="000000"/>
          <w:sz w:val="22"/>
          <w:szCs w:val="22"/>
        </w:rPr>
      </w:pPr>
    </w:p>
    <w:p w14:paraId="05B8B447" w14:textId="77777777" w:rsidR="00AB3B45" w:rsidRPr="006774D3" w:rsidRDefault="00AB3B45" w:rsidP="00F77C66">
      <w:pPr>
        <w:keepNext/>
        <w:rPr>
          <w:color w:val="000000"/>
          <w:sz w:val="22"/>
          <w:szCs w:val="22"/>
          <w:u w:val="single"/>
        </w:rPr>
      </w:pPr>
      <w:r w:rsidRPr="006774D3">
        <w:rPr>
          <w:color w:val="000000"/>
          <w:sz w:val="22"/>
          <w:szCs w:val="22"/>
          <w:u w:val="single"/>
        </w:rPr>
        <w:t>Klínískar rannsóknir á viðbótarmeðferð við GIST</w:t>
      </w:r>
    </w:p>
    <w:p w14:paraId="05B8B448" w14:textId="77777777" w:rsidR="00AB3B45" w:rsidRPr="006774D3" w:rsidRDefault="00AB3B45" w:rsidP="00F77C66">
      <w:pPr>
        <w:rPr>
          <w:color w:val="000000"/>
          <w:sz w:val="22"/>
          <w:szCs w:val="22"/>
        </w:rPr>
      </w:pPr>
      <w:r w:rsidRPr="006774D3">
        <w:rPr>
          <w:color w:val="000000"/>
          <w:sz w:val="22"/>
          <w:szCs w:val="22"/>
        </w:rPr>
        <w:t>Viðbótarmeðferð með Glivec var rannsökuð í fjölsetra, tvíblindri, langtíma, III. stigs samanburðarrannsókn með lyfleysu (Z9001) sem í tóku þátt 773 sjúklingar. Sjúklingarnir voru á aldrinum 18 til 91 árs. Sjúklingarnir sem tóku þátt voru með vefjafræðilega greiningu á GIST æxli (primary) sem tjáir Kit prótein samkvæmt ónæmismælingum, og stærð æxlis ≥ 3 cm þar sem það er breiðast og GIST æxlið hefur verið fjarlægt að fullu, innan 14</w:t>
      </w:r>
      <w:r w:rsidRPr="006774D3">
        <w:rPr>
          <w:color w:val="000000"/>
          <w:sz w:val="22"/>
          <w:szCs w:val="22"/>
        </w:rPr>
        <w:noBreakHyphen/>
        <w:t>70 daga fyrir skráningu. Eftir brottnám GIST æxlis var sjúklingunum slembiraðað í tvo hópa, annars vegar Glivec 400 mg/sólarhring eða samsvarandi lyfleysu í eitt ár.</w:t>
      </w:r>
    </w:p>
    <w:p w14:paraId="05B8B449" w14:textId="77777777" w:rsidR="00AB3B45" w:rsidRPr="006774D3" w:rsidRDefault="00AB3B45" w:rsidP="00F77C66">
      <w:pPr>
        <w:rPr>
          <w:color w:val="000000"/>
          <w:sz w:val="22"/>
          <w:szCs w:val="22"/>
        </w:rPr>
      </w:pPr>
    </w:p>
    <w:p w14:paraId="05B8B44A" w14:textId="77777777" w:rsidR="00AB3B45" w:rsidRPr="006774D3" w:rsidRDefault="00AB3B45" w:rsidP="00F77C66">
      <w:pPr>
        <w:rPr>
          <w:color w:val="000000"/>
          <w:sz w:val="22"/>
          <w:szCs w:val="22"/>
        </w:rPr>
      </w:pPr>
      <w:r w:rsidRPr="006774D3">
        <w:rPr>
          <w:color w:val="000000"/>
          <w:sz w:val="22"/>
          <w:szCs w:val="22"/>
        </w:rPr>
        <w:t>Megin endapunktur rannsóknarinnar var lifun án endurkomu æxlis, skilgreint sem tímabilið frá þeim degi þegar slembiröðunin fór fram til þess dags sem æxli kom aftur fram eða viðkomandi lést af hvaða orsök sem var.</w:t>
      </w:r>
    </w:p>
    <w:p w14:paraId="05B8B44B" w14:textId="77777777" w:rsidR="00AB3B45" w:rsidRPr="006774D3" w:rsidRDefault="00AB3B45" w:rsidP="00F77C66">
      <w:pPr>
        <w:rPr>
          <w:color w:val="000000"/>
          <w:sz w:val="22"/>
          <w:szCs w:val="22"/>
        </w:rPr>
      </w:pPr>
    </w:p>
    <w:p w14:paraId="05B8B44C" w14:textId="77777777" w:rsidR="00AB3B45" w:rsidRPr="006774D3" w:rsidRDefault="00AB3B45" w:rsidP="00F77C66">
      <w:pPr>
        <w:rPr>
          <w:color w:val="000000"/>
          <w:sz w:val="22"/>
          <w:szCs w:val="22"/>
        </w:rPr>
      </w:pPr>
      <w:r w:rsidRPr="006774D3">
        <w:rPr>
          <w:color w:val="000000"/>
          <w:sz w:val="22"/>
          <w:szCs w:val="22"/>
        </w:rPr>
        <w:t xml:space="preserve">Glivec lengdi lifun án endurkomu æxlis marktækt, þar sem 75% sjúklinganna höfðu ekki fengið </w:t>
      </w:r>
      <w:r w:rsidR="00AC494B" w:rsidRPr="006774D3">
        <w:rPr>
          <w:color w:val="000000"/>
          <w:sz w:val="22"/>
          <w:szCs w:val="22"/>
        </w:rPr>
        <w:t>æxli</w:t>
      </w:r>
      <w:r w:rsidRPr="006774D3">
        <w:rPr>
          <w:color w:val="000000"/>
          <w:sz w:val="22"/>
          <w:szCs w:val="22"/>
        </w:rPr>
        <w:t xml:space="preserve"> aftur eftir 38 mánuði í hópnum sem fékk Glivec</w:t>
      </w:r>
      <w:r w:rsidR="00AC494B" w:rsidRPr="006774D3">
        <w:rPr>
          <w:color w:val="000000"/>
          <w:sz w:val="22"/>
          <w:szCs w:val="22"/>
        </w:rPr>
        <w:t>,</w:t>
      </w:r>
      <w:r w:rsidRPr="006774D3">
        <w:rPr>
          <w:color w:val="000000"/>
          <w:sz w:val="22"/>
          <w:szCs w:val="22"/>
        </w:rPr>
        <w:t xml:space="preserve"> samanborið við 20 mánuði </w:t>
      </w:r>
      <w:r w:rsidR="00AC494B" w:rsidRPr="006774D3">
        <w:rPr>
          <w:color w:val="000000"/>
          <w:sz w:val="22"/>
          <w:szCs w:val="22"/>
        </w:rPr>
        <w:t>í</w:t>
      </w:r>
      <w:r w:rsidRPr="006774D3">
        <w:rPr>
          <w:color w:val="000000"/>
          <w:sz w:val="22"/>
          <w:szCs w:val="22"/>
        </w:rPr>
        <w:t xml:space="preserve"> hópnum sem fékk lyfleysu (95% CI: [30-ekki ákvarðanlegt]; [14-ekki ákvarðanlegt], tilgreint í sömu röð); (áhættuhlutfall = 0,398 [0,259</w:t>
      </w:r>
      <w:r w:rsidRPr="006774D3">
        <w:rPr>
          <w:color w:val="000000"/>
          <w:sz w:val="22"/>
          <w:szCs w:val="22"/>
        </w:rPr>
        <w:noBreakHyphen/>
        <w:t xml:space="preserve">0,610], p&lt;0,0001). Hætta á endurkomu æxlis minnkaði því um </w:t>
      </w:r>
      <w:r w:rsidR="00AC494B" w:rsidRPr="006774D3">
        <w:rPr>
          <w:color w:val="000000"/>
          <w:sz w:val="22"/>
          <w:szCs w:val="22"/>
        </w:rPr>
        <w:t>u.þ.b.</w:t>
      </w:r>
      <w:r w:rsidRPr="006774D3">
        <w:rPr>
          <w:color w:val="000000"/>
          <w:sz w:val="22"/>
          <w:szCs w:val="22"/>
        </w:rPr>
        <w:t xml:space="preserve"> 89% samanborið við lyfleysu (áhættuhlutfall = 0,113 [0,049</w:t>
      </w:r>
      <w:r w:rsidRPr="006774D3">
        <w:rPr>
          <w:color w:val="000000"/>
          <w:sz w:val="22"/>
          <w:szCs w:val="22"/>
        </w:rPr>
        <w:noBreakHyphen/>
        <w:t>0,264]).</w:t>
      </w:r>
    </w:p>
    <w:p w14:paraId="05B8B44D" w14:textId="77777777" w:rsidR="00AB3B45" w:rsidRPr="006774D3" w:rsidRDefault="00AB3B45" w:rsidP="00F77C66">
      <w:pPr>
        <w:rPr>
          <w:color w:val="000000"/>
          <w:sz w:val="22"/>
          <w:szCs w:val="22"/>
        </w:rPr>
      </w:pPr>
    </w:p>
    <w:p w14:paraId="05B8B44E" w14:textId="77777777" w:rsidR="00AB3B45" w:rsidRPr="006774D3" w:rsidRDefault="00AB3B45" w:rsidP="00F77C66">
      <w:pPr>
        <w:rPr>
          <w:color w:val="000000"/>
          <w:sz w:val="22"/>
          <w:szCs w:val="22"/>
        </w:rPr>
      </w:pPr>
      <w:r w:rsidRPr="006774D3">
        <w:rPr>
          <w:color w:val="000000"/>
          <w:sz w:val="22"/>
          <w:szCs w:val="22"/>
        </w:rPr>
        <w:t xml:space="preserve">Lagt var afturvirkt mat á hættu á endurkomu æxlis hjá sjúklingum eftir brottnám upphaflega GIST æxlisins með skurðaðgerð, á grundvelli eftirtalinna þátta sem hafa áhrif á horfur: æxlistærðar, mítósustuðuls, staðsetningar æxlisins. Upplýsingar um mítósustuðul lágu fyrir hjá 556 af </w:t>
      </w:r>
      <w:r w:rsidR="006439AF" w:rsidRPr="006774D3">
        <w:rPr>
          <w:color w:val="000000"/>
          <w:sz w:val="22"/>
          <w:szCs w:val="22"/>
        </w:rPr>
        <w:t>713</w:t>
      </w:r>
      <w:r w:rsidRPr="006774D3">
        <w:rPr>
          <w:color w:val="000000"/>
          <w:sz w:val="22"/>
          <w:szCs w:val="22"/>
        </w:rPr>
        <w:t xml:space="preserve"> einstaklingum sem ætlunin var að meðhöndla (intention-to-treat [ITT]). Niðurstöður greininga á undirhópum samkvæmt áhættuflokkun </w:t>
      </w:r>
      <w:r w:rsidR="001523D1" w:rsidRPr="006774D3">
        <w:rPr>
          <w:color w:val="000000"/>
          <w:sz w:val="22"/>
          <w:szCs w:val="22"/>
        </w:rPr>
        <w:t>NIH (United States National Institutes of Healt</w:t>
      </w:r>
      <w:r w:rsidR="00DE4E67" w:rsidRPr="006774D3">
        <w:rPr>
          <w:color w:val="000000"/>
          <w:sz w:val="22"/>
          <w:szCs w:val="22"/>
        </w:rPr>
        <w:t>h</w:t>
      </w:r>
      <w:r w:rsidR="001523D1" w:rsidRPr="006774D3">
        <w:rPr>
          <w:color w:val="000000"/>
          <w:sz w:val="22"/>
          <w:szCs w:val="22"/>
        </w:rPr>
        <w:t xml:space="preserve">) og </w:t>
      </w:r>
      <w:r w:rsidRPr="006774D3">
        <w:rPr>
          <w:color w:val="000000"/>
          <w:sz w:val="22"/>
          <w:szCs w:val="22"/>
        </w:rPr>
        <w:t>AFIP (Armed Forces Institu</w:t>
      </w:r>
      <w:r w:rsidR="00DE4E67" w:rsidRPr="006774D3">
        <w:rPr>
          <w:color w:val="000000"/>
          <w:sz w:val="22"/>
          <w:szCs w:val="22"/>
        </w:rPr>
        <w:t>t</w:t>
      </w:r>
      <w:r w:rsidRPr="006774D3">
        <w:rPr>
          <w:color w:val="000000"/>
          <w:sz w:val="22"/>
          <w:szCs w:val="22"/>
        </w:rPr>
        <w:t>e of Pathology) eru tilgreindar í töflu </w:t>
      </w:r>
      <w:r w:rsidR="00142B05" w:rsidRPr="006774D3">
        <w:rPr>
          <w:color w:val="000000"/>
          <w:sz w:val="22"/>
          <w:szCs w:val="22"/>
        </w:rPr>
        <w:t>7</w:t>
      </w:r>
      <w:r w:rsidRPr="006774D3">
        <w:rPr>
          <w:color w:val="000000"/>
          <w:sz w:val="22"/>
          <w:szCs w:val="22"/>
        </w:rPr>
        <w:t>.</w:t>
      </w:r>
      <w:r w:rsidR="001523D1" w:rsidRPr="006774D3">
        <w:rPr>
          <w:color w:val="000000"/>
          <w:sz w:val="22"/>
          <w:szCs w:val="22"/>
        </w:rPr>
        <w:t xml:space="preserve"> Enginn ávinningur kom fram hjá hópunum sem voru í lítilli </w:t>
      </w:r>
      <w:r w:rsidR="00682968" w:rsidRPr="006774D3">
        <w:rPr>
          <w:color w:val="000000"/>
          <w:sz w:val="22"/>
          <w:szCs w:val="22"/>
        </w:rPr>
        <w:t>áhættu eða mjög lítilli áhættu. Enginn heildarávinningur fyrir lifun hefur komið fram</w:t>
      </w:r>
      <w:r w:rsidR="0089006B" w:rsidRPr="006774D3">
        <w:rPr>
          <w:color w:val="000000"/>
          <w:sz w:val="22"/>
          <w:szCs w:val="22"/>
        </w:rPr>
        <w:t>.</w:t>
      </w:r>
    </w:p>
    <w:p w14:paraId="05B8B44F" w14:textId="77777777" w:rsidR="00682968" w:rsidRPr="006774D3" w:rsidRDefault="00682968" w:rsidP="00F77C66">
      <w:pPr>
        <w:rPr>
          <w:color w:val="000000"/>
          <w:sz w:val="22"/>
          <w:szCs w:val="22"/>
        </w:rPr>
      </w:pPr>
    </w:p>
    <w:p w14:paraId="05B8B450" w14:textId="77777777" w:rsidR="00682968" w:rsidRPr="006774D3" w:rsidRDefault="00682968" w:rsidP="00F77C66">
      <w:pPr>
        <w:keepNext/>
        <w:ind w:left="1134" w:hanging="1134"/>
        <w:rPr>
          <w:b/>
          <w:color w:val="000000"/>
          <w:sz w:val="22"/>
          <w:szCs w:val="22"/>
        </w:rPr>
      </w:pPr>
      <w:r w:rsidRPr="006774D3">
        <w:rPr>
          <w:b/>
          <w:color w:val="000000"/>
          <w:sz w:val="22"/>
          <w:szCs w:val="22"/>
        </w:rPr>
        <w:t>Tafla </w:t>
      </w:r>
      <w:r w:rsidR="00142B05" w:rsidRPr="006774D3">
        <w:rPr>
          <w:b/>
          <w:color w:val="000000"/>
          <w:sz w:val="22"/>
          <w:szCs w:val="22"/>
        </w:rPr>
        <w:t>7</w:t>
      </w:r>
      <w:r w:rsidRPr="006774D3">
        <w:rPr>
          <w:b/>
          <w:color w:val="000000"/>
          <w:sz w:val="22"/>
          <w:szCs w:val="22"/>
        </w:rPr>
        <w:tab/>
      </w:r>
      <w:r w:rsidRPr="006774D3">
        <w:rPr>
          <w:rFonts w:eastAsia="MS Mincho"/>
          <w:b/>
          <w:color w:val="000000"/>
          <w:sz w:val="22"/>
          <w:szCs w:val="22"/>
          <w:lang w:eastAsia="ja-JP"/>
        </w:rPr>
        <w:t xml:space="preserve">Samantekt á greiningu Z9001 rannsóknarinnar á lifun án endurkomu æxlis samkvæmt áhættuflokkun </w:t>
      </w:r>
      <w:r w:rsidRPr="006774D3">
        <w:rPr>
          <w:b/>
          <w:color w:val="000000"/>
          <w:sz w:val="22"/>
          <w:szCs w:val="22"/>
        </w:rPr>
        <w:t>NIH og AFIP</w:t>
      </w:r>
    </w:p>
    <w:p w14:paraId="05B8B451" w14:textId="77777777" w:rsidR="00682968" w:rsidRPr="006774D3" w:rsidRDefault="00682968" w:rsidP="00F77C66">
      <w:pPr>
        <w:keepNext/>
        <w:rPr>
          <w:color w:val="000000"/>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301"/>
        <w:gridCol w:w="1134"/>
        <w:gridCol w:w="1984"/>
        <w:gridCol w:w="1701"/>
        <w:gridCol w:w="1534"/>
        <w:gridCol w:w="1418"/>
      </w:tblGrid>
      <w:tr w:rsidR="004A396D" w:rsidRPr="006774D3" w14:paraId="05B8B458" w14:textId="77777777">
        <w:tc>
          <w:tcPr>
            <w:tcW w:w="959" w:type="dxa"/>
            <w:vMerge w:val="restart"/>
          </w:tcPr>
          <w:p w14:paraId="05B8B452" w14:textId="77777777" w:rsidR="00682968" w:rsidRPr="006774D3" w:rsidRDefault="00682968" w:rsidP="00F77C66">
            <w:pPr>
              <w:keepNext/>
              <w:rPr>
                <w:b/>
                <w:color w:val="000000"/>
                <w:sz w:val="22"/>
                <w:szCs w:val="22"/>
              </w:rPr>
            </w:pPr>
            <w:r w:rsidRPr="006774D3">
              <w:rPr>
                <w:b/>
                <w:color w:val="000000"/>
                <w:sz w:val="22"/>
                <w:szCs w:val="22"/>
              </w:rPr>
              <w:t>Mæli</w:t>
            </w:r>
            <w:r w:rsidRPr="006774D3">
              <w:rPr>
                <w:b/>
                <w:color w:val="000000"/>
                <w:sz w:val="22"/>
                <w:szCs w:val="22"/>
              </w:rPr>
              <w:softHyphen/>
              <w:t>kvarði áhættu</w:t>
            </w:r>
          </w:p>
        </w:tc>
        <w:tc>
          <w:tcPr>
            <w:tcW w:w="1301" w:type="dxa"/>
            <w:vMerge w:val="restart"/>
            <w:tcBorders>
              <w:right w:val="single" w:sz="4" w:space="0" w:color="auto"/>
            </w:tcBorders>
          </w:tcPr>
          <w:p w14:paraId="05B8B453" w14:textId="77777777" w:rsidR="00682968" w:rsidRPr="006774D3" w:rsidRDefault="00682968" w:rsidP="00F77C66">
            <w:pPr>
              <w:keepNext/>
              <w:rPr>
                <w:b/>
                <w:color w:val="000000"/>
                <w:sz w:val="22"/>
                <w:szCs w:val="22"/>
              </w:rPr>
            </w:pPr>
            <w:r w:rsidRPr="006774D3">
              <w:rPr>
                <w:b/>
                <w:sz w:val="22"/>
                <w:szCs w:val="22"/>
              </w:rPr>
              <w:t>Áhættustig</w:t>
            </w:r>
          </w:p>
        </w:tc>
        <w:tc>
          <w:tcPr>
            <w:tcW w:w="1134" w:type="dxa"/>
            <w:vMerge w:val="restart"/>
            <w:tcBorders>
              <w:left w:val="single" w:sz="4" w:space="0" w:color="auto"/>
              <w:right w:val="single" w:sz="4" w:space="0" w:color="auto"/>
            </w:tcBorders>
          </w:tcPr>
          <w:p w14:paraId="05B8B454" w14:textId="77777777" w:rsidR="00682968" w:rsidRPr="006774D3" w:rsidRDefault="00682968" w:rsidP="00F77C66">
            <w:pPr>
              <w:keepNext/>
              <w:rPr>
                <w:b/>
                <w:color w:val="000000"/>
                <w:sz w:val="22"/>
                <w:szCs w:val="22"/>
              </w:rPr>
            </w:pPr>
            <w:r w:rsidRPr="006774D3">
              <w:rPr>
                <w:b/>
                <w:color w:val="000000"/>
                <w:sz w:val="22"/>
                <w:szCs w:val="22"/>
              </w:rPr>
              <w:t xml:space="preserve">% </w:t>
            </w:r>
            <w:r w:rsidRPr="006774D3">
              <w:rPr>
                <w:b/>
                <w:sz w:val="22"/>
                <w:szCs w:val="22"/>
              </w:rPr>
              <w:t>sjúklinga</w:t>
            </w:r>
          </w:p>
        </w:tc>
        <w:tc>
          <w:tcPr>
            <w:tcW w:w="1984" w:type="dxa"/>
            <w:vMerge w:val="restart"/>
            <w:tcBorders>
              <w:left w:val="single" w:sz="4" w:space="0" w:color="auto"/>
              <w:right w:val="single" w:sz="4" w:space="0" w:color="auto"/>
            </w:tcBorders>
          </w:tcPr>
          <w:p w14:paraId="05B8B455" w14:textId="77777777" w:rsidR="00682968" w:rsidRPr="006774D3" w:rsidRDefault="00682968" w:rsidP="00F77C66">
            <w:pPr>
              <w:keepNext/>
              <w:rPr>
                <w:b/>
                <w:color w:val="000000"/>
                <w:sz w:val="22"/>
                <w:szCs w:val="22"/>
              </w:rPr>
            </w:pPr>
            <w:r w:rsidRPr="006774D3">
              <w:rPr>
                <w:b/>
                <w:sz w:val="22"/>
                <w:szCs w:val="22"/>
              </w:rPr>
              <w:t>Fjöldi tilvika/fjöldi sjúklinga</w:t>
            </w:r>
          </w:p>
        </w:tc>
        <w:tc>
          <w:tcPr>
            <w:tcW w:w="1701" w:type="dxa"/>
            <w:vMerge w:val="restart"/>
            <w:tcBorders>
              <w:left w:val="single" w:sz="4" w:space="0" w:color="auto"/>
              <w:right w:val="single" w:sz="4" w:space="0" w:color="auto"/>
            </w:tcBorders>
          </w:tcPr>
          <w:p w14:paraId="05B8B456" w14:textId="77777777" w:rsidR="00682968" w:rsidRPr="006774D3" w:rsidRDefault="00682968" w:rsidP="00F77C66">
            <w:pPr>
              <w:keepNext/>
              <w:rPr>
                <w:b/>
                <w:color w:val="000000"/>
                <w:sz w:val="22"/>
                <w:szCs w:val="22"/>
              </w:rPr>
            </w:pPr>
            <w:r w:rsidRPr="006774D3">
              <w:rPr>
                <w:b/>
                <w:sz w:val="22"/>
                <w:szCs w:val="22"/>
              </w:rPr>
              <w:t>Heildar áhættuhlutfall (95%CI)*</w:t>
            </w:r>
          </w:p>
        </w:tc>
        <w:tc>
          <w:tcPr>
            <w:tcW w:w="2952" w:type="dxa"/>
            <w:gridSpan w:val="2"/>
            <w:tcBorders>
              <w:left w:val="single" w:sz="4" w:space="0" w:color="auto"/>
            </w:tcBorders>
          </w:tcPr>
          <w:p w14:paraId="05B8B457" w14:textId="77777777" w:rsidR="00682968" w:rsidRPr="006774D3" w:rsidRDefault="00682968" w:rsidP="00F77C66">
            <w:pPr>
              <w:keepNext/>
              <w:rPr>
                <w:b/>
                <w:color w:val="000000"/>
                <w:sz w:val="22"/>
                <w:szCs w:val="22"/>
              </w:rPr>
            </w:pPr>
            <w:r w:rsidRPr="006774D3">
              <w:rPr>
                <w:b/>
                <w:sz w:val="22"/>
                <w:szCs w:val="22"/>
              </w:rPr>
              <w:t>Hlutfall lifunar án endurkomu æxlis (%)</w:t>
            </w:r>
          </w:p>
        </w:tc>
      </w:tr>
      <w:tr w:rsidR="004A396D" w:rsidRPr="006774D3" w14:paraId="05B8B460" w14:textId="77777777">
        <w:tc>
          <w:tcPr>
            <w:tcW w:w="959" w:type="dxa"/>
            <w:vMerge/>
          </w:tcPr>
          <w:p w14:paraId="05B8B459" w14:textId="77777777" w:rsidR="00682968" w:rsidRPr="006774D3" w:rsidRDefault="00682968" w:rsidP="00F77C66">
            <w:pPr>
              <w:keepNext/>
              <w:rPr>
                <w:b/>
                <w:color w:val="000000"/>
                <w:sz w:val="22"/>
                <w:szCs w:val="22"/>
              </w:rPr>
            </w:pPr>
          </w:p>
        </w:tc>
        <w:tc>
          <w:tcPr>
            <w:tcW w:w="1301" w:type="dxa"/>
            <w:vMerge/>
            <w:tcBorders>
              <w:right w:val="single" w:sz="4" w:space="0" w:color="auto"/>
            </w:tcBorders>
          </w:tcPr>
          <w:p w14:paraId="05B8B45A" w14:textId="77777777" w:rsidR="00682968" w:rsidRPr="006774D3" w:rsidRDefault="00682968" w:rsidP="00F77C66">
            <w:pPr>
              <w:keepNext/>
              <w:rPr>
                <w:b/>
                <w:color w:val="000000"/>
                <w:sz w:val="22"/>
                <w:szCs w:val="22"/>
              </w:rPr>
            </w:pPr>
          </w:p>
        </w:tc>
        <w:tc>
          <w:tcPr>
            <w:tcW w:w="1134" w:type="dxa"/>
            <w:vMerge/>
            <w:tcBorders>
              <w:left w:val="single" w:sz="4" w:space="0" w:color="auto"/>
              <w:right w:val="single" w:sz="4" w:space="0" w:color="auto"/>
            </w:tcBorders>
          </w:tcPr>
          <w:p w14:paraId="05B8B45B" w14:textId="77777777" w:rsidR="00682968" w:rsidRPr="006774D3" w:rsidRDefault="00682968" w:rsidP="00F77C66">
            <w:pPr>
              <w:keepNext/>
              <w:rPr>
                <w:b/>
                <w:color w:val="000000"/>
                <w:sz w:val="22"/>
                <w:szCs w:val="22"/>
              </w:rPr>
            </w:pPr>
          </w:p>
        </w:tc>
        <w:tc>
          <w:tcPr>
            <w:tcW w:w="1984" w:type="dxa"/>
            <w:vMerge/>
            <w:tcBorders>
              <w:left w:val="single" w:sz="4" w:space="0" w:color="auto"/>
              <w:right w:val="single" w:sz="4" w:space="0" w:color="auto"/>
            </w:tcBorders>
          </w:tcPr>
          <w:p w14:paraId="05B8B45C" w14:textId="77777777" w:rsidR="00682968" w:rsidRPr="006774D3" w:rsidRDefault="00682968" w:rsidP="00F77C66">
            <w:pPr>
              <w:keepNext/>
              <w:rPr>
                <w:b/>
                <w:color w:val="000000"/>
                <w:sz w:val="22"/>
                <w:szCs w:val="22"/>
              </w:rPr>
            </w:pPr>
          </w:p>
        </w:tc>
        <w:tc>
          <w:tcPr>
            <w:tcW w:w="1701" w:type="dxa"/>
            <w:vMerge/>
            <w:tcBorders>
              <w:left w:val="single" w:sz="4" w:space="0" w:color="auto"/>
              <w:right w:val="single" w:sz="4" w:space="0" w:color="auto"/>
            </w:tcBorders>
          </w:tcPr>
          <w:p w14:paraId="05B8B45D" w14:textId="77777777" w:rsidR="00682968" w:rsidRPr="006774D3" w:rsidRDefault="00682968" w:rsidP="00F77C66">
            <w:pPr>
              <w:keepNext/>
              <w:rPr>
                <w:b/>
                <w:color w:val="000000"/>
                <w:sz w:val="22"/>
                <w:szCs w:val="22"/>
              </w:rPr>
            </w:pPr>
          </w:p>
        </w:tc>
        <w:tc>
          <w:tcPr>
            <w:tcW w:w="1534" w:type="dxa"/>
            <w:tcBorders>
              <w:left w:val="single" w:sz="4" w:space="0" w:color="auto"/>
              <w:right w:val="single" w:sz="4" w:space="0" w:color="auto"/>
            </w:tcBorders>
          </w:tcPr>
          <w:p w14:paraId="05B8B45E" w14:textId="77777777" w:rsidR="00682968" w:rsidRPr="006774D3" w:rsidRDefault="00682968" w:rsidP="00F77C66">
            <w:pPr>
              <w:keepNext/>
              <w:rPr>
                <w:b/>
                <w:color w:val="000000"/>
                <w:sz w:val="22"/>
                <w:szCs w:val="22"/>
              </w:rPr>
            </w:pPr>
            <w:r w:rsidRPr="006774D3">
              <w:rPr>
                <w:b/>
                <w:sz w:val="22"/>
                <w:szCs w:val="22"/>
              </w:rPr>
              <w:t>12 mánuðir</w:t>
            </w:r>
          </w:p>
        </w:tc>
        <w:tc>
          <w:tcPr>
            <w:tcW w:w="1418" w:type="dxa"/>
            <w:tcBorders>
              <w:left w:val="single" w:sz="4" w:space="0" w:color="auto"/>
            </w:tcBorders>
          </w:tcPr>
          <w:p w14:paraId="05B8B45F" w14:textId="77777777" w:rsidR="00682968" w:rsidRPr="006774D3" w:rsidRDefault="00682968" w:rsidP="00F77C66">
            <w:pPr>
              <w:keepNext/>
              <w:rPr>
                <w:b/>
                <w:color w:val="000000"/>
                <w:sz w:val="22"/>
                <w:szCs w:val="22"/>
              </w:rPr>
            </w:pPr>
            <w:r w:rsidRPr="006774D3">
              <w:rPr>
                <w:b/>
                <w:sz w:val="22"/>
                <w:szCs w:val="22"/>
              </w:rPr>
              <w:t>24 mánuðir</w:t>
            </w:r>
          </w:p>
        </w:tc>
      </w:tr>
      <w:tr w:rsidR="004A396D" w:rsidRPr="006774D3" w14:paraId="05B8B468" w14:textId="77777777">
        <w:tc>
          <w:tcPr>
            <w:tcW w:w="959" w:type="dxa"/>
            <w:vMerge/>
          </w:tcPr>
          <w:p w14:paraId="05B8B461" w14:textId="77777777" w:rsidR="00682968" w:rsidRPr="006774D3" w:rsidRDefault="00682968" w:rsidP="00F77C66">
            <w:pPr>
              <w:keepNext/>
              <w:rPr>
                <w:b/>
                <w:color w:val="000000"/>
                <w:sz w:val="22"/>
                <w:szCs w:val="22"/>
              </w:rPr>
            </w:pPr>
          </w:p>
        </w:tc>
        <w:tc>
          <w:tcPr>
            <w:tcW w:w="1301" w:type="dxa"/>
            <w:vMerge/>
            <w:tcBorders>
              <w:right w:val="single" w:sz="4" w:space="0" w:color="auto"/>
            </w:tcBorders>
          </w:tcPr>
          <w:p w14:paraId="05B8B462" w14:textId="77777777" w:rsidR="00682968" w:rsidRPr="006774D3" w:rsidRDefault="00682968" w:rsidP="00F77C66">
            <w:pPr>
              <w:keepNext/>
              <w:rPr>
                <w:b/>
                <w:color w:val="000000"/>
                <w:sz w:val="22"/>
                <w:szCs w:val="22"/>
              </w:rPr>
            </w:pPr>
          </w:p>
        </w:tc>
        <w:tc>
          <w:tcPr>
            <w:tcW w:w="1134" w:type="dxa"/>
            <w:vMerge/>
            <w:tcBorders>
              <w:left w:val="single" w:sz="4" w:space="0" w:color="auto"/>
              <w:right w:val="single" w:sz="4" w:space="0" w:color="auto"/>
            </w:tcBorders>
          </w:tcPr>
          <w:p w14:paraId="05B8B463" w14:textId="77777777" w:rsidR="00682968" w:rsidRPr="006774D3" w:rsidRDefault="00682968" w:rsidP="00F77C66">
            <w:pPr>
              <w:keepNext/>
              <w:rPr>
                <w:b/>
                <w:color w:val="000000"/>
                <w:sz w:val="22"/>
                <w:szCs w:val="22"/>
              </w:rPr>
            </w:pPr>
          </w:p>
        </w:tc>
        <w:tc>
          <w:tcPr>
            <w:tcW w:w="1984" w:type="dxa"/>
            <w:tcBorders>
              <w:left w:val="single" w:sz="4" w:space="0" w:color="auto"/>
              <w:bottom w:val="single" w:sz="4" w:space="0" w:color="auto"/>
              <w:right w:val="single" w:sz="4" w:space="0" w:color="auto"/>
            </w:tcBorders>
          </w:tcPr>
          <w:p w14:paraId="05B8B464" w14:textId="77777777" w:rsidR="00682968" w:rsidRPr="006774D3" w:rsidRDefault="00682968" w:rsidP="00F77C66">
            <w:pPr>
              <w:keepNext/>
              <w:rPr>
                <w:b/>
                <w:color w:val="000000"/>
                <w:sz w:val="22"/>
                <w:szCs w:val="22"/>
              </w:rPr>
            </w:pPr>
            <w:r w:rsidRPr="006774D3">
              <w:rPr>
                <w:b/>
                <w:sz w:val="22"/>
                <w:szCs w:val="22"/>
              </w:rPr>
              <w:t>Glivec samanborið við lyfleysu</w:t>
            </w:r>
          </w:p>
        </w:tc>
        <w:tc>
          <w:tcPr>
            <w:tcW w:w="1701" w:type="dxa"/>
            <w:vMerge/>
            <w:tcBorders>
              <w:left w:val="single" w:sz="4" w:space="0" w:color="auto"/>
              <w:bottom w:val="single" w:sz="4" w:space="0" w:color="auto"/>
              <w:right w:val="single" w:sz="4" w:space="0" w:color="auto"/>
            </w:tcBorders>
          </w:tcPr>
          <w:p w14:paraId="05B8B465" w14:textId="77777777" w:rsidR="00682968" w:rsidRPr="006774D3" w:rsidRDefault="00682968" w:rsidP="00F77C66">
            <w:pPr>
              <w:keepNext/>
              <w:rPr>
                <w:b/>
                <w:color w:val="000000"/>
                <w:sz w:val="22"/>
                <w:szCs w:val="22"/>
              </w:rPr>
            </w:pPr>
          </w:p>
        </w:tc>
        <w:tc>
          <w:tcPr>
            <w:tcW w:w="1534" w:type="dxa"/>
            <w:tcBorders>
              <w:left w:val="single" w:sz="4" w:space="0" w:color="auto"/>
              <w:bottom w:val="single" w:sz="4" w:space="0" w:color="auto"/>
              <w:right w:val="single" w:sz="4" w:space="0" w:color="auto"/>
            </w:tcBorders>
          </w:tcPr>
          <w:p w14:paraId="05B8B466" w14:textId="77777777" w:rsidR="00682968" w:rsidRPr="006774D3" w:rsidRDefault="00682968" w:rsidP="00F77C66">
            <w:pPr>
              <w:keepNext/>
              <w:rPr>
                <w:b/>
                <w:color w:val="000000"/>
                <w:sz w:val="22"/>
                <w:szCs w:val="22"/>
              </w:rPr>
            </w:pPr>
            <w:r w:rsidRPr="006774D3">
              <w:rPr>
                <w:b/>
                <w:sz w:val="22"/>
                <w:szCs w:val="22"/>
              </w:rPr>
              <w:t>Glivec samanborið við lyfleysu</w:t>
            </w:r>
          </w:p>
        </w:tc>
        <w:tc>
          <w:tcPr>
            <w:tcW w:w="1418" w:type="dxa"/>
            <w:tcBorders>
              <w:left w:val="single" w:sz="4" w:space="0" w:color="auto"/>
            </w:tcBorders>
          </w:tcPr>
          <w:p w14:paraId="05B8B467" w14:textId="77777777" w:rsidR="00682968" w:rsidRPr="006774D3" w:rsidRDefault="00682968" w:rsidP="00F77C66">
            <w:pPr>
              <w:keepNext/>
              <w:rPr>
                <w:b/>
                <w:color w:val="000000"/>
                <w:sz w:val="22"/>
                <w:szCs w:val="22"/>
              </w:rPr>
            </w:pPr>
            <w:r w:rsidRPr="006774D3">
              <w:rPr>
                <w:b/>
                <w:sz w:val="22"/>
                <w:szCs w:val="22"/>
              </w:rPr>
              <w:t>Glivec samanborið við lyfleysu</w:t>
            </w:r>
          </w:p>
        </w:tc>
      </w:tr>
      <w:tr w:rsidR="004A396D" w:rsidRPr="006774D3" w14:paraId="05B8B471" w14:textId="77777777">
        <w:tc>
          <w:tcPr>
            <w:tcW w:w="959" w:type="dxa"/>
            <w:vMerge w:val="restart"/>
            <w:shd w:val="clear" w:color="auto" w:fill="auto"/>
          </w:tcPr>
          <w:p w14:paraId="05B8B469" w14:textId="77777777" w:rsidR="00682968" w:rsidRPr="006774D3" w:rsidRDefault="00682968" w:rsidP="00F77C66">
            <w:pPr>
              <w:keepNext/>
              <w:rPr>
                <w:color w:val="000000"/>
                <w:sz w:val="22"/>
                <w:szCs w:val="22"/>
              </w:rPr>
            </w:pPr>
            <w:r w:rsidRPr="006774D3">
              <w:rPr>
                <w:color w:val="000000"/>
                <w:sz w:val="22"/>
                <w:szCs w:val="22"/>
              </w:rPr>
              <w:t>NIH</w:t>
            </w:r>
          </w:p>
          <w:p w14:paraId="05B8B46A" w14:textId="77777777" w:rsidR="00682968" w:rsidRPr="006774D3" w:rsidRDefault="00682968" w:rsidP="00F77C66">
            <w:pPr>
              <w:keepNext/>
              <w:rPr>
                <w:color w:val="000000"/>
                <w:sz w:val="22"/>
                <w:szCs w:val="22"/>
              </w:rPr>
            </w:pPr>
          </w:p>
        </w:tc>
        <w:tc>
          <w:tcPr>
            <w:tcW w:w="1301" w:type="dxa"/>
            <w:tcBorders>
              <w:bottom w:val="nil"/>
              <w:right w:val="single" w:sz="4" w:space="0" w:color="auto"/>
            </w:tcBorders>
            <w:vAlign w:val="bottom"/>
          </w:tcPr>
          <w:p w14:paraId="05B8B46B" w14:textId="77777777" w:rsidR="00682968" w:rsidRPr="006774D3" w:rsidRDefault="00682968" w:rsidP="00F77C66">
            <w:pPr>
              <w:keepNext/>
              <w:rPr>
                <w:color w:val="000000"/>
                <w:sz w:val="22"/>
                <w:szCs w:val="22"/>
              </w:rPr>
            </w:pPr>
            <w:r w:rsidRPr="006774D3">
              <w:rPr>
                <w:color w:val="000000"/>
                <w:sz w:val="22"/>
                <w:szCs w:val="22"/>
              </w:rPr>
              <w:t>Lágt</w:t>
            </w:r>
          </w:p>
        </w:tc>
        <w:tc>
          <w:tcPr>
            <w:tcW w:w="1134" w:type="dxa"/>
            <w:tcBorders>
              <w:left w:val="single" w:sz="4" w:space="0" w:color="auto"/>
              <w:bottom w:val="nil"/>
              <w:right w:val="single" w:sz="4" w:space="0" w:color="auto"/>
            </w:tcBorders>
            <w:vAlign w:val="bottom"/>
          </w:tcPr>
          <w:p w14:paraId="05B8B46C" w14:textId="77777777" w:rsidR="00682968" w:rsidRPr="006774D3" w:rsidRDefault="00682968" w:rsidP="00F77C66">
            <w:pPr>
              <w:keepNext/>
              <w:rPr>
                <w:color w:val="000000"/>
                <w:sz w:val="22"/>
                <w:szCs w:val="22"/>
              </w:rPr>
            </w:pPr>
            <w:r w:rsidRPr="006774D3">
              <w:rPr>
                <w:color w:val="000000"/>
                <w:sz w:val="22"/>
                <w:szCs w:val="22"/>
              </w:rPr>
              <w:t>29,5</w:t>
            </w:r>
          </w:p>
        </w:tc>
        <w:tc>
          <w:tcPr>
            <w:tcW w:w="1984" w:type="dxa"/>
            <w:tcBorders>
              <w:left w:val="single" w:sz="4" w:space="0" w:color="auto"/>
              <w:bottom w:val="nil"/>
              <w:right w:val="single" w:sz="4" w:space="0" w:color="auto"/>
            </w:tcBorders>
            <w:vAlign w:val="bottom"/>
          </w:tcPr>
          <w:p w14:paraId="05B8B46D" w14:textId="77777777" w:rsidR="00682968" w:rsidRPr="006774D3" w:rsidRDefault="00682968" w:rsidP="00F77C66">
            <w:pPr>
              <w:keepNext/>
              <w:rPr>
                <w:color w:val="000000"/>
                <w:sz w:val="22"/>
                <w:szCs w:val="22"/>
              </w:rPr>
            </w:pPr>
            <w:r w:rsidRPr="006774D3">
              <w:rPr>
                <w:color w:val="000000"/>
                <w:sz w:val="22"/>
                <w:szCs w:val="22"/>
              </w:rPr>
              <w:t>0/86 samanborið við 2/90</w:t>
            </w:r>
          </w:p>
        </w:tc>
        <w:tc>
          <w:tcPr>
            <w:tcW w:w="1701" w:type="dxa"/>
            <w:tcBorders>
              <w:left w:val="single" w:sz="4" w:space="0" w:color="auto"/>
              <w:bottom w:val="nil"/>
              <w:right w:val="single" w:sz="4" w:space="0" w:color="auto"/>
            </w:tcBorders>
            <w:vAlign w:val="bottom"/>
          </w:tcPr>
          <w:p w14:paraId="05B8B46E" w14:textId="77777777" w:rsidR="00682968" w:rsidRPr="006774D3" w:rsidRDefault="004A396D" w:rsidP="00F77C66">
            <w:pPr>
              <w:keepNext/>
              <w:rPr>
                <w:color w:val="000000"/>
                <w:sz w:val="22"/>
                <w:szCs w:val="22"/>
              </w:rPr>
            </w:pPr>
            <w:r w:rsidRPr="006774D3">
              <w:rPr>
                <w:sz w:val="22"/>
                <w:szCs w:val="22"/>
              </w:rPr>
              <w:t>E.Á.</w:t>
            </w:r>
          </w:p>
        </w:tc>
        <w:tc>
          <w:tcPr>
            <w:tcW w:w="1534" w:type="dxa"/>
            <w:tcBorders>
              <w:left w:val="single" w:sz="4" w:space="0" w:color="auto"/>
              <w:bottom w:val="nil"/>
              <w:right w:val="single" w:sz="4" w:space="0" w:color="auto"/>
            </w:tcBorders>
            <w:vAlign w:val="bottom"/>
          </w:tcPr>
          <w:p w14:paraId="05B8B46F" w14:textId="77777777" w:rsidR="00682968" w:rsidRPr="006774D3" w:rsidRDefault="00682968" w:rsidP="00F77C66">
            <w:pPr>
              <w:keepNext/>
              <w:rPr>
                <w:color w:val="000000"/>
                <w:sz w:val="22"/>
                <w:szCs w:val="22"/>
              </w:rPr>
            </w:pPr>
            <w:r w:rsidRPr="006774D3">
              <w:rPr>
                <w:color w:val="000000"/>
                <w:sz w:val="22"/>
                <w:szCs w:val="22"/>
              </w:rPr>
              <w:t>100 samanborið við 98</w:t>
            </w:r>
            <w:r w:rsidR="004A396D" w:rsidRPr="006774D3">
              <w:rPr>
                <w:color w:val="000000"/>
                <w:sz w:val="22"/>
                <w:szCs w:val="22"/>
              </w:rPr>
              <w:t>,</w:t>
            </w:r>
            <w:r w:rsidRPr="006774D3">
              <w:rPr>
                <w:color w:val="000000"/>
                <w:sz w:val="22"/>
                <w:szCs w:val="22"/>
              </w:rPr>
              <w:t>7</w:t>
            </w:r>
          </w:p>
        </w:tc>
        <w:tc>
          <w:tcPr>
            <w:tcW w:w="1418" w:type="dxa"/>
            <w:tcBorders>
              <w:left w:val="single" w:sz="4" w:space="0" w:color="auto"/>
              <w:bottom w:val="nil"/>
            </w:tcBorders>
            <w:vAlign w:val="bottom"/>
          </w:tcPr>
          <w:p w14:paraId="05B8B470" w14:textId="77777777" w:rsidR="00682968" w:rsidRPr="006774D3" w:rsidRDefault="00682968" w:rsidP="00F77C66">
            <w:pPr>
              <w:keepNext/>
              <w:rPr>
                <w:color w:val="000000"/>
                <w:sz w:val="22"/>
                <w:szCs w:val="22"/>
              </w:rPr>
            </w:pPr>
            <w:r w:rsidRPr="006774D3">
              <w:rPr>
                <w:color w:val="000000"/>
                <w:sz w:val="22"/>
                <w:szCs w:val="22"/>
              </w:rPr>
              <w:t>100 samanborið við 95</w:t>
            </w:r>
            <w:r w:rsidR="004A396D" w:rsidRPr="006774D3">
              <w:rPr>
                <w:color w:val="000000"/>
                <w:sz w:val="22"/>
                <w:szCs w:val="22"/>
              </w:rPr>
              <w:t>,</w:t>
            </w:r>
            <w:r w:rsidRPr="006774D3">
              <w:rPr>
                <w:color w:val="000000"/>
                <w:sz w:val="22"/>
                <w:szCs w:val="22"/>
              </w:rPr>
              <w:t>5</w:t>
            </w:r>
          </w:p>
        </w:tc>
      </w:tr>
      <w:tr w:rsidR="004A396D" w:rsidRPr="006774D3" w14:paraId="05B8B479" w14:textId="77777777">
        <w:tc>
          <w:tcPr>
            <w:tcW w:w="959" w:type="dxa"/>
            <w:vMerge/>
            <w:shd w:val="clear" w:color="auto" w:fill="auto"/>
          </w:tcPr>
          <w:p w14:paraId="05B8B472" w14:textId="77777777" w:rsidR="00682968" w:rsidRPr="006774D3" w:rsidRDefault="00682968" w:rsidP="00F77C66">
            <w:pPr>
              <w:keepNext/>
              <w:rPr>
                <w:color w:val="000000"/>
                <w:sz w:val="22"/>
                <w:szCs w:val="22"/>
              </w:rPr>
            </w:pPr>
          </w:p>
        </w:tc>
        <w:tc>
          <w:tcPr>
            <w:tcW w:w="1301" w:type="dxa"/>
            <w:tcBorders>
              <w:top w:val="nil"/>
              <w:bottom w:val="nil"/>
              <w:right w:val="single" w:sz="4" w:space="0" w:color="auto"/>
            </w:tcBorders>
            <w:vAlign w:val="bottom"/>
          </w:tcPr>
          <w:p w14:paraId="05B8B473" w14:textId="77777777" w:rsidR="00682968" w:rsidRPr="006774D3" w:rsidRDefault="00682968" w:rsidP="00F77C66">
            <w:pPr>
              <w:keepNext/>
              <w:rPr>
                <w:color w:val="000000"/>
                <w:sz w:val="22"/>
                <w:szCs w:val="22"/>
              </w:rPr>
            </w:pPr>
            <w:r w:rsidRPr="006774D3">
              <w:rPr>
                <w:color w:val="000000"/>
                <w:sz w:val="22"/>
                <w:szCs w:val="22"/>
              </w:rPr>
              <w:t>Í meðallagi hátt</w:t>
            </w:r>
          </w:p>
        </w:tc>
        <w:tc>
          <w:tcPr>
            <w:tcW w:w="1134" w:type="dxa"/>
            <w:tcBorders>
              <w:top w:val="nil"/>
              <w:left w:val="single" w:sz="4" w:space="0" w:color="auto"/>
              <w:bottom w:val="nil"/>
              <w:right w:val="single" w:sz="4" w:space="0" w:color="auto"/>
            </w:tcBorders>
            <w:vAlign w:val="bottom"/>
          </w:tcPr>
          <w:p w14:paraId="05B8B474" w14:textId="77777777" w:rsidR="00682968" w:rsidRPr="006774D3" w:rsidRDefault="00682968" w:rsidP="00F77C66">
            <w:pPr>
              <w:keepNext/>
              <w:rPr>
                <w:color w:val="000000"/>
                <w:sz w:val="22"/>
                <w:szCs w:val="22"/>
              </w:rPr>
            </w:pPr>
            <w:r w:rsidRPr="006774D3">
              <w:rPr>
                <w:color w:val="000000"/>
                <w:sz w:val="22"/>
                <w:szCs w:val="22"/>
              </w:rPr>
              <w:t>25,7</w:t>
            </w:r>
          </w:p>
        </w:tc>
        <w:tc>
          <w:tcPr>
            <w:tcW w:w="1984" w:type="dxa"/>
            <w:tcBorders>
              <w:top w:val="nil"/>
              <w:left w:val="single" w:sz="4" w:space="0" w:color="auto"/>
              <w:bottom w:val="nil"/>
              <w:right w:val="single" w:sz="4" w:space="0" w:color="auto"/>
            </w:tcBorders>
            <w:vAlign w:val="bottom"/>
          </w:tcPr>
          <w:p w14:paraId="05B8B475" w14:textId="77777777" w:rsidR="00682968" w:rsidRPr="006774D3" w:rsidRDefault="00682968" w:rsidP="00F77C66">
            <w:pPr>
              <w:keepNext/>
              <w:rPr>
                <w:color w:val="000000"/>
                <w:sz w:val="22"/>
                <w:szCs w:val="22"/>
              </w:rPr>
            </w:pPr>
            <w:r w:rsidRPr="006774D3">
              <w:rPr>
                <w:color w:val="000000"/>
                <w:sz w:val="22"/>
                <w:szCs w:val="22"/>
              </w:rPr>
              <w:t>4/75 samanborið við 6/78</w:t>
            </w:r>
          </w:p>
        </w:tc>
        <w:tc>
          <w:tcPr>
            <w:tcW w:w="1701" w:type="dxa"/>
            <w:tcBorders>
              <w:top w:val="nil"/>
              <w:left w:val="single" w:sz="4" w:space="0" w:color="auto"/>
              <w:bottom w:val="nil"/>
              <w:right w:val="single" w:sz="4" w:space="0" w:color="auto"/>
            </w:tcBorders>
            <w:vAlign w:val="bottom"/>
          </w:tcPr>
          <w:p w14:paraId="05B8B476" w14:textId="77777777" w:rsidR="00682968" w:rsidRPr="006774D3" w:rsidRDefault="00682968" w:rsidP="00F77C66">
            <w:pPr>
              <w:keepNext/>
              <w:rPr>
                <w:color w:val="000000"/>
                <w:sz w:val="22"/>
                <w:szCs w:val="22"/>
              </w:rPr>
            </w:pPr>
            <w:r w:rsidRPr="006774D3">
              <w:rPr>
                <w:color w:val="000000"/>
                <w:sz w:val="22"/>
                <w:szCs w:val="22"/>
              </w:rPr>
              <w:t>0</w:t>
            </w:r>
            <w:r w:rsidR="004A396D" w:rsidRPr="006774D3">
              <w:rPr>
                <w:color w:val="000000"/>
                <w:sz w:val="22"/>
                <w:szCs w:val="22"/>
              </w:rPr>
              <w:t>,</w:t>
            </w:r>
            <w:r w:rsidRPr="006774D3">
              <w:rPr>
                <w:color w:val="000000"/>
                <w:sz w:val="22"/>
                <w:szCs w:val="22"/>
              </w:rPr>
              <w:t>59 (0</w:t>
            </w:r>
            <w:r w:rsidR="004A396D" w:rsidRPr="006774D3">
              <w:rPr>
                <w:color w:val="000000"/>
                <w:sz w:val="22"/>
                <w:szCs w:val="22"/>
              </w:rPr>
              <w:t>,</w:t>
            </w:r>
            <w:r w:rsidRPr="006774D3">
              <w:rPr>
                <w:color w:val="000000"/>
                <w:sz w:val="22"/>
                <w:szCs w:val="22"/>
              </w:rPr>
              <w:t>17; 2</w:t>
            </w:r>
            <w:r w:rsidR="004A396D" w:rsidRPr="006774D3">
              <w:rPr>
                <w:color w:val="000000"/>
                <w:sz w:val="22"/>
                <w:szCs w:val="22"/>
              </w:rPr>
              <w:t>,</w:t>
            </w:r>
            <w:r w:rsidRPr="006774D3">
              <w:rPr>
                <w:color w:val="000000"/>
                <w:sz w:val="22"/>
                <w:szCs w:val="22"/>
              </w:rPr>
              <w:t>10)</w:t>
            </w:r>
          </w:p>
        </w:tc>
        <w:tc>
          <w:tcPr>
            <w:tcW w:w="1534" w:type="dxa"/>
            <w:tcBorders>
              <w:top w:val="nil"/>
              <w:left w:val="single" w:sz="4" w:space="0" w:color="auto"/>
              <w:bottom w:val="nil"/>
              <w:right w:val="single" w:sz="4" w:space="0" w:color="auto"/>
            </w:tcBorders>
            <w:vAlign w:val="bottom"/>
          </w:tcPr>
          <w:p w14:paraId="05B8B477" w14:textId="77777777" w:rsidR="00682968" w:rsidRPr="006774D3" w:rsidRDefault="00682968" w:rsidP="00F77C66">
            <w:pPr>
              <w:keepNext/>
              <w:rPr>
                <w:color w:val="000000"/>
                <w:sz w:val="22"/>
                <w:szCs w:val="22"/>
              </w:rPr>
            </w:pPr>
            <w:r w:rsidRPr="006774D3">
              <w:rPr>
                <w:color w:val="000000"/>
                <w:sz w:val="22"/>
                <w:szCs w:val="22"/>
              </w:rPr>
              <w:t>100 samanborið við 94</w:t>
            </w:r>
            <w:r w:rsidR="004A396D" w:rsidRPr="006774D3">
              <w:rPr>
                <w:color w:val="000000"/>
                <w:sz w:val="22"/>
                <w:szCs w:val="22"/>
              </w:rPr>
              <w:t>,</w:t>
            </w:r>
            <w:r w:rsidRPr="006774D3">
              <w:rPr>
                <w:color w:val="000000"/>
                <w:sz w:val="22"/>
                <w:szCs w:val="22"/>
              </w:rPr>
              <w:t>8</w:t>
            </w:r>
          </w:p>
        </w:tc>
        <w:tc>
          <w:tcPr>
            <w:tcW w:w="1418" w:type="dxa"/>
            <w:tcBorders>
              <w:top w:val="nil"/>
              <w:left w:val="single" w:sz="4" w:space="0" w:color="auto"/>
              <w:bottom w:val="nil"/>
            </w:tcBorders>
            <w:vAlign w:val="bottom"/>
          </w:tcPr>
          <w:p w14:paraId="05B8B478" w14:textId="77777777" w:rsidR="00682968" w:rsidRPr="006774D3" w:rsidRDefault="00682968" w:rsidP="00F77C66">
            <w:pPr>
              <w:keepNext/>
              <w:rPr>
                <w:color w:val="000000"/>
                <w:sz w:val="22"/>
                <w:szCs w:val="22"/>
              </w:rPr>
            </w:pPr>
            <w:r w:rsidRPr="006774D3">
              <w:rPr>
                <w:color w:val="000000"/>
                <w:sz w:val="22"/>
                <w:szCs w:val="22"/>
              </w:rPr>
              <w:t>97</w:t>
            </w:r>
            <w:r w:rsidR="004A396D" w:rsidRPr="006774D3">
              <w:rPr>
                <w:color w:val="000000"/>
                <w:sz w:val="22"/>
                <w:szCs w:val="22"/>
              </w:rPr>
              <w:t>,</w:t>
            </w:r>
            <w:r w:rsidRPr="006774D3">
              <w:rPr>
                <w:color w:val="000000"/>
                <w:sz w:val="22"/>
                <w:szCs w:val="22"/>
              </w:rPr>
              <w:t>8 samanborið við 89</w:t>
            </w:r>
            <w:r w:rsidR="004A396D" w:rsidRPr="006774D3">
              <w:rPr>
                <w:color w:val="000000"/>
                <w:sz w:val="22"/>
                <w:szCs w:val="22"/>
              </w:rPr>
              <w:t>,</w:t>
            </w:r>
            <w:r w:rsidRPr="006774D3">
              <w:rPr>
                <w:color w:val="000000"/>
                <w:sz w:val="22"/>
                <w:szCs w:val="22"/>
              </w:rPr>
              <w:t>5</w:t>
            </w:r>
          </w:p>
        </w:tc>
      </w:tr>
      <w:tr w:rsidR="004A396D" w:rsidRPr="006774D3" w14:paraId="05B8B481" w14:textId="77777777">
        <w:tc>
          <w:tcPr>
            <w:tcW w:w="959" w:type="dxa"/>
            <w:vMerge/>
            <w:shd w:val="clear" w:color="auto" w:fill="auto"/>
          </w:tcPr>
          <w:p w14:paraId="05B8B47A" w14:textId="77777777" w:rsidR="00682968" w:rsidRPr="006774D3" w:rsidRDefault="00682968" w:rsidP="00F77C66">
            <w:pPr>
              <w:keepNext/>
              <w:rPr>
                <w:color w:val="000000"/>
                <w:sz w:val="22"/>
                <w:szCs w:val="22"/>
              </w:rPr>
            </w:pPr>
          </w:p>
        </w:tc>
        <w:tc>
          <w:tcPr>
            <w:tcW w:w="1301" w:type="dxa"/>
            <w:tcBorders>
              <w:top w:val="nil"/>
              <w:right w:val="single" w:sz="4" w:space="0" w:color="auto"/>
            </w:tcBorders>
            <w:vAlign w:val="bottom"/>
          </w:tcPr>
          <w:p w14:paraId="05B8B47B" w14:textId="77777777" w:rsidR="00682968" w:rsidRPr="006774D3" w:rsidRDefault="00682968" w:rsidP="00F77C66">
            <w:pPr>
              <w:keepNext/>
              <w:rPr>
                <w:color w:val="000000"/>
                <w:sz w:val="22"/>
                <w:szCs w:val="22"/>
              </w:rPr>
            </w:pPr>
            <w:r w:rsidRPr="006774D3">
              <w:rPr>
                <w:color w:val="000000"/>
                <w:sz w:val="22"/>
                <w:szCs w:val="22"/>
              </w:rPr>
              <w:t>Hátt</w:t>
            </w:r>
          </w:p>
        </w:tc>
        <w:tc>
          <w:tcPr>
            <w:tcW w:w="1134" w:type="dxa"/>
            <w:tcBorders>
              <w:top w:val="nil"/>
              <w:left w:val="single" w:sz="4" w:space="0" w:color="auto"/>
              <w:right w:val="single" w:sz="4" w:space="0" w:color="auto"/>
            </w:tcBorders>
            <w:vAlign w:val="bottom"/>
          </w:tcPr>
          <w:p w14:paraId="05B8B47C" w14:textId="77777777" w:rsidR="00682968" w:rsidRPr="006774D3" w:rsidRDefault="00682968" w:rsidP="00F77C66">
            <w:pPr>
              <w:keepNext/>
              <w:rPr>
                <w:color w:val="000000"/>
                <w:sz w:val="22"/>
                <w:szCs w:val="22"/>
              </w:rPr>
            </w:pPr>
            <w:r w:rsidRPr="006774D3">
              <w:rPr>
                <w:color w:val="000000"/>
                <w:sz w:val="22"/>
                <w:szCs w:val="22"/>
              </w:rPr>
              <w:t>44.8</w:t>
            </w:r>
          </w:p>
        </w:tc>
        <w:tc>
          <w:tcPr>
            <w:tcW w:w="1984" w:type="dxa"/>
            <w:tcBorders>
              <w:top w:val="nil"/>
              <w:left w:val="single" w:sz="4" w:space="0" w:color="auto"/>
              <w:right w:val="single" w:sz="4" w:space="0" w:color="auto"/>
            </w:tcBorders>
            <w:vAlign w:val="bottom"/>
          </w:tcPr>
          <w:p w14:paraId="05B8B47D" w14:textId="77777777" w:rsidR="00682968" w:rsidRPr="006774D3" w:rsidRDefault="00682968" w:rsidP="00F77C66">
            <w:pPr>
              <w:keepNext/>
              <w:rPr>
                <w:color w:val="000000"/>
                <w:sz w:val="22"/>
                <w:szCs w:val="22"/>
              </w:rPr>
            </w:pPr>
            <w:r w:rsidRPr="006774D3">
              <w:rPr>
                <w:color w:val="000000"/>
                <w:sz w:val="22"/>
                <w:szCs w:val="22"/>
              </w:rPr>
              <w:t>21/140 samanborið við 51/127</w:t>
            </w:r>
          </w:p>
        </w:tc>
        <w:tc>
          <w:tcPr>
            <w:tcW w:w="1701" w:type="dxa"/>
            <w:tcBorders>
              <w:top w:val="nil"/>
              <w:left w:val="single" w:sz="4" w:space="0" w:color="auto"/>
              <w:right w:val="single" w:sz="4" w:space="0" w:color="auto"/>
            </w:tcBorders>
            <w:vAlign w:val="bottom"/>
          </w:tcPr>
          <w:p w14:paraId="05B8B47E" w14:textId="77777777" w:rsidR="00682968" w:rsidRPr="006774D3" w:rsidRDefault="00682968" w:rsidP="00F77C66">
            <w:pPr>
              <w:keepNext/>
              <w:rPr>
                <w:color w:val="000000"/>
                <w:sz w:val="22"/>
                <w:szCs w:val="22"/>
              </w:rPr>
            </w:pPr>
            <w:r w:rsidRPr="006774D3">
              <w:rPr>
                <w:color w:val="000000"/>
                <w:sz w:val="22"/>
                <w:szCs w:val="22"/>
              </w:rPr>
              <w:t>0</w:t>
            </w:r>
            <w:r w:rsidR="004A396D" w:rsidRPr="006774D3">
              <w:rPr>
                <w:color w:val="000000"/>
                <w:sz w:val="22"/>
                <w:szCs w:val="22"/>
              </w:rPr>
              <w:t>,</w:t>
            </w:r>
            <w:r w:rsidRPr="006774D3">
              <w:rPr>
                <w:color w:val="000000"/>
                <w:sz w:val="22"/>
                <w:szCs w:val="22"/>
              </w:rPr>
              <w:t>29 (0</w:t>
            </w:r>
            <w:r w:rsidR="004A396D" w:rsidRPr="006774D3">
              <w:rPr>
                <w:color w:val="000000"/>
                <w:sz w:val="22"/>
                <w:szCs w:val="22"/>
              </w:rPr>
              <w:t>,</w:t>
            </w:r>
            <w:r w:rsidRPr="006774D3">
              <w:rPr>
                <w:color w:val="000000"/>
                <w:sz w:val="22"/>
                <w:szCs w:val="22"/>
              </w:rPr>
              <w:t>18; 0</w:t>
            </w:r>
            <w:r w:rsidR="004A396D" w:rsidRPr="006774D3">
              <w:rPr>
                <w:color w:val="000000"/>
                <w:sz w:val="22"/>
                <w:szCs w:val="22"/>
              </w:rPr>
              <w:t>,</w:t>
            </w:r>
            <w:r w:rsidRPr="006774D3">
              <w:rPr>
                <w:color w:val="000000"/>
                <w:sz w:val="22"/>
                <w:szCs w:val="22"/>
              </w:rPr>
              <w:t>49)</w:t>
            </w:r>
          </w:p>
        </w:tc>
        <w:tc>
          <w:tcPr>
            <w:tcW w:w="1534" w:type="dxa"/>
            <w:tcBorders>
              <w:top w:val="nil"/>
              <w:left w:val="single" w:sz="4" w:space="0" w:color="auto"/>
              <w:right w:val="single" w:sz="4" w:space="0" w:color="auto"/>
            </w:tcBorders>
            <w:vAlign w:val="bottom"/>
          </w:tcPr>
          <w:p w14:paraId="05B8B47F" w14:textId="77777777" w:rsidR="00682968" w:rsidRPr="006774D3" w:rsidRDefault="00682968" w:rsidP="00F77C66">
            <w:pPr>
              <w:keepNext/>
              <w:rPr>
                <w:color w:val="000000"/>
                <w:sz w:val="22"/>
                <w:szCs w:val="22"/>
              </w:rPr>
            </w:pPr>
            <w:r w:rsidRPr="006774D3">
              <w:rPr>
                <w:color w:val="000000"/>
                <w:sz w:val="22"/>
                <w:szCs w:val="22"/>
              </w:rPr>
              <w:t>94</w:t>
            </w:r>
            <w:r w:rsidR="004A396D" w:rsidRPr="006774D3">
              <w:rPr>
                <w:color w:val="000000"/>
                <w:sz w:val="22"/>
                <w:szCs w:val="22"/>
              </w:rPr>
              <w:t>,</w:t>
            </w:r>
            <w:r w:rsidRPr="006774D3">
              <w:rPr>
                <w:color w:val="000000"/>
                <w:sz w:val="22"/>
                <w:szCs w:val="22"/>
              </w:rPr>
              <w:t>8 samanborið við 64</w:t>
            </w:r>
            <w:r w:rsidR="004A396D" w:rsidRPr="006774D3">
              <w:rPr>
                <w:color w:val="000000"/>
                <w:sz w:val="22"/>
                <w:szCs w:val="22"/>
              </w:rPr>
              <w:t>,</w:t>
            </w:r>
            <w:r w:rsidRPr="006774D3">
              <w:rPr>
                <w:color w:val="000000"/>
                <w:sz w:val="22"/>
                <w:szCs w:val="22"/>
              </w:rPr>
              <w:t>0</w:t>
            </w:r>
          </w:p>
        </w:tc>
        <w:tc>
          <w:tcPr>
            <w:tcW w:w="1418" w:type="dxa"/>
            <w:tcBorders>
              <w:top w:val="nil"/>
              <w:left w:val="single" w:sz="4" w:space="0" w:color="auto"/>
            </w:tcBorders>
            <w:vAlign w:val="bottom"/>
          </w:tcPr>
          <w:p w14:paraId="05B8B480" w14:textId="77777777" w:rsidR="00682968" w:rsidRPr="006774D3" w:rsidRDefault="00682968" w:rsidP="00F77C66">
            <w:pPr>
              <w:keepNext/>
              <w:rPr>
                <w:color w:val="000000"/>
                <w:sz w:val="22"/>
                <w:szCs w:val="22"/>
              </w:rPr>
            </w:pPr>
            <w:r w:rsidRPr="006774D3">
              <w:rPr>
                <w:color w:val="000000"/>
                <w:sz w:val="22"/>
                <w:szCs w:val="22"/>
              </w:rPr>
              <w:t>80</w:t>
            </w:r>
            <w:r w:rsidR="004A396D" w:rsidRPr="006774D3">
              <w:rPr>
                <w:color w:val="000000"/>
                <w:sz w:val="22"/>
                <w:szCs w:val="22"/>
              </w:rPr>
              <w:t>,</w:t>
            </w:r>
            <w:r w:rsidRPr="006774D3">
              <w:rPr>
                <w:color w:val="000000"/>
                <w:sz w:val="22"/>
                <w:szCs w:val="22"/>
              </w:rPr>
              <w:t>7 samanborið við 46</w:t>
            </w:r>
            <w:r w:rsidR="004A396D" w:rsidRPr="006774D3">
              <w:rPr>
                <w:color w:val="000000"/>
                <w:sz w:val="22"/>
                <w:szCs w:val="22"/>
              </w:rPr>
              <w:t>,</w:t>
            </w:r>
            <w:r w:rsidRPr="006774D3">
              <w:rPr>
                <w:color w:val="000000"/>
                <w:sz w:val="22"/>
                <w:szCs w:val="22"/>
              </w:rPr>
              <w:t>6</w:t>
            </w:r>
          </w:p>
        </w:tc>
      </w:tr>
      <w:tr w:rsidR="004A396D" w:rsidRPr="006774D3" w14:paraId="05B8B48A" w14:textId="77777777">
        <w:tc>
          <w:tcPr>
            <w:tcW w:w="959" w:type="dxa"/>
            <w:vMerge w:val="restart"/>
            <w:shd w:val="clear" w:color="auto" w:fill="auto"/>
          </w:tcPr>
          <w:p w14:paraId="05B8B482" w14:textId="77777777" w:rsidR="00682968" w:rsidRPr="006774D3" w:rsidRDefault="00682968" w:rsidP="00F77C66">
            <w:pPr>
              <w:keepNext/>
              <w:rPr>
                <w:color w:val="000000"/>
                <w:sz w:val="22"/>
                <w:szCs w:val="22"/>
              </w:rPr>
            </w:pPr>
            <w:r w:rsidRPr="006774D3">
              <w:rPr>
                <w:color w:val="000000"/>
                <w:sz w:val="22"/>
                <w:szCs w:val="22"/>
              </w:rPr>
              <w:t>AFIP</w:t>
            </w:r>
          </w:p>
          <w:p w14:paraId="05B8B483" w14:textId="77777777" w:rsidR="00682968" w:rsidRPr="006774D3" w:rsidRDefault="00682968" w:rsidP="00F77C66">
            <w:pPr>
              <w:keepNext/>
              <w:rPr>
                <w:color w:val="000000"/>
                <w:sz w:val="22"/>
                <w:szCs w:val="22"/>
              </w:rPr>
            </w:pPr>
          </w:p>
        </w:tc>
        <w:tc>
          <w:tcPr>
            <w:tcW w:w="1301" w:type="dxa"/>
            <w:tcBorders>
              <w:bottom w:val="nil"/>
              <w:right w:val="single" w:sz="4" w:space="0" w:color="auto"/>
            </w:tcBorders>
            <w:vAlign w:val="bottom"/>
          </w:tcPr>
          <w:p w14:paraId="05B8B484" w14:textId="77777777" w:rsidR="00682968" w:rsidRPr="006774D3" w:rsidRDefault="00682968" w:rsidP="00F77C66">
            <w:pPr>
              <w:keepNext/>
              <w:rPr>
                <w:color w:val="000000"/>
                <w:sz w:val="22"/>
                <w:szCs w:val="22"/>
              </w:rPr>
            </w:pPr>
            <w:r w:rsidRPr="006774D3">
              <w:rPr>
                <w:color w:val="000000"/>
                <w:sz w:val="22"/>
                <w:szCs w:val="22"/>
              </w:rPr>
              <w:t>Mjög lágt</w:t>
            </w:r>
          </w:p>
        </w:tc>
        <w:tc>
          <w:tcPr>
            <w:tcW w:w="1134" w:type="dxa"/>
            <w:tcBorders>
              <w:left w:val="single" w:sz="4" w:space="0" w:color="auto"/>
              <w:bottom w:val="nil"/>
              <w:right w:val="single" w:sz="4" w:space="0" w:color="auto"/>
            </w:tcBorders>
            <w:vAlign w:val="bottom"/>
          </w:tcPr>
          <w:p w14:paraId="05B8B485" w14:textId="77777777" w:rsidR="00682968" w:rsidRPr="006774D3" w:rsidRDefault="00682968" w:rsidP="00F77C66">
            <w:pPr>
              <w:keepNext/>
              <w:rPr>
                <w:color w:val="000000"/>
                <w:sz w:val="22"/>
                <w:szCs w:val="22"/>
              </w:rPr>
            </w:pPr>
            <w:r w:rsidRPr="006774D3">
              <w:rPr>
                <w:color w:val="000000"/>
                <w:sz w:val="22"/>
                <w:szCs w:val="22"/>
              </w:rPr>
              <w:t>20,7</w:t>
            </w:r>
          </w:p>
        </w:tc>
        <w:tc>
          <w:tcPr>
            <w:tcW w:w="1984" w:type="dxa"/>
            <w:tcBorders>
              <w:left w:val="single" w:sz="4" w:space="0" w:color="auto"/>
              <w:bottom w:val="nil"/>
              <w:right w:val="single" w:sz="4" w:space="0" w:color="auto"/>
            </w:tcBorders>
            <w:vAlign w:val="bottom"/>
          </w:tcPr>
          <w:p w14:paraId="05B8B486" w14:textId="77777777" w:rsidR="00682968" w:rsidRPr="006774D3" w:rsidRDefault="00682968" w:rsidP="00F77C66">
            <w:pPr>
              <w:keepNext/>
              <w:rPr>
                <w:color w:val="000000"/>
                <w:sz w:val="22"/>
                <w:szCs w:val="22"/>
              </w:rPr>
            </w:pPr>
            <w:r w:rsidRPr="006774D3">
              <w:rPr>
                <w:color w:val="000000"/>
                <w:sz w:val="22"/>
                <w:szCs w:val="22"/>
              </w:rPr>
              <w:t>0/52 samanborið við 2/63</w:t>
            </w:r>
          </w:p>
        </w:tc>
        <w:tc>
          <w:tcPr>
            <w:tcW w:w="1701" w:type="dxa"/>
            <w:tcBorders>
              <w:left w:val="single" w:sz="4" w:space="0" w:color="auto"/>
              <w:bottom w:val="nil"/>
              <w:right w:val="single" w:sz="4" w:space="0" w:color="auto"/>
            </w:tcBorders>
            <w:vAlign w:val="bottom"/>
          </w:tcPr>
          <w:p w14:paraId="05B8B487" w14:textId="77777777" w:rsidR="00682968" w:rsidRPr="006774D3" w:rsidRDefault="004A396D" w:rsidP="00F77C66">
            <w:pPr>
              <w:keepNext/>
              <w:rPr>
                <w:color w:val="000000"/>
                <w:sz w:val="22"/>
                <w:szCs w:val="22"/>
              </w:rPr>
            </w:pPr>
            <w:r w:rsidRPr="006774D3">
              <w:rPr>
                <w:sz w:val="22"/>
                <w:szCs w:val="22"/>
              </w:rPr>
              <w:t>E.Á.</w:t>
            </w:r>
          </w:p>
        </w:tc>
        <w:tc>
          <w:tcPr>
            <w:tcW w:w="1534" w:type="dxa"/>
            <w:tcBorders>
              <w:left w:val="single" w:sz="4" w:space="0" w:color="auto"/>
              <w:bottom w:val="nil"/>
              <w:right w:val="single" w:sz="4" w:space="0" w:color="auto"/>
            </w:tcBorders>
            <w:vAlign w:val="bottom"/>
          </w:tcPr>
          <w:p w14:paraId="05B8B488" w14:textId="77777777" w:rsidR="00682968" w:rsidRPr="006774D3" w:rsidRDefault="00682968" w:rsidP="00F77C66">
            <w:pPr>
              <w:keepNext/>
              <w:rPr>
                <w:color w:val="000000"/>
                <w:sz w:val="22"/>
                <w:szCs w:val="22"/>
              </w:rPr>
            </w:pPr>
            <w:r w:rsidRPr="006774D3">
              <w:rPr>
                <w:color w:val="000000"/>
                <w:sz w:val="22"/>
                <w:szCs w:val="22"/>
              </w:rPr>
              <w:t>100 samanborið við 98</w:t>
            </w:r>
            <w:r w:rsidR="004A396D" w:rsidRPr="006774D3">
              <w:rPr>
                <w:color w:val="000000"/>
                <w:sz w:val="22"/>
                <w:szCs w:val="22"/>
              </w:rPr>
              <w:t>,</w:t>
            </w:r>
            <w:r w:rsidRPr="006774D3">
              <w:rPr>
                <w:color w:val="000000"/>
                <w:sz w:val="22"/>
                <w:szCs w:val="22"/>
              </w:rPr>
              <w:t>1</w:t>
            </w:r>
          </w:p>
        </w:tc>
        <w:tc>
          <w:tcPr>
            <w:tcW w:w="1418" w:type="dxa"/>
            <w:tcBorders>
              <w:left w:val="single" w:sz="4" w:space="0" w:color="auto"/>
              <w:bottom w:val="nil"/>
            </w:tcBorders>
            <w:vAlign w:val="bottom"/>
          </w:tcPr>
          <w:p w14:paraId="05B8B489" w14:textId="77777777" w:rsidR="00682968" w:rsidRPr="006774D3" w:rsidRDefault="00682968" w:rsidP="00F77C66">
            <w:pPr>
              <w:keepNext/>
              <w:rPr>
                <w:color w:val="000000"/>
                <w:sz w:val="22"/>
                <w:szCs w:val="22"/>
              </w:rPr>
            </w:pPr>
            <w:r w:rsidRPr="006774D3">
              <w:rPr>
                <w:color w:val="000000"/>
                <w:sz w:val="22"/>
                <w:szCs w:val="22"/>
              </w:rPr>
              <w:t>100 samanborið við 93</w:t>
            </w:r>
            <w:r w:rsidR="004A396D" w:rsidRPr="006774D3">
              <w:rPr>
                <w:color w:val="000000"/>
                <w:sz w:val="22"/>
                <w:szCs w:val="22"/>
              </w:rPr>
              <w:t>,</w:t>
            </w:r>
            <w:r w:rsidRPr="006774D3">
              <w:rPr>
                <w:color w:val="000000"/>
                <w:sz w:val="22"/>
                <w:szCs w:val="22"/>
              </w:rPr>
              <w:t>0</w:t>
            </w:r>
          </w:p>
        </w:tc>
      </w:tr>
      <w:tr w:rsidR="004A396D" w:rsidRPr="006774D3" w14:paraId="05B8B492" w14:textId="77777777">
        <w:tc>
          <w:tcPr>
            <w:tcW w:w="959" w:type="dxa"/>
            <w:vMerge/>
            <w:shd w:val="clear" w:color="auto" w:fill="auto"/>
          </w:tcPr>
          <w:p w14:paraId="05B8B48B" w14:textId="77777777" w:rsidR="00682968" w:rsidRPr="006774D3" w:rsidRDefault="00682968" w:rsidP="00F77C66">
            <w:pPr>
              <w:keepNext/>
              <w:rPr>
                <w:color w:val="000000"/>
                <w:sz w:val="22"/>
                <w:szCs w:val="22"/>
              </w:rPr>
            </w:pPr>
          </w:p>
        </w:tc>
        <w:tc>
          <w:tcPr>
            <w:tcW w:w="1301" w:type="dxa"/>
            <w:tcBorders>
              <w:top w:val="nil"/>
              <w:bottom w:val="nil"/>
              <w:right w:val="single" w:sz="4" w:space="0" w:color="auto"/>
            </w:tcBorders>
            <w:vAlign w:val="bottom"/>
          </w:tcPr>
          <w:p w14:paraId="05B8B48C" w14:textId="77777777" w:rsidR="00682968" w:rsidRPr="006774D3" w:rsidRDefault="00682968" w:rsidP="00F77C66">
            <w:pPr>
              <w:keepNext/>
              <w:rPr>
                <w:color w:val="000000"/>
                <w:sz w:val="22"/>
                <w:szCs w:val="22"/>
              </w:rPr>
            </w:pPr>
            <w:r w:rsidRPr="006774D3">
              <w:rPr>
                <w:color w:val="000000"/>
                <w:sz w:val="22"/>
                <w:szCs w:val="22"/>
              </w:rPr>
              <w:t>Lágt</w:t>
            </w:r>
          </w:p>
        </w:tc>
        <w:tc>
          <w:tcPr>
            <w:tcW w:w="1134" w:type="dxa"/>
            <w:tcBorders>
              <w:top w:val="nil"/>
              <w:left w:val="single" w:sz="4" w:space="0" w:color="auto"/>
              <w:bottom w:val="nil"/>
              <w:right w:val="single" w:sz="4" w:space="0" w:color="auto"/>
            </w:tcBorders>
            <w:vAlign w:val="bottom"/>
          </w:tcPr>
          <w:p w14:paraId="05B8B48D" w14:textId="77777777" w:rsidR="00682968" w:rsidRPr="006774D3" w:rsidRDefault="00682968" w:rsidP="00F77C66">
            <w:pPr>
              <w:keepNext/>
              <w:rPr>
                <w:color w:val="000000"/>
                <w:sz w:val="22"/>
                <w:szCs w:val="22"/>
              </w:rPr>
            </w:pPr>
            <w:r w:rsidRPr="006774D3">
              <w:rPr>
                <w:color w:val="000000"/>
                <w:sz w:val="22"/>
                <w:szCs w:val="22"/>
              </w:rPr>
              <w:t>25,0</w:t>
            </w:r>
          </w:p>
        </w:tc>
        <w:tc>
          <w:tcPr>
            <w:tcW w:w="1984" w:type="dxa"/>
            <w:tcBorders>
              <w:top w:val="nil"/>
              <w:left w:val="single" w:sz="4" w:space="0" w:color="auto"/>
              <w:bottom w:val="nil"/>
              <w:right w:val="single" w:sz="4" w:space="0" w:color="auto"/>
            </w:tcBorders>
            <w:vAlign w:val="bottom"/>
          </w:tcPr>
          <w:p w14:paraId="05B8B48E" w14:textId="77777777" w:rsidR="00682968" w:rsidRPr="006774D3" w:rsidRDefault="00682968" w:rsidP="00F77C66">
            <w:pPr>
              <w:keepNext/>
              <w:rPr>
                <w:color w:val="000000"/>
                <w:sz w:val="22"/>
                <w:szCs w:val="22"/>
              </w:rPr>
            </w:pPr>
            <w:r w:rsidRPr="006774D3">
              <w:rPr>
                <w:color w:val="000000"/>
                <w:sz w:val="22"/>
                <w:szCs w:val="22"/>
              </w:rPr>
              <w:t>2/70 samanborið við 0/69</w:t>
            </w:r>
          </w:p>
        </w:tc>
        <w:tc>
          <w:tcPr>
            <w:tcW w:w="1701" w:type="dxa"/>
            <w:tcBorders>
              <w:top w:val="nil"/>
              <w:left w:val="single" w:sz="4" w:space="0" w:color="auto"/>
              <w:bottom w:val="nil"/>
              <w:right w:val="single" w:sz="4" w:space="0" w:color="auto"/>
            </w:tcBorders>
            <w:vAlign w:val="bottom"/>
          </w:tcPr>
          <w:p w14:paraId="05B8B48F" w14:textId="77777777" w:rsidR="00682968" w:rsidRPr="006774D3" w:rsidRDefault="004A396D" w:rsidP="00F77C66">
            <w:pPr>
              <w:keepNext/>
              <w:rPr>
                <w:color w:val="000000"/>
                <w:sz w:val="22"/>
                <w:szCs w:val="22"/>
              </w:rPr>
            </w:pPr>
            <w:r w:rsidRPr="006774D3">
              <w:rPr>
                <w:sz w:val="22"/>
                <w:szCs w:val="22"/>
              </w:rPr>
              <w:t>E.Á.</w:t>
            </w:r>
          </w:p>
        </w:tc>
        <w:tc>
          <w:tcPr>
            <w:tcW w:w="1534" w:type="dxa"/>
            <w:tcBorders>
              <w:top w:val="nil"/>
              <w:left w:val="single" w:sz="4" w:space="0" w:color="auto"/>
              <w:bottom w:val="nil"/>
              <w:right w:val="single" w:sz="4" w:space="0" w:color="auto"/>
            </w:tcBorders>
            <w:vAlign w:val="bottom"/>
          </w:tcPr>
          <w:p w14:paraId="05B8B490" w14:textId="77777777" w:rsidR="00682968" w:rsidRPr="006774D3" w:rsidRDefault="00682968" w:rsidP="00F77C66">
            <w:pPr>
              <w:keepNext/>
              <w:rPr>
                <w:color w:val="000000"/>
                <w:sz w:val="22"/>
                <w:szCs w:val="22"/>
              </w:rPr>
            </w:pPr>
            <w:r w:rsidRPr="006774D3">
              <w:rPr>
                <w:color w:val="000000"/>
                <w:sz w:val="22"/>
                <w:szCs w:val="22"/>
              </w:rPr>
              <w:t>100 samanborið við 100</w:t>
            </w:r>
          </w:p>
        </w:tc>
        <w:tc>
          <w:tcPr>
            <w:tcW w:w="1418" w:type="dxa"/>
            <w:tcBorders>
              <w:top w:val="nil"/>
              <w:left w:val="single" w:sz="4" w:space="0" w:color="auto"/>
              <w:bottom w:val="nil"/>
            </w:tcBorders>
            <w:vAlign w:val="bottom"/>
          </w:tcPr>
          <w:p w14:paraId="05B8B491" w14:textId="77777777" w:rsidR="00682968" w:rsidRPr="006774D3" w:rsidRDefault="00682968" w:rsidP="00F77C66">
            <w:pPr>
              <w:keepNext/>
              <w:rPr>
                <w:color w:val="000000"/>
                <w:sz w:val="22"/>
                <w:szCs w:val="22"/>
              </w:rPr>
            </w:pPr>
            <w:r w:rsidRPr="006774D3">
              <w:rPr>
                <w:color w:val="000000"/>
                <w:sz w:val="22"/>
                <w:szCs w:val="22"/>
              </w:rPr>
              <w:t>97</w:t>
            </w:r>
            <w:r w:rsidR="004A396D" w:rsidRPr="006774D3">
              <w:rPr>
                <w:color w:val="000000"/>
                <w:sz w:val="22"/>
                <w:szCs w:val="22"/>
              </w:rPr>
              <w:t>,</w:t>
            </w:r>
            <w:r w:rsidRPr="006774D3">
              <w:rPr>
                <w:color w:val="000000"/>
                <w:sz w:val="22"/>
                <w:szCs w:val="22"/>
              </w:rPr>
              <w:t>8 samanborið við 100</w:t>
            </w:r>
          </w:p>
        </w:tc>
      </w:tr>
      <w:tr w:rsidR="004A396D" w:rsidRPr="006774D3" w14:paraId="05B8B49A" w14:textId="77777777">
        <w:tc>
          <w:tcPr>
            <w:tcW w:w="959" w:type="dxa"/>
            <w:vMerge/>
            <w:shd w:val="clear" w:color="auto" w:fill="auto"/>
          </w:tcPr>
          <w:p w14:paraId="05B8B493" w14:textId="77777777" w:rsidR="00682968" w:rsidRPr="006774D3" w:rsidRDefault="00682968" w:rsidP="00F77C66">
            <w:pPr>
              <w:keepNext/>
              <w:rPr>
                <w:b/>
                <w:color w:val="000000"/>
                <w:sz w:val="22"/>
                <w:szCs w:val="22"/>
              </w:rPr>
            </w:pPr>
          </w:p>
        </w:tc>
        <w:tc>
          <w:tcPr>
            <w:tcW w:w="1301" w:type="dxa"/>
            <w:tcBorders>
              <w:top w:val="nil"/>
              <w:bottom w:val="nil"/>
              <w:right w:val="single" w:sz="4" w:space="0" w:color="auto"/>
            </w:tcBorders>
            <w:vAlign w:val="bottom"/>
          </w:tcPr>
          <w:p w14:paraId="05B8B494" w14:textId="77777777" w:rsidR="00682968" w:rsidRPr="006774D3" w:rsidRDefault="00682968" w:rsidP="00F77C66">
            <w:pPr>
              <w:keepNext/>
              <w:rPr>
                <w:color w:val="000000"/>
                <w:sz w:val="22"/>
                <w:szCs w:val="22"/>
              </w:rPr>
            </w:pPr>
            <w:r w:rsidRPr="006774D3">
              <w:rPr>
                <w:color w:val="000000"/>
                <w:sz w:val="22"/>
                <w:szCs w:val="22"/>
              </w:rPr>
              <w:t>Í meðallagi hátt</w:t>
            </w:r>
          </w:p>
        </w:tc>
        <w:tc>
          <w:tcPr>
            <w:tcW w:w="1134" w:type="dxa"/>
            <w:tcBorders>
              <w:top w:val="nil"/>
              <w:left w:val="single" w:sz="4" w:space="0" w:color="auto"/>
              <w:bottom w:val="nil"/>
              <w:right w:val="single" w:sz="4" w:space="0" w:color="auto"/>
            </w:tcBorders>
            <w:vAlign w:val="bottom"/>
          </w:tcPr>
          <w:p w14:paraId="05B8B495" w14:textId="77777777" w:rsidR="00682968" w:rsidRPr="006774D3" w:rsidRDefault="00682968" w:rsidP="00F77C66">
            <w:pPr>
              <w:keepNext/>
              <w:rPr>
                <w:color w:val="000000"/>
                <w:sz w:val="22"/>
                <w:szCs w:val="22"/>
              </w:rPr>
            </w:pPr>
            <w:r w:rsidRPr="006774D3">
              <w:rPr>
                <w:color w:val="000000"/>
                <w:sz w:val="22"/>
                <w:szCs w:val="22"/>
              </w:rPr>
              <w:t>24,6</w:t>
            </w:r>
          </w:p>
        </w:tc>
        <w:tc>
          <w:tcPr>
            <w:tcW w:w="1984" w:type="dxa"/>
            <w:tcBorders>
              <w:top w:val="nil"/>
              <w:left w:val="single" w:sz="4" w:space="0" w:color="auto"/>
              <w:bottom w:val="nil"/>
              <w:right w:val="single" w:sz="4" w:space="0" w:color="auto"/>
            </w:tcBorders>
            <w:vAlign w:val="bottom"/>
          </w:tcPr>
          <w:p w14:paraId="05B8B496" w14:textId="77777777" w:rsidR="00682968" w:rsidRPr="006774D3" w:rsidRDefault="00682968" w:rsidP="00F77C66">
            <w:pPr>
              <w:keepNext/>
              <w:rPr>
                <w:color w:val="000000"/>
                <w:sz w:val="22"/>
                <w:szCs w:val="22"/>
              </w:rPr>
            </w:pPr>
            <w:r w:rsidRPr="006774D3">
              <w:rPr>
                <w:color w:val="000000"/>
                <w:sz w:val="22"/>
                <w:szCs w:val="22"/>
              </w:rPr>
              <w:t>2/70 samanborið við 11/67</w:t>
            </w:r>
          </w:p>
        </w:tc>
        <w:tc>
          <w:tcPr>
            <w:tcW w:w="1701" w:type="dxa"/>
            <w:tcBorders>
              <w:top w:val="nil"/>
              <w:left w:val="single" w:sz="4" w:space="0" w:color="auto"/>
              <w:bottom w:val="nil"/>
              <w:right w:val="single" w:sz="4" w:space="0" w:color="auto"/>
            </w:tcBorders>
            <w:vAlign w:val="bottom"/>
          </w:tcPr>
          <w:p w14:paraId="05B8B497" w14:textId="77777777" w:rsidR="00682968" w:rsidRPr="006774D3" w:rsidRDefault="00682968" w:rsidP="00F77C66">
            <w:pPr>
              <w:keepNext/>
              <w:rPr>
                <w:color w:val="000000"/>
                <w:sz w:val="22"/>
                <w:szCs w:val="22"/>
              </w:rPr>
            </w:pPr>
            <w:r w:rsidRPr="006774D3">
              <w:rPr>
                <w:color w:val="000000"/>
                <w:sz w:val="22"/>
                <w:szCs w:val="22"/>
              </w:rPr>
              <w:t>0</w:t>
            </w:r>
            <w:r w:rsidR="004A396D" w:rsidRPr="006774D3">
              <w:rPr>
                <w:color w:val="000000"/>
                <w:sz w:val="22"/>
                <w:szCs w:val="22"/>
              </w:rPr>
              <w:t>,</w:t>
            </w:r>
            <w:r w:rsidRPr="006774D3">
              <w:rPr>
                <w:color w:val="000000"/>
                <w:sz w:val="22"/>
                <w:szCs w:val="22"/>
              </w:rPr>
              <w:t>16 (0</w:t>
            </w:r>
            <w:r w:rsidR="004A396D" w:rsidRPr="006774D3">
              <w:rPr>
                <w:color w:val="000000"/>
                <w:sz w:val="22"/>
                <w:szCs w:val="22"/>
              </w:rPr>
              <w:t>,</w:t>
            </w:r>
            <w:r w:rsidRPr="006774D3">
              <w:rPr>
                <w:color w:val="000000"/>
                <w:sz w:val="22"/>
                <w:szCs w:val="22"/>
              </w:rPr>
              <w:t>03; 0</w:t>
            </w:r>
            <w:r w:rsidR="004A396D" w:rsidRPr="006774D3">
              <w:rPr>
                <w:color w:val="000000"/>
                <w:sz w:val="22"/>
                <w:szCs w:val="22"/>
              </w:rPr>
              <w:t>,</w:t>
            </w:r>
            <w:r w:rsidRPr="006774D3">
              <w:rPr>
                <w:color w:val="000000"/>
                <w:sz w:val="22"/>
                <w:szCs w:val="22"/>
              </w:rPr>
              <w:t>70)</w:t>
            </w:r>
          </w:p>
        </w:tc>
        <w:tc>
          <w:tcPr>
            <w:tcW w:w="1534" w:type="dxa"/>
            <w:tcBorders>
              <w:top w:val="nil"/>
              <w:left w:val="single" w:sz="4" w:space="0" w:color="auto"/>
              <w:bottom w:val="nil"/>
              <w:right w:val="single" w:sz="4" w:space="0" w:color="auto"/>
            </w:tcBorders>
            <w:vAlign w:val="bottom"/>
          </w:tcPr>
          <w:p w14:paraId="05B8B498" w14:textId="77777777" w:rsidR="00682968" w:rsidRPr="006774D3" w:rsidRDefault="00682968" w:rsidP="00F77C66">
            <w:pPr>
              <w:keepNext/>
              <w:rPr>
                <w:color w:val="000000"/>
                <w:sz w:val="22"/>
                <w:szCs w:val="22"/>
              </w:rPr>
            </w:pPr>
            <w:r w:rsidRPr="006774D3">
              <w:rPr>
                <w:color w:val="000000"/>
                <w:sz w:val="22"/>
                <w:szCs w:val="22"/>
              </w:rPr>
              <w:t>97</w:t>
            </w:r>
            <w:r w:rsidR="004A396D" w:rsidRPr="006774D3">
              <w:rPr>
                <w:color w:val="000000"/>
                <w:sz w:val="22"/>
                <w:szCs w:val="22"/>
              </w:rPr>
              <w:t>,</w:t>
            </w:r>
            <w:r w:rsidRPr="006774D3">
              <w:rPr>
                <w:color w:val="000000"/>
                <w:sz w:val="22"/>
                <w:szCs w:val="22"/>
              </w:rPr>
              <w:t>9 samanborið við 90</w:t>
            </w:r>
            <w:r w:rsidR="004A396D" w:rsidRPr="006774D3">
              <w:rPr>
                <w:color w:val="000000"/>
                <w:sz w:val="22"/>
                <w:szCs w:val="22"/>
              </w:rPr>
              <w:t>,</w:t>
            </w:r>
            <w:r w:rsidRPr="006774D3">
              <w:rPr>
                <w:color w:val="000000"/>
                <w:sz w:val="22"/>
                <w:szCs w:val="22"/>
              </w:rPr>
              <w:t>8</w:t>
            </w:r>
          </w:p>
        </w:tc>
        <w:tc>
          <w:tcPr>
            <w:tcW w:w="1418" w:type="dxa"/>
            <w:tcBorders>
              <w:top w:val="nil"/>
              <w:left w:val="single" w:sz="4" w:space="0" w:color="auto"/>
              <w:bottom w:val="nil"/>
            </w:tcBorders>
            <w:vAlign w:val="bottom"/>
          </w:tcPr>
          <w:p w14:paraId="05B8B499" w14:textId="77777777" w:rsidR="00682968" w:rsidRPr="006774D3" w:rsidRDefault="00682968" w:rsidP="00F77C66">
            <w:pPr>
              <w:keepNext/>
              <w:rPr>
                <w:color w:val="000000"/>
                <w:sz w:val="22"/>
                <w:szCs w:val="22"/>
              </w:rPr>
            </w:pPr>
            <w:r w:rsidRPr="006774D3">
              <w:rPr>
                <w:color w:val="000000"/>
                <w:sz w:val="22"/>
                <w:szCs w:val="22"/>
              </w:rPr>
              <w:t>97</w:t>
            </w:r>
            <w:r w:rsidR="004A396D" w:rsidRPr="006774D3">
              <w:rPr>
                <w:color w:val="000000"/>
                <w:sz w:val="22"/>
                <w:szCs w:val="22"/>
              </w:rPr>
              <w:t>,</w:t>
            </w:r>
            <w:r w:rsidRPr="006774D3">
              <w:rPr>
                <w:color w:val="000000"/>
                <w:sz w:val="22"/>
                <w:szCs w:val="22"/>
              </w:rPr>
              <w:t>9 samanborið við 73</w:t>
            </w:r>
            <w:r w:rsidR="004A396D" w:rsidRPr="006774D3">
              <w:rPr>
                <w:color w:val="000000"/>
                <w:sz w:val="22"/>
                <w:szCs w:val="22"/>
              </w:rPr>
              <w:t>,</w:t>
            </w:r>
            <w:r w:rsidRPr="006774D3">
              <w:rPr>
                <w:color w:val="000000"/>
                <w:sz w:val="22"/>
                <w:szCs w:val="22"/>
              </w:rPr>
              <w:t>3</w:t>
            </w:r>
          </w:p>
        </w:tc>
      </w:tr>
      <w:tr w:rsidR="004A396D" w:rsidRPr="006774D3" w14:paraId="05B8B4A2" w14:textId="77777777">
        <w:tc>
          <w:tcPr>
            <w:tcW w:w="959" w:type="dxa"/>
            <w:vMerge/>
            <w:tcBorders>
              <w:bottom w:val="single" w:sz="4" w:space="0" w:color="auto"/>
            </w:tcBorders>
            <w:shd w:val="clear" w:color="auto" w:fill="auto"/>
          </w:tcPr>
          <w:p w14:paraId="05B8B49B" w14:textId="77777777" w:rsidR="00682968" w:rsidRPr="006774D3" w:rsidRDefault="00682968" w:rsidP="00F77C66">
            <w:pPr>
              <w:keepNext/>
              <w:rPr>
                <w:color w:val="000000"/>
                <w:sz w:val="22"/>
                <w:szCs w:val="22"/>
              </w:rPr>
            </w:pPr>
          </w:p>
        </w:tc>
        <w:tc>
          <w:tcPr>
            <w:tcW w:w="1301" w:type="dxa"/>
            <w:tcBorders>
              <w:top w:val="nil"/>
              <w:bottom w:val="single" w:sz="4" w:space="0" w:color="auto"/>
              <w:right w:val="single" w:sz="4" w:space="0" w:color="auto"/>
            </w:tcBorders>
            <w:vAlign w:val="bottom"/>
          </w:tcPr>
          <w:p w14:paraId="05B8B49C" w14:textId="77777777" w:rsidR="00682968" w:rsidRPr="006774D3" w:rsidRDefault="00682968" w:rsidP="00F77C66">
            <w:pPr>
              <w:keepNext/>
              <w:rPr>
                <w:color w:val="000000"/>
                <w:sz w:val="22"/>
                <w:szCs w:val="22"/>
              </w:rPr>
            </w:pPr>
            <w:r w:rsidRPr="006774D3">
              <w:rPr>
                <w:color w:val="000000"/>
                <w:sz w:val="22"/>
                <w:szCs w:val="22"/>
              </w:rPr>
              <w:t>Hátt</w:t>
            </w:r>
          </w:p>
        </w:tc>
        <w:tc>
          <w:tcPr>
            <w:tcW w:w="1134" w:type="dxa"/>
            <w:tcBorders>
              <w:top w:val="nil"/>
              <w:left w:val="single" w:sz="4" w:space="0" w:color="auto"/>
              <w:bottom w:val="single" w:sz="4" w:space="0" w:color="auto"/>
              <w:right w:val="single" w:sz="4" w:space="0" w:color="auto"/>
            </w:tcBorders>
            <w:vAlign w:val="bottom"/>
          </w:tcPr>
          <w:p w14:paraId="05B8B49D" w14:textId="77777777" w:rsidR="00682968" w:rsidRPr="006774D3" w:rsidRDefault="00682968" w:rsidP="00F77C66">
            <w:pPr>
              <w:keepNext/>
              <w:rPr>
                <w:color w:val="000000"/>
                <w:sz w:val="22"/>
                <w:szCs w:val="22"/>
              </w:rPr>
            </w:pPr>
            <w:r w:rsidRPr="006774D3">
              <w:rPr>
                <w:color w:val="000000"/>
                <w:sz w:val="22"/>
                <w:szCs w:val="22"/>
              </w:rPr>
              <w:t>29,7</w:t>
            </w:r>
          </w:p>
        </w:tc>
        <w:tc>
          <w:tcPr>
            <w:tcW w:w="1984" w:type="dxa"/>
            <w:tcBorders>
              <w:top w:val="nil"/>
              <w:left w:val="single" w:sz="4" w:space="0" w:color="auto"/>
              <w:bottom w:val="single" w:sz="4" w:space="0" w:color="auto"/>
              <w:right w:val="single" w:sz="4" w:space="0" w:color="auto"/>
            </w:tcBorders>
            <w:vAlign w:val="bottom"/>
          </w:tcPr>
          <w:p w14:paraId="05B8B49E" w14:textId="77777777" w:rsidR="00682968" w:rsidRPr="006774D3" w:rsidRDefault="00682968" w:rsidP="00F77C66">
            <w:pPr>
              <w:keepNext/>
              <w:rPr>
                <w:color w:val="000000"/>
                <w:sz w:val="22"/>
                <w:szCs w:val="22"/>
              </w:rPr>
            </w:pPr>
            <w:r w:rsidRPr="006774D3">
              <w:rPr>
                <w:color w:val="000000"/>
                <w:sz w:val="22"/>
                <w:szCs w:val="22"/>
              </w:rPr>
              <w:t>16/84 samanborið við 39/81</w:t>
            </w:r>
          </w:p>
        </w:tc>
        <w:tc>
          <w:tcPr>
            <w:tcW w:w="1701" w:type="dxa"/>
            <w:tcBorders>
              <w:top w:val="nil"/>
              <w:left w:val="single" w:sz="4" w:space="0" w:color="auto"/>
              <w:bottom w:val="single" w:sz="4" w:space="0" w:color="auto"/>
              <w:right w:val="single" w:sz="4" w:space="0" w:color="auto"/>
            </w:tcBorders>
            <w:vAlign w:val="bottom"/>
          </w:tcPr>
          <w:p w14:paraId="05B8B49F" w14:textId="77777777" w:rsidR="00682968" w:rsidRPr="006774D3" w:rsidRDefault="00682968" w:rsidP="00F77C66">
            <w:pPr>
              <w:keepNext/>
              <w:rPr>
                <w:color w:val="000000"/>
                <w:sz w:val="22"/>
                <w:szCs w:val="22"/>
              </w:rPr>
            </w:pPr>
            <w:r w:rsidRPr="006774D3">
              <w:rPr>
                <w:color w:val="000000"/>
                <w:sz w:val="22"/>
                <w:szCs w:val="22"/>
              </w:rPr>
              <w:t>0</w:t>
            </w:r>
            <w:r w:rsidR="004A396D" w:rsidRPr="006774D3">
              <w:rPr>
                <w:color w:val="000000"/>
                <w:sz w:val="22"/>
                <w:szCs w:val="22"/>
              </w:rPr>
              <w:t>,</w:t>
            </w:r>
            <w:r w:rsidRPr="006774D3">
              <w:rPr>
                <w:color w:val="000000"/>
                <w:sz w:val="22"/>
                <w:szCs w:val="22"/>
              </w:rPr>
              <w:t>27 (0</w:t>
            </w:r>
            <w:r w:rsidR="004A396D" w:rsidRPr="006774D3">
              <w:rPr>
                <w:color w:val="000000"/>
                <w:sz w:val="22"/>
                <w:szCs w:val="22"/>
              </w:rPr>
              <w:t>,</w:t>
            </w:r>
            <w:r w:rsidRPr="006774D3">
              <w:rPr>
                <w:color w:val="000000"/>
                <w:sz w:val="22"/>
                <w:szCs w:val="22"/>
              </w:rPr>
              <w:t>15; 0</w:t>
            </w:r>
            <w:r w:rsidR="004A396D" w:rsidRPr="006774D3">
              <w:rPr>
                <w:color w:val="000000"/>
                <w:sz w:val="22"/>
                <w:szCs w:val="22"/>
              </w:rPr>
              <w:t>,</w:t>
            </w:r>
            <w:r w:rsidRPr="006774D3">
              <w:rPr>
                <w:color w:val="000000"/>
                <w:sz w:val="22"/>
                <w:szCs w:val="22"/>
              </w:rPr>
              <w:t>48)</w:t>
            </w:r>
          </w:p>
        </w:tc>
        <w:tc>
          <w:tcPr>
            <w:tcW w:w="1534" w:type="dxa"/>
            <w:tcBorders>
              <w:top w:val="nil"/>
              <w:left w:val="single" w:sz="4" w:space="0" w:color="auto"/>
              <w:bottom w:val="single" w:sz="4" w:space="0" w:color="auto"/>
              <w:right w:val="single" w:sz="4" w:space="0" w:color="auto"/>
            </w:tcBorders>
            <w:vAlign w:val="bottom"/>
          </w:tcPr>
          <w:p w14:paraId="05B8B4A0" w14:textId="77777777" w:rsidR="00682968" w:rsidRPr="006774D3" w:rsidRDefault="00682968" w:rsidP="00F77C66">
            <w:pPr>
              <w:keepNext/>
              <w:rPr>
                <w:color w:val="000000"/>
                <w:sz w:val="22"/>
                <w:szCs w:val="22"/>
              </w:rPr>
            </w:pPr>
            <w:r w:rsidRPr="006774D3">
              <w:rPr>
                <w:color w:val="000000"/>
                <w:sz w:val="22"/>
                <w:szCs w:val="22"/>
              </w:rPr>
              <w:t>98</w:t>
            </w:r>
            <w:r w:rsidR="004A396D" w:rsidRPr="006774D3">
              <w:rPr>
                <w:color w:val="000000"/>
                <w:sz w:val="22"/>
                <w:szCs w:val="22"/>
              </w:rPr>
              <w:t>,</w:t>
            </w:r>
            <w:r w:rsidRPr="006774D3">
              <w:rPr>
                <w:color w:val="000000"/>
                <w:sz w:val="22"/>
                <w:szCs w:val="22"/>
              </w:rPr>
              <w:t>7 samanborið við 56</w:t>
            </w:r>
            <w:r w:rsidR="004A396D" w:rsidRPr="006774D3">
              <w:rPr>
                <w:color w:val="000000"/>
                <w:sz w:val="22"/>
                <w:szCs w:val="22"/>
              </w:rPr>
              <w:t>,</w:t>
            </w:r>
            <w:r w:rsidRPr="006774D3">
              <w:rPr>
                <w:color w:val="000000"/>
                <w:sz w:val="22"/>
                <w:szCs w:val="22"/>
              </w:rPr>
              <w:t>1</w:t>
            </w:r>
          </w:p>
        </w:tc>
        <w:tc>
          <w:tcPr>
            <w:tcW w:w="1418" w:type="dxa"/>
            <w:tcBorders>
              <w:top w:val="nil"/>
              <w:left w:val="single" w:sz="4" w:space="0" w:color="auto"/>
              <w:bottom w:val="single" w:sz="4" w:space="0" w:color="auto"/>
            </w:tcBorders>
            <w:vAlign w:val="bottom"/>
          </w:tcPr>
          <w:p w14:paraId="05B8B4A1" w14:textId="77777777" w:rsidR="00682968" w:rsidRPr="006774D3" w:rsidRDefault="00682968" w:rsidP="00F77C66">
            <w:pPr>
              <w:keepNext/>
              <w:rPr>
                <w:color w:val="000000"/>
                <w:sz w:val="22"/>
                <w:szCs w:val="22"/>
              </w:rPr>
            </w:pPr>
            <w:r w:rsidRPr="006774D3">
              <w:rPr>
                <w:color w:val="000000"/>
                <w:sz w:val="22"/>
                <w:szCs w:val="22"/>
              </w:rPr>
              <w:t>79</w:t>
            </w:r>
            <w:r w:rsidR="004A396D" w:rsidRPr="006774D3">
              <w:rPr>
                <w:color w:val="000000"/>
                <w:sz w:val="22"/>
                <w:szCs w:val="22"/>
              </w:rPr>
              <w:t>,</w:t>
            </w:r>
            <w:r w:rsidRPr="006774D3">
              <w:rPr>
                <w:color w:val="000000"/>
                <w:sz w:val="22"/>
                <w:szCs w:val="22"/>
              </w:rPr>
              <w:t>9 samanborið við 41</w:t>
            </w:r>
            <w:r w:rsidR="004A396D" w:rsidRPr="006774D3">
              <w:rPr>
                <w:color w:val="000000"/>
                <w:sz w:val="22"/>
                <w:szCs w:val="22"/>
              </w:rPr>
              <w:t>,</w:t>
            </w:r>
            <w:r w:rsidRPr="006774D3">
              <w:rPr>
                <w:color w:val="000000"/>
                <w:sz w:val="22"/>
                <w:szCs w:val="22"/>
              </w:rPr>
              <w:t>5</w:t>
            </w:r>
          </w:p>
        </w:tc>
      </w:tr>
    </w:tbl>
    <w:p w14:paraId="05B8B4A3" w14:textId="77777777" w:rsidR="004A396D" w:rsidRPr="006774D3" w:rsidRDefault="004A396D" w:rsidP="00F77C66">
      <w:pPr>
        <w:jc w:val="both"/>
        <w:rPr>
          <w:sz w:val="22"/>
          <w:szCs w:val="22"/>
        </w:rPr>
      </w:pPr>
      <w:r w:rsidRPr="006774D3">
        <w:rPr>
          <w:sz w:val="22"/>
          <w:szCs w:val="22"/>
        </w:rPr>
        <w:t>* Heildareftirfylgnitímabil; E.Á. – Ekki ákvarðanlegt</w:t>
      </w:r>
    </w:p>
    <w:p w14:paraId="05B8B4A4" w14:textId="77777777" w:rsidR="00B069F7" w:rsidRPr="006774D3" w:rsidRDefault="00B069F7" w:rsidP="00F77C66">
      <w:pPr>
        <w:rPr>
          <w:color w:val="000000"/>
          <w:sz w:val="22"/>
          <w:szCs w:val="22"/>
        </w:rPr>
      </w:pPr>
    </w:p>
    <w:p w14:paraId="05B8B4A5" w14:textId="77777777" w:rsidR="00B069F7" w:rsidRPr="006774D3" w:rsidRDefault="00B069F7" w:rsidP="00F77C66">
      <w:pPr>
        <w:rPr>
          <w:iCs/>
          <w:color w:val="000000"/>
          <w:sz w:val="22"/>
          <w:szCs w:val="22"/>
        </w:rPr>
      </w:pPr>
      <w:r w:rsidRPr="006774D3">
        <w:rPr>
          <w:color w:val="000000"/>
          <w:sz w:val="22"/>
          <w:szCs w:val="22"/>
        </w:rPr>
        <w:t>Í annarri fjölsetra, opinni III. stigs rannsókn (SSG XVIII/AIO) var borin saman meðferð með 400 mg/sólarhring af Glivec í 12 mánuði og 36 mánuði hjá sjúklingum eftir að GIST æxlið hafði verið fjarlægt með skurðaðgerð og eitt af eftirfarandi: þvermál æxlis &gt; 5 cm og kjarnadeiling &gt; 5/50 HPF (</w:t>
      </w:r>
      <w:r w:rsidRPr="006774D3">
        <w:rPr>
          <w:iCs/>
          <w:color w:val="000000"/>
          <w:sz w:val="22"/>
          <w:szCs w:val="22"/>
        </w:rPr>
        <w:t xml:space="preserve">high power field); eða þvermál æxlis &gt; 10 cm og einhverja kjarnadeilingu eða æxli af hvaða stærð sem er með kjarnadeilingu &gt; 10/50 HPF eða æxli sem rofnað hafa inn í kviðarhol (peritoneal cavity). </w:t>
      </w:r>
      <w:r w:rsidRPr="006774D3">
        <w:rPr>
          <w:iCs/>
          <w:color w:val="000000"/>
          <w:sz w:val="22"/>
          <w:szCs w:val="22"/>
        </w:rPr>
        <w:lastRenderedPageBreak/>
        <w:t>Samtals 397 sjúklingar voru samþykktir og þeim slembiraðað í rannsóknina (199 sjúklingar í 12 mánaða hópinn og 198 sjúklingar í 36 mánaða hópinn), miðgildi aldurs var 61 ár (á bilinu 22 til 84 ár). Miðgildi tíma sem sjúklingunum var fylgt eftir var 54 mánuðir (frá því að slembiröðun fór fram og að lokadagsetningu), þar sem samtals 83 mánuðir liðu frá því að fyrsta sjúklingnum var slembiraðað og að lokadagsetningu.</w:t>
      </w:r>
    </w:p>
    <w:p w14:paraId="05B8B4A6" w14:textId="77777777" w:rsidR="00B069F7" w:rsidRPr="006774D3" w:rsidRDefault="00B069F7" w:rsidP="00F77C66">
      <w:pPr>
        <w:rPr>
          <w:iCs/>
          <w:color w:val="000000"/>
          <w:sz w:val="22"/>
          <w:szCs w:val="22"/>
        </w:rPr>
      </w:pPr>
    </w:p>
    <w:p w14:paraId="05B8B4A7" w14:textId="77777777" w:rsidR="00B069F7" w:rsidRPr="006774D3" w:rsidRDefault="00B069F7" w:rsidP="00F77C66">
      <w:pPr>
        <w:rPr>
          <w:color w:val="000000"/>
          <w:sz w:val="22"/>
          <w:szCs w:val="22"/>
        </w:rPr>
      </w:pPr>
      <w:r w:rsidRPr="006774D3">
        <w:rPr>
          <w:color w:val="000000"/>
          <w:sz w:val="22"/>
          <w:szCs w:val="22"/>
        </w:rPr>
        <w:t>Megin endapunktur rannsóknarinnar var lifun án endurkomu æxlis, skilgreint sem tímabilið frá þeim degi þegar slembiröðunin fór fram til þess dags sem æxli kom aftur fram eða viðkomandi lést af hvaða orsök sem var.</w:t>
      </w:r>
    </w:p>
    <w:p w14:paraId="05B8B4A8" w14:textId="77777777" w:rsidR="00B069F7" w:rsidRPr="006774D3" w:rsidRDefault="00B069F7" w:rsidP="00F77C66">
      <w:pPr>
        <w:rPr>
          <w:color w:val="000000"/>
          <w:sz w:val="22"/>
          <w:szCs w:val="22"/>
        </w:rPr>
      </w:pPr>
    </w:p>
    <w:p w14:paraId="05B8B4A9" w14:textId="77777777" w:rsidR="00B069F7" w:rsidRPr="006774D3" w:rsidRDefault="00B069F7" w:rsidP="00F77C66">
      <w:pPr>
        <w:rPr>
          <w:color w:val="000000"/>
          <w:sz w:val="22"/>
          <w:szCs w:val="22"/>
        </w:rPr>
      </w:pPr>
      <w:r w:rsidRPr="006774D3">
        <w:rPr>
          <w:color w:val="000000"/>
          <w:sz w:val="22"/>
          <w:szCs w:val="22"/>
        </w:rPr>
        <w:t>Meðferð með Glivec í 36 mánuði lengdi lifun án endurkomu æxlis marktækt samanborið við meðferð með Glivec í 12 mánuði (heildaráhættuhlutfall = 0,46 [0,32; 0,65], p&lt;0,0001</w:t>
      </w:r>
      <w:r w:rsidR="00C834E6" w:rsidRPr="006774D3">
        <w:rPr>
          <w:color w:val="000000"/>
          <w:sz w:val="22"/>
          <w:szCs w:val="22"/>
        </w:rPr>
        <w:t>)</w:t>
      </w:r>
      <w:r w:rsidRPr="006774D3">
        <w:rPr>
          <w:color w:val="000000"/>
          <w:sz w:val="22"/>
          <w:szCs w:val="22"/>
        </w:rPr>
        <w:t xml:space="preserve"> </w:t>
      </w:r>
      <w:r w:rsidR="00E924B0" w:rsidRPr="006774D3">
        <w:rPr>
          <w:color w:val="000000"/>
          <w:sz w:val="22"/>
          <w:szCs w:val="22"/>
        </w:rPr>
        <w:t>(tafla </w:t>
      </w:r>
      <w:r w:rsidR="00142B05" w:rsidRPr="006774D3">
        <w:rPr>
          <w:color w:val="000000"/>
          <w:sz w:val="22"/>
          <w:szCs w:val="22"/>
        </w:rPr>
        <w:t>8</w:t>
      </w:r>
      <w:r w:rsidR="00E924B0" w:rsidRPr="006774D3">
        <w:rPr>
          <w:color w:val="000000"/>
          <w:sz w:val="22"/>
          <w:szCs w:val="22"/>
        </w:rPr>
        <w:t>, mynd 1).</w:t>
      </w:r>
    </w:p>
    <w:p w14:paraId="05B8B4AA" w14:textId="77777777" w:rsidR="00B069F7" w:rsidRPr="006774D3" w:rsidRDefault="00B069F7" w:rsidP="00F77C66">
      <w:pPr>
        <w:rPr>
          <w:color w:val="000000"/>
          <w:sz w:val="22"/>
          <w:szCs w:val="22"/>
        </w:rPr>
      </w:pPr>
    </w:p>
    <w:p w14:paraId="05B8B4AB" w14:textId="77777777" w:rsidR="00E924B0" w:rsidRPr="006774D3" w:rsidRDefault="00B069F7" w:rsidP="00F77C66">
      <w:pPr>
        <w:rPr>
          <w:color w:val="000000"/>
          <w:sz w:val="22"/>
          <w:szCs w:val="22"/>
        </w:rPr>
      </w:pPr>
      <w:r w:rsidRPr="006774D3">
        <w:rPr>
          <w:color w:val="000000"/>
          <w:sz w:val="22"/>
          <w:szCs w:val="22"/>
        </w:rPr>
        <w:t>Auk þess lengdi þrjátíu og sex (36) mánaða meðferð með Glivec marktækt heildarlifun samanborið við 12 mánaða meðferð með Glivec (áhættuhlutfall = 0,45 [0,22; 0,89], p=0,0187) (tafla </w:t>
      </w:r>
      <w:r w:rsidR="00142B05" w:rsidRPr="006774D3">
        <w:rPr>
          <w:color w:val="000000"/>
          <w:sz w:val="22"/>
          <w:szCs w:val="22"/>
        </w:rPr>
        <w:t>8</w:t>
      </w:r>
      <w:r w:rsidRPr="006774D3">
        <w:rPr>
          <w:color w:val="000000"/>
          <w:sz w:val="22"/>
          <w:szCs w:val="22"/>
        </w:rPr>
        <w:t>, mynd 2).</w:t>
      </w:r>
    </w:p>
    <w:p w14:paraId="05B8B4AC" w14:textId="77777777" w:rsidR="00E924B0" w:rsidRPr="006774D3" w:rsidRDefault="00E924B0" w:rsidP="00F77C66">
      <w:pPr>
        <w:rPr>
          <w:color w:val="000000"/>
          <w:sz w:val="22"/>
          <w:szCs w:val="22"/>
        </w:rPr>
      </w:pPr>
    </w:p>
    <w:p w14:paraId="05B8B4AD" w14:textId="77777777" w:rsidR="00E924B0" w:rsidRPr="006774D3" w:rsidRDefault="00E924B0" w:rsidP="00F77C66">
      <w:pPr>
        <w:rPr>
          <w:color w:val="000000"/>
          <w:sz w:val="22"/>
          <w:szCs w:val="22"/>
        </w:rPr>
      </w:pPr>
      <w:r w:rsidRPr="006774D3">
        <w:rPr>
          <w:color w:val="000000"/>
          <w:sz w:val="22"/>
          <w:szCs w:val="22"/>
        </w:rPr>
        <w:t>Lengri meðferðartími (&gt; 36 mánuðir) getur seinkað frekari endurkomu æxlis. Hinsvegar eru áhrif þessarar niðurstöðu á heildarlifun enn óþekkt.</w:t>
      </w:r>
    </w:p>
    <w:p w14:paraId="05B8B4AE" w14:textId="77777777" w:rsidR="00E924B0" w:rsidRPr="006774D3" w:rsidRDefault="00E924B0" w:rsidP="00F77C66">
      <w:pPr>
        <w:rPr>
          <w:color w:val="000000"/>
          <w:sz w:val="22"/>
          <w:szCs w:val="22"/>
        </w:rPr>
      </w:pPr>
    </w:p>
    <w:p w14:paraId="05B8B4AF" w14:textId="77777777" w:rsidR="00B069F7" w:rsidRPr="006774D3" w:rsidRDefault="00B069F7" w:rsidP="00F77C66">
      <w:pPr>
        <w:rPr>
          <w:color w:val="000000"/>
          <w:sz w:val="22"/>
          <w:szCs w:val="22"/>
        </w:rPr>
      </w:pPr>
      <w:r w:rsidRPr="006774D3">
        <w:rPr>
          <w:color w:val="000000"/>
          <w:sz w:val="22"/>
          <w:szCs w:val="22"/>
        </w:rPr>
        <w:t>Heildarfjöldi dauðsfalla var 25 hjá þeim sem fengu meðferð í 12 mánuði og 12 hjá þeim sem fengu meðferð í 36 mánuði.</w:t>
      </w:r>
    </w:p>
    <w:p w14:paraId="05B8B4B0" w14:textId="77777777" w:rsidR="00E924B0" w:rsidRPr="006774D3" w:rsidRDefault="00E924B0" w:rsidP="00F77C66">
      <w:pPr>
        <w:rPr>
          <w:color w:val="000000"/>
          <w:sz w:val="22"/>
          <w:szCs w:val="22"/>
        </w:rPr>
      </w:pPr>
    </w:p>
    <w:p w14:paraId="05B8B4B1" w14:textId="77777777" w:rsidR="00E924B0" w:rsidRPr="006774D3" w:rsidRDefault="00E06963" w:rsidP="00F77C66">
      <w:pPr>
        <w:rPr>
          <w:color w:val="000000"/>
          <w:sz w:val="22"/>
          <w:szCs w:val="22"/>
        </w:rPr>
      </w:pPr>
      <w:r w:rsidRPr="006774D3">
        <w:rPr>
          <w:color w:val="000000"/>
          <w:sz w:val="22"/>
          <w:szCs w:val="22"/>
        </w:rPr>
        <w:t>Meðferð með im</w:t>
      </w:r>
      <w:r w:rsidR="000A472F" w:rsidRPr="006774D3">
        <w:rPr>
          <w:color w:val="000000"/>
          <w:sz w:val="22"/>
          <w:szCs w:val="22"/>
        </w:rPr>
        <w:t>a</w:t>
      </w:r>
      <w:r w:rsidRPr="006774D3">
        <w:rPr>
          <w:color w:val="000000"/>
          <w:sz w:val="22"/>
          <w:szCs w:val="22"/>
        </w:rPr>
        <w:t>t</w:t>
      </w:r>
      <w:r w:rsidR="000A472F" w:rsidRPr="006774D3">
        <w:rPr>
          <w:color w:val="000000"/>
          <w:sz w:val="22"/>
          <w:szCs w:val="22"/>
        </w:rPr>
        <w:t>i</w:t>
      </w:r>
      <w:r w:rsidRPr="006774D3">
        <w:rPr>
          <w:color w:val="000000"/>
          <w:sz w:val="22"/>
          <w:szCs w:val="22"/>
        </w:rPr>
        <w:t>nibi í 36 mánuði hafði yfirburði yfir meðferð í 12 mánuði í ITT greiningunni, þ.e. sem tekur til heildarþýðisins í rannsókninni. Í ráðgerðri greiningu á undirhópum eftir gerð stökkbreytingar</w:t>
      </w:r>
      <w:r w:rsidR="00755FBC" w:rsidRPr="006774D3">
        <w:rPr>
          <w:color w:val="000000"/>
          <w:sz w:val="22"/>
          <w:szCs w:val="22"/>
        </w:rPr>
        <w:t xml:space="preserve"> var áhættuhlutfall fyrir lifun án endurkomu æxlis fyrir 36 mánaða meðferð hjá sjúklingum með stökkbreytingar </w:t>
      </w:r>
      <w:r w:rsidR="00A07A76" w:rsidRPr="006774D3">
        <w:rPr>
          <w:color w:val="000000"/>
          <w:sz w:val="22"/>
          <w:szCs w:val="22"/>
        </w:rPr>
        <w:t>í</w:t>
      </w:r>
      <w:r w:rsidR="00755FBC" w:rsidRPr="006774D3">
        <w:rPr>
          <w:color w:val="000000"/>
          <w:sz w:val="22"/>
          <w:szCs w:val="22"/>
        </w:rPr>
        <w:t xml:space="preserve"> táknröð (exon) 11 var 0,35 </w:t>
      </w:r>
      <w:r w:rsidR="00755FBC" w:rsidRPr="006774D3">
        <w:rPr>
          <w:iCs/>
          <w:color w:val="000000"/>
          <w:sz w:val="22"/>
          <w:szCs w:val="22"/>
        </w:rPr>
        <w:t>[95%</w:t>
      </w:r>
      <w:r w:rsidR="00FD216F" w:rsidRPr="006774D3">
        <w:rPr>
          <w:iCs/>
          <w:color w:val="000000"/>
          <w:sz w:val="22"/>
          <w:szCs w:val="22"/>
        </w:rPr>
        <w:t> </w:t>
      </w:r>
      <w:r w:rsidR="00755FBC" w:rsidRPr="006774D3">
        <w:rPr>
          <w:iCs/>
          <w:color w:val="000000"/>
          <w:sz w:val="22"/>
          <w:szCs w:val="22"/>
        </w:rPr>
        <w:t>CI: 0,22; 0,56]. Ekki er hægt að fá niðurstöður fyrir aðra sjaldgæfari undirhópa stökkbreytinga vegna fárra tilvika sem komu fyrir.</w:t>
      </w:r>
    </w:p>
    <w:p w14:paraId="05B8B4B2" w14:textId="77777777" w:rsidR="00B069F7" w:rsidRPr="006774D3" w:rsidRDefault="00B069F7" w:rsidP="00F77C66">
      <w:pPr>
        <w:rPr>
          <w:color w:val="000000"/>
          <w:sz w:val="22"/>
          <w:szCs w:val="22"/>
        </w:rPr>
      </w:pPr>
    </w:p>
    <w:p w14:paraId="05B8B4B3" w14:textId="77777777" w:rsidR="00B069F7" w:rsidRPr="006774D3" w:rsidRDefault="00B069F7" w:rsidP="00632D98">
      <w:pPr>
        <w:keepNext/>
        <w:ind w:left="1134" w:hanging="1134"/>
        <w:rPr>
          <w:rFonts w:eastAsia="MS Mincho"/>
          <w:b/>
          <w:sz w:val="22"/>
          <w:szCs w:val="22"/>
          <w:lang w:eastAsia="ja-JP"/>
        </w:rPr>
      </w:pPr>
      <w:r w:rsidRPr="006774D3">
        <w:rPr>
          <w:rFonts w:eastAsia="MS Mincho"/>
          <w:b/>
          <w:sz w:val="22"/>
          <w:szCs w:val="22"/>
        </w:rPr>
        <w:t>Tafla </w:t>
      </w:r>
      <w:r w:rsidR="00142B05" w:rsidRPr="006774D3">
        <w:rPr>
          <w:rFonts w:eastAsia="MS Mincho"/>
          <w:b/>
          <w:sz w:val="22"/>
          <w:szCs w:val="22"/>
        </w:rPr>
        <w:t>8</w:t>
      </w:r>
      <w:r w:rsidRPr="006774D3">
        <w:rPr>
          <w:rFonts w:eastAsia="MS Mincho"/>
          <w:b/>
          <w:sz w:val="22"/>
          <w:szCs w:val="22"/>
        </w:rPr>
        <w:tab/>
        <w:t>Meðferð með Glivec í 12 mánuði og 36 mánuði</w:t>
      </w:r>
      <w:r w:rsidRPr="006774D3">
        <w:rPr>
          <w:rFonts w:eastAsia="MS Mincho"/>
          <w:b/>
          <w:sz w:val="22"/>
          <w:szCs w:val="22"/>
          <w:lang w:eastAsia="ja-JP"/>
        </w:rPr>
        <w:t xml:space="preserve"> (SSGXVIII/AIO Rannsókn)</w:t>
      </w:r>
    </w:p>
    <w:p w14:paraId="05B8B4B4" w14:textId="77777777" w:rsidR="00B069F7" w:rsidRPr="006774D3" w:rsidRDefault="00B069F7" w:rsidP="00632D98">
      <w:pPr>
        <w:keepNext/>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B069F7" w:rsidRPr="006774D3" w14:paraId="05B8B4B8" w14:textId="77777777" w:rsidTr="00632D98">
        <w:trPr>
          <w:cantSplit/>
        </w:trPr>
        <w:tc>
          <w:tcPr>
            <w:tcW w:w="3099" w:type="dxa"/>
            <w:tcBorders>
              <w:top w:val="single" w:sz="4" w:space="0" w:color="auto"/>
              <w:bottom w:val="nil"/>
            </w:tcBorders>
            <w:shd w:val="clear" w:color="auto" w:fill="auto"/>
          </w:tcPr>
          <w:p w14:paraId="05B8B4B5" w14:textId="77777777" w:rsidR="00B069F7" w:rsidRPr="006774D3" w:rsidRDefault="00B069F7" w:rsidP="00632D98">
            <w:pPr>
              <w:keepNext/>
              <w:tabs>
                <w:tab w:val="left" w:pos="284"/>
              </w:tabs>
              <w:rPr>
                <w:rFonts w:eastAsia="MS Mincho"/>
                <w:sz w:val="22"/>
                <w:szCs w:val="22"/>
              </w:rPr>
            </w:pPr>
          </w:p>
        </w:tc>
        <w:tc>
          <w:tcPr>
            <w:tcW w:w="3100" w:type="dxa"/>
            <w:tcBorders>
              <w:top w:val="single" w:sz="4" w:space="0" w:color="auto"/>
              <w:bottom w:val="nil"/>
            </w:tcBorders>
            <w:shd w:val="clear" w:color="auto" w:fill="auto"/>
          </w:tcPr>
          <w:p w14:paraId="05B8B4B6"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12-mánaða meðferðarhópurinn</w:t>
            </w:r>
          </w:p>
        </w:tc>
        <w:tc>
          <w:tcPr>
            <w:tcW w:w="3100" w:type="dxa"/>
            <w:tcBorders>
              <w:top w:val="single" w:sz="4" w:space="0" w:color="auto"/>
              <w:bottom w:val="nil"/>
            </w:tcBorders>
            <w:shd w:val="clear" w:color="auto" w:fill="auto"/>
          </w:tcPr>
          <w:p w14:paraId="05B8B4B7"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36-mánaða meðferðarhópurinn</w:t>
            </w:r>
          </w:p>
        </w:tc>
      </w:tr>
      <w:tr w:rsidR="00B069F7" w:rsidRPr="006774D3" w14:paraId="05B8B4BC" w14:textId="77777777" w:rsidTr="00632D98">
        <w:trPr>
          <w:cantSplit/>
        </w:trPr>
        <w:tc>
          <w:tcPr>
            <w:tcW w:w="3099" w:type="dxa"/>
            <w:tcBorders>
              <w:top w:val="nil"/>
            </w:tcBorders>
            <w:shd w:val="clear" w:color="auto" w:fill="auto"/>
          </w:tcPr>
          <w:p w14:paraId="05B8B4B9"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Lifun án endurkomu æxlis</w:t>
            </w:r>
          </w:p>
        </w:tc>
        <w:tc>
          <w:tcPr>
            <w:tcW w:w="3100" w:type="dxa"/>
            <w:tcBorders>
              <w:top w:val="nil"/>
            </w:tcBorders>
            <w:shd w:val="clear" w:color="auto" w:fill="auto"/>
          </w:tcPr>
          <w:p w14:paraId="05B8B4BA"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%(CI)</w:t>
            </w:r>
          </w:p>
        </w:tc>
        <w:tc>
          <w:tcPr>
            <w:tcW w:w="3100" w:type="dxa"/>
            <w:tcBorders>
              <w:top w:val="nil"/>
            </w:tcBorders>
            <w:shd w:val="clear" w:color="auto" w:fill="auto"/>
          </w:tcPr>
          <w:p w14:paraId="05B8B4BB"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%(CI)</w:t>
            </w:r>
          </w:p>
        </w:tc>
      </w:tr>
      <w:tr w:rsidR="00B069F7" w:rsidRPr="006774D3" w14:paraId="05B8B4C0" w14:textId="77777777" w:rsidTr="00632D98">
        <w:trPr>
          <w:cantSplit/>
        </w:trPr>
        <w:tc>
          <w:tcPr>
            <w:tcW w:w="3099" w:type="dxa"/>
            <w:shd w:val="clear" w:color="auto" w:fill="auto"/>
          </w:tcPr>
          <w:p w14:paraId="05B8B4BD" w14:textId="77777777" w:rsidR="00B069F7" w:rsidRPr="006774D3" w:rsidRDefault="00B069F7" w:rsidP="00632D98">
            <w:pPr>
              <w:keepNext/>
              <w:ind w:left="284"/>
              <w:rPr>
                <w:rFonts w:eastAsia="MS Mincho"/>
                <w:sz w:val="22"/>
                <w:szCs w:val="22"/>
              </w:rPr>
            </w:pPr>
            <w:r w:rsidRPr="006774D3">
              <w:rPr>
                <w:rFonts w:eastAsia="MS Mincho"/>
                <w:sz w:val="22"/>
                <w:szCs w:val="22"/>
              </w:rPr>
              <w:t>12</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BE"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93,7 (89,2</w:t>
            </w:r>
            <w:r w:rsidRPr="006774D3">
              <w:rPr>
                <w:rFonts w:eastAsia="MS Mincho"/>
                <w:sz w:val="22"/>
                <w:szCs w:val="22"/>
              </w:rPr>
              <w:noBreakHyphen/>
              <w:t>96,4)</w:t>
            </w:r>
          </w:p>
        </w:tc>
        <w:tc>
          <w:tcPr>
            <w:tcW w:w="3100" w:type="dxa"/>
            <w:shd w:val="clear" w:color="auto" w:fill="auto"/>
          </w:tcPr>
          <w:p w14:paraId="05B8B4BF"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95,9 (91,9</w:t>
            </w:r>
            <w:r w:rsidRPr="006774D3">
              <w:rPr>
                <w:rFonts w:eastAsia="MS Mincho"/>
                <w:sz w:val="22"/>
                <w:szCs w:val="22"/>
              </w:rPr>
              <w:noBreakHyphen/>
              <w:t>97,9)</w:t>
            </w:r>
          </w:p>
        </w:tc>
      </w:tr>
      <w:tr w:rsidR="00B069F7" w:rsidRPr="006774D3" w14:paraId="05B8B4C4" w14:textId="77777777" w:rsidTr="00632D98">
        <w:trPr>
          <w:cantSplit/>
        </w:trPr>
        <w:tc>
          <w:tcPr>
            <w:tcW w:w="3099" w:type="dxa"/>
            <w:shd w:val="clear" w:color="auto" w:fill="auto"/>
          </w:tcPr>
          <w:p w14:paraId="05B8B4C1" w14:textId="77777777" w:rsidR="00B069F7" w:rsidRPr="006774D3" w:rsidRDefault="00B069F7" w:rsidP="00632D98">
            <w:pPr>
              <w:keepNext/>
              <w:ind w:left="284"/>
              <w:rPr>
                <w:rFonts w:eastAsia="MS Mincho"/>
                <w:sz w:val="22"/>
                <w:szCs w:val="22"/>
              </w:rPr>
            </w:pPr>
            <w:r w:rsidRPr="006774D3">
              <w:rPr>
                <w:rFonts w:eastAsia="MS Mincho"/>
                <w:sz w:val="22"/>
                <w:szCs w:val="22"/>
              </w:rPr>
              <w:t>24</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C2"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75,4 (68,6</w:t>
            </w:r>
            <w:r w:rsidRPr="006774D3">
              <w:rPr>
                <w:rFonts w:eastAsia="MS Mincho"/>
                <w:sz w:val="22"/>
                <w:szCs w:val="22"/>
              </w:rPr>
              <w:noBreakHyphen/>
              <w:t>81,0)</w:t>
            </w:r>
          </w:p>
        </w:tc>
        <w:tc>
          <w:tcPr>
            <w:tcW w:w="3100" w:type="dxa"/>
            <w:shd w:val="clear" w:color="auto" w:fill="auto"/>
          </w:tcPr>
          <w:p w14:paraId="05B8B4C3"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90,7 (85,6</w:t>
            </w:r>
            <w:r w:rsidRPr="006774D3">
              <w:rPr>
                <w:rFonts w:eastAsia="MS Mincho"/>
                <w:sz w:val="22"/>
                <w:szCs w:val="22"/>
              </w:rPr>
              <w:noBreakHyphen/>
              <w:t>94</w:t>
            </w:r>
            <w:r w:rsidR="00755FBC" w:rsidRPr="006774D3">
              <w:rPr>
                <w:rFonts w:eastAsia="MS Mincho"/>
                <w:sz w:val="22"/>
                <w:szCs w:val="22"/>
              </w:rPr>
              <w:t>,0</w:t>
            </w:r>
            <w:r w:rsidRPr="006774D3">
              <w:rPr>
                <w:rFonts w:eastAsia="MS Mincho"/>
                <w:sz w:val="22"/>
                <w:szCs w:val="22"/>
              </w:rPr>
              <w:t>)</w:t>
            </w:r>
          </w:p>
        </w:tc>
      </w:tr>
      <w:tr w:rsidR="00B069F7" w:rsidRPr="006774D3" w14:paraId="05B8B4C8" w14:textId="77777777" w:rsidTr="00632D98">
        <w:trPr>
          <w:cantSplit/>
        </w:trPr>
        <w:tc>
          <w:tcPr>
            <w:tcW w:w="3099" w:type="dxa"/>
            <w:shd w:val="clear" w:color="auto" w:fill="auto"/>
          </w:tcPr>
          <w:p w14:paraId="05B8B4C5" w14:textId="77777777" w:rsidR="00B069F7" w:rsidRPr="006774D3" w:rsidRDefault="00B069F7" w:rsidP="00632D98">
            <w:pPr>
              <w:keepNext/>
              <w:ind w:left="284"/>
              <w:rPr>
                <w:rFonts w:eastAsia="MS Mincho"/>
                <w:sz w:val="22"/>
                <w:szCs w:val="22"/>
              </w:rPr>
            </w:pPr>
            <w:r w:rsidRPr="006774D3">
              <w:rPr>
                <w:rFonts w:eastAsia="MS Mincho"/>
                <w:sz w:val="22"/>
                <w:szCs w:val="22"/>
              </w:rPr>
              <w:t>36</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C6"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60,1 (52,5</w:t>
            </w:r>
            <w:r w:rsidRPr="006774D3">
              <w:rPr>
                <w:rFonts w:eastAsia="MS Mincho"/>
                <w:sz w:val="22"/>
                <w:szCs w:val="22"/>
              </w:rPr>
              <w:noBreakHyphen/>
              <w:t>66,9)</w:t>
            </w:r>
          </w:p>
        </w:tc>
        <w:tc>
          <w:tcPr>
            <w:tcW w:w="3100" w:type="dxa"/>
            <w:shd w:val="clear" w:color="auto" w:fill="auto"/>
          </w:tcPr>
          <w:p w14:paraId="05B8B4C7"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86,6 (80,8</w:t>
            </w:r>
            <w:r w:rsidRPr="006774D3">
              <w:rPr>
                <w:rFonts w:eastAsia="MS Mincho"/>
                <w:sz w:val="22"/>
                <w:szCs w:val="22"/>
              </w:rPr>
              <w:noBreakHyphen/>
              <w:t>90,8)</w:t>
            </w:r>
          </w:p>
        </w:tc>
      </w:tr>
      <w:tr w:rsidR="00B069F7" w:rsidRPr="006774D3" w14:paraId="05B8B4CC" w14:textId="77777777" w:rsidTr="00632D98">
        <w:trPr>
          <w:cantSplit/>
        </w:trPr>
        <w:tc>
          <w:tcPr>
            <w:tcW w:w="3099" w:type="dxa"/>
            <w:shd w:val="clear" w:color="auto" w:fill="auto"/>
          </w:tcPr>
          <w:p w14:paraId="05B8B4C9" w14:textId="77777777" w:rsidR="00B069F7" w:rsidRPr="006774D3" w:rsidRDefault="00B069F7" w:rsidP="00632D98">
            <w:pPr>
              <w:keepNext/>
              <w:ind w:left="284"/>
              <w:rPr>
                <w:rFonts w:eastAsia="MS Mincho"/>
                <w:sz w:val="22"/>
                <w:szCs w:val="22"/>
              </w:rPr>
            </w:pPr>
            <w:r w:rsidRPr="006774D3">
              <w:rPr>
                <w:rFonts w:eastAsia="MS Mincho"/>
                <w:sz w:val="22"/>
                <w:szCs w:val="22"/>
              </w:rPr>
              <w:t>48</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CA"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52,3 (44,0</w:t>
            </w:r>
            <w:r w:rsidRPr="006774D3">
              <w:rPr>
                <w:rFonts w:eastAsia="MS Mincho"/>
                <w:sz w:val="22"/>
                <w:szCs w:val="22"/>
              </w:rPr>
              <w:noBreakHyphen/>
              <w:t>59,8)</w:t>
            </w:r>
          </w:p>
        </w:tc>
        <w:tc>
          <w:tcPr>
            <w:tcW w:w="3100" w:type="dxa"/>
            <w:shd w:val="clear" w:color="auto" w:fill="auto"/>
          </w:tcPr>
          <w:p w14:paraId="05B8B4CB"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78,3 (70,8</w:t>
            </w:r>
            <w:r w:rsidRPr="006774D3">
              <w:rPr>
                <w:rFonts w:eastAsia="MS Mincho"/>
                <w:sz w:val="22"/>
                <w:szCs w:val="22"/>
              </w:rPr>
              <w:noBreakHyphen/>
              <w:t>84,1)</w:t>
            </w:r>
          </w:p>
        </w:tc>
      </w:tr>
      <w:tr w:rsidR="00B069F7" w:rsidRPr="006774D3" w14:paraId="05B8B4D0" w14:textId="77777777" w:rsidTr="00632D98">
        <w:trPr>
          <w:cantSplit/>
        </w:trPr>
        <w:tc>
          <w:tcPr>
            <w:tcW w:w="3099" w:type="dxa"/>
            <w:shd w:val="clear" w:color="auto" w:fill="auto"/>
          </w:tcPr>
          <w:p w14:paraId="05B8B4CD" w14:textId="77777777" w:rsidR="00B069F7" w:rsidRPr="006774D3" w:rsidRDefault="00B069F7" w:rsidP="00632D98">
            <w:pPr>
              <w:keepNext/>
              <w:ind w:left="284"/>
              <w:rPr>
                <w:rFonts w:eastAsia="MS Mincho"/>
                <w:sz w:val="22"/>
                <w:szCs w:val="22"/>
              </w:rPr>
            </w:pPr>
            <w:r w:rsidRPr="006774D3">
              <w:rPr>
                <w:rFonts w:eastAsia="MS Mincho"/>
                <w:sz w:val="22"/>
                <w:szCs w:val="22"/>
              </w:rPr>
              <w:t>60</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CE"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47,9 (39,0</w:t>
            </w:r>
            <w:r w:rsidRPr="006774D3">
              <w:rPr>
                <w:rFonts w:eastAsia="MS Mincho"/>
                <w:sz w:val="22"/>
                <w:szCs w:val="22"/>
              </w:rPr>
              <w:noBreakHyphen/>
              <w:t>56,3)</w:t>
            </w:r>
          </w:p>
        </w:tc>
        <w:tc>
          <w:tcPr>
            <w:tcW w:w="3100" w:type="dxa"/>
            <w:shd w:val="clear" w:color="auto" w:fill="auto"/>
          </w:tcPr>
          <w:p w14:paraId="05B8B4CF"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65,6 (56,1</w:t>
            </w:r>
            <w:r w:rsidRPr="006774D3">
              <w:rPr>
                <w:rFonts w:eastAsia="MS Mincho"/>
                <w:sz w:val="22"/>
                <w:szCs w:val="22"/>
              </w:rPr>
              <w:noBreakHyphen/>
              <w:t>73,4)</w:t>
            </w:r>
          </w:p>
        </w:tc>
      </w:tr>
      <w:tr w:rsidR="00B069F7" w:rsidRPr="006774D3" w14:paraId="05B8B4D4" w14:textId="77777777" w:rsidTr="00632D98">
        <w:trPr>
          <w:cantSplit/>
        </w:trPr>
        <w:tc>
          <w:tcPr>
            <w:tcW w:w="3099" w:type="dxa"/>
            <w:shd w:val="clear" w:color="auto" w:fill="auto"/>
          </w:tcPr>
          <w:p w14:paraId="05B8B4D1" w14:textId="77777777" w:rsidR="00B069F7" w:rsidRPr="006774D3" w:rsidRDefault="00B069F7" w:rsidP="00632D98">
            <w:pPr>
              <w:keepNext/>
              <w:tabs>
                <w:tab w:val="left" w:pos="284"/>
              </w:tabs>
              <w:rPr>
                <w:rFonts w:eastAsia="MS Mincho"/>
                <w:b/>
                <w:sz w:val="22"/>
                <w:szCs w:val="22"/>
              </w:rPr>
            </w:pPr>
            <w:r w:rsidRPr="006774D3">
              <w:rPr>
                <w:rFonts w:eastAsia="MS Mincho"/>
                <w:b/>
                <w:sz w:val="22"/>
                <w:szCs w:val="22"/>
              </w:rPr>
              <w:t>Lifun</w:t>
            </w:r>
          </w:p>
        </w:tc>
        <w:tc>
          <w:tcPr>
            <w:tcW w:w="3100" w:type="dxa"/>
            <w:shd w:val="clear" w:color="auto" w:fill="auto"/>
          </w:tcPr>
          <w:p w14:paraId="05B8B4D2" w14:textId="77777777" w:rsidR="00B069F7" w:rsidRPr="006774D3" w:rsidRDefault="00B069F7" w:rsidP="00632D98">
            <w:pPr>
              <w:keepNext/>
              <w:tabs>
                <w:tab w:val="left" w:pos="284"/>
              </w:tabs>
              <w:rPr>
                <w:rFonts w:eastAsia="MS Mincho"/>
                <w:sz w:val="22"/>
                <w:szCs w:val="22"/>
              </w:rPr>
            </w:pPr>
          </w:p>
        </w:tc>
        <w:tc>
          <w:tcPr>
            <w:tcW w:w="3100" w:type="dxa"/>
            <w:shd w:val="clear" w:color="auto" w:fill="auto"/>
          </w:tcPr>
          <w:p w14:paraId="05B8B4D3" w14:textId="77777777" w:rsidR="00B069F7" w:rsidRPr="006774D3" w:rsidRDefault="00B069F7" w:rsidP="00632D98">
            <w:pPr>
              <w:keepNext/>
              <w:tabs>
                <w:tab w:val="left" w:pos="284"/>
              </w:tabs>
              <w:rPr>
                <w:rFonts w:eastAsia="MS Mincho"/>
                <w:sz w:val="22"/>
                <w:szCs w:val="22"/>
              </w:rPr>
            </w:pPr>
          </w:p>
        </w:tc>
      </w:tr>
      <w:tr w:rsidR="00B069F7" w:rsidRPr="006774D3" w14:paraId="05B8B4D8" w14:textId="77777777" w:rsidTr="00632D98">
        <w:trPr>
          <w:cantSplit/>
        </w:trPr>
        <w:tc>
          <w:tcPr>
            <w:tcW w:w="3099" w:type="dxa"/>
            <w:shd w:val="clear" w:color="auto" w:fill="auto"/>
          </w:tcPr>
          <w:p w14:paraId="05B8B4D5" w14:textId="77777777" w:rsidR="00B069F7" w:rsidRPr="006774D3" w:rsidRDefault="00B069F7" w:rsidP="00632D98">
            <w:pPr>
              <w:keepNext/>
              <w:ind w:left="284"/>
              <w:rPr>
                <w:rFonts w:eastAsia="MS Mincho"/>
                <w:sz w:val="22"/>
                <w:szCs w:val="22"/>
              </w:rPr>
            </w:pPr>
            <w:r w:rsidRPr="006774D3">
              <w:rPr>
                <w:rFonts w:eastAsia="MS Mincho"/>
                <w:sz w:val="22"/>
                <w:szCs w:val="22"/>
              </w:rPr>
              <w:t>36</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D6"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94,0 (89,5</w:t>
            </w:r>
            <w:r w:rsidRPr="006774D3">
              <w:rPr>
                <w:rFonts w:eastAsia="MS Mincho"/>
                <w:sz w:val="22"/>
                <w:szCs w:val="22"/>
              </w:rPr>
              <w:noBreakHyphen/>
              <w:t>96,7)</w:t>
            </w:r>
          </w:p>
        </w:tc>
        <w:tc>
          <w:tcPr>
            <w:tcW w:w="3100" w:type="dxa"/>
            <w:shd w:val="clear" w:color="auto" w:fill="auto"/>
          </w:tcPr>
          <w:p w14:paraId="05B8B4D7"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96,3 (92,4</w:t>
            </w:r>
            <w:r w:rsidRPr="006774D3">
              <w:rPr>
                <w:rFonts w:eastAsia="MS Mincho"/>
                <w:sz w:val="22"/>
                <w:szCs w:val="22"/>
              </w:rPr>
              <w:noBreakHyphen/>
              <w:t>98,2)</w:t>
            </w:r>
          </w:p>
        </w:tc>
      </w:tr>
      <w:tr w:rsidR="00B069F7" w:rsidRPr="006774D3" w14:paraId="05B8B4DC" w14:textId="77777777" w:rsidTr="00632D98">
        <w:trPr>
          <w:cantSplit/>
        </w:trPr>
        <w:tc>
          <w:tcPr>
            <w:tcW w:w="3099" w:type="dxa"/>
            <w:shd w:val="clear" w:color="auto" w:fill="auto"/>
          </w:tcPr>
          <w:p w14:paraId="05B8B4D9" w14:textId="77777777" w:rsidR="00B069F7" w:rsidRPr="006774D3" w:rsidRDefault="00B069F7" w:rsidP="00632D98">
            <w:pPr>
              <w:keepNext/>
              <w:ind w:left="284"/>
              <w:rPr>
                <w:rFonts w:eastAsia="MS Mincho"/>
                <w:sz w:val="22"/>
                <w:szCs w:val="22"/>
              </w:rPr>
            </w:pPr>
            <w:r w:rsidRPr="006774D3">
              <w:rPr>
                <w:rFonts w:eastAsia="MS Mincho"/>
                <w:sz w:val="22"/>
                <w:szCs w:val="22"/>
              </w:rPr>
              <w:t>48</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DA"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87,9 (81,1</w:t>
            </w:r>
            <w:r w:rsidRPr="006774D3">
              <w:rPr>
                <w:rFonts w:eastAsia="MS Mincho"/>
                <w:sz w:val="22"/>
                <w:szCs w:val="22"/>
              </w:rPr>
              <w:noBreakHyphen/>
              <w:t>92,3)</w:t>
            </w:r>
          </w:p>
        </w:tc>
        <w:tc>
          <w:tcPr>
            <w:tcW w:w="3100" w:type="dxa"/>
            <w:shd w:val="clear" w:color="auto" w:fill="auto"/>
          </w:tcPr>
          <w:p w14:paraId="05B8B4DB" w14:textId="77777777" w:rsidR="00B069F7" w:rsidRPr="006774D3" w:rsidRDefault="00B069F7" w:rsidP="00632D98">
            <w:pPr>
              <w:keepNext/>
              <w:tabs>
                <w:tab w:val="left" w:pos="284"/>
              </w:tabs>
              <w:rPr>
                <w:rFonts w:eastAsia="MS Mincho"/>
                <w:sz w:val="22"/>
                <w:szCs w:val="22"/>
              </w:rPr>
            </w:pPr>
            <w:r w:rsidRPr="006774D3">
              <w:rPr>
                <w:rFonts w:eastAsia="MS Mincho"/>
                <w:sz w:val="22"/>
                <w:szCs w:val="22"/>
              </w:rPr>
              <w:t>95,6 (91,2</w:t>
            </w:r>
            <w:r w:rsidRPr="006774D3">
              <w:rPr>
                <w:rFonts w:eastAsia="MS Mincho"/>
                <w:sz w:val="22"/>
                <w:szCs w:val="22"/>
              </w:rPr>
              <w:noBreakHyphen/>
              <w:t>97,8)</w:t>
            </w:r>
          </w:p>
        </w:tc>
      </w:tr>
      <w:tr w:rsidR="00B069F7" w:rsidRPr="006774D3" w14:paraId="05B8B4E0" w14:textId="77777777" w:rsidTr="00632D98">
        <w:trPr>
          <w:cantSplit/>
        </w:trPr>
        <w:tc>
          <w:tcPr>
            <w:tcW w:w="3099" w:type="dxa"/>
            <w:shd w:val="clear" w:color="auto" w:fill="auto"/>
          </w:tcPr>
          <w:p w14:paraId="05B8B4DD" w14:textId="77777777" w:rsidR="00B069F7" w:rsidRPr="006774D3" w:rsidRDefault="00B069F7" w:rsidP="00632D98">
            <w:pPr>
              <w:ind w:left="284"/>
              <w:rPr>
                <w:rFonts w:eastAsia="MS Mincho"/>
                <w:sz w:val="22"/>
                <w:szCs w:val="22"/>
              </w:rPr>
            </w:pPr>
            <w:r w:rsidRPr="006774D3">
              <w:rPr>
                <w:rFonts w:eastAsia="MS Mincho"/>
                <w:sz w:val="22"/>
                <w:szCs w:val="22"/>
              </w:rPr>
              <w:t>60</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4DE" w14:textId="77777777" w:rsidR="00B069F7" w:rsidRPr="006774D3" w:rsidRDefault="00B069F7" w:rsidP="00632D98">
            <w:pPr>
              <w:tabs>
                <w:tab w:val="left" w:pos="284"/>
              </w:tabs>
              <w:rPr>
                <w:rFonts w:eastAsia="MS Mincho"/>
                <w:sz w:val="22"/>
                <w:szCs w:val="22"/>
              </w:rPr>
            </w:pPr>
            <w:r w:rsidRPr="006774D3">
              <w:rPr>
                <w:rFonts w:eastAsia="MS Mincho"/>
                <w:sz w:val="22"/>
                <w:szCs w:val="22"/>
              </w:rPr>
              <w:t>81,7 (73,0</w:t>
            </w:r>
            <w:r w:rsidRPr="006774D3">
              <w:rPr>
                <w:rFonts w:eastAsia="MS Mincho"/>
                <w:sz w:val="22"/>
                <w:szCs w:val="22"/>
              </w:rPr>
              <w:noBreakHyphen/>
              <w:t>87,8)</w:t>
            </w:r>
          </w:p>
        </w:tc>
        <w:tc>
          <w:tcPr>
            <w:tcW w:w="3100" w:type="dxa"/>
            <w:shd w:val="clear" w:color="auto" w:fill="auto"/>
          </w:tcPr>
          <w:p w14:paraId="05B8B4DF" w14:textId="77777777" w:rsidR="00B069F7" w:rsidRPr="006774D3" w:rsidRDefault="00B069F7" w:rsidP="00632D98">
            <w:pPr>
              <w:tabs>
                <w:tab w:val="left" w:pos="284"/>
              </w:tabs>
              <w:rPr>
                <w:rFonts w:eastAsia="MS Mincho"/>
                <w:sz w:val="22"/>
                <w:szCs w:val="22"/>
              </w:rPr>
            </w:pPr>
            <w:r w:rsidRPr="006774D3">
              <w:rPr>
                <w:rFonts w:eastAsia="MS Mincho"/>
                <w:sz w:val="22"/>
                <w:szCs w:val="22"/>
              </w:rPr>
              <w:t>92,0 (85,3</w:t>
            </w:r>
            <w:r w:rsidRPr="006774D3">
              <w:rPr>
                <w:rFonts w:eastAsia="MS Mincho"/>
                <w:sz w:val="22"/>
                <w:szCs w:val="22"/>
              </w:rPr>
              <w:noBreakHyphen/>
              <w:t>95,7)</w:t>
            </w:r>
          </w:p>
        </w:tc>
      </w:tr>
    </w:tbl>
    <w:p w14:paraId="05B8B4E1" w14:textId="77777777" w:rsidR="00B069F7" w:rsidRPr="006774D3" w:rsidRDefault="00B069F7" w:rsidP="00F77C66">
      <w:pPr>
        <w:rPr>
          <w:rFonts w:eastAsia="MS Mincho"/>
          <w:sz w:val="22"/>
          <w:szCs w:val="22"/>
        </w:rPr>
      </w:pPr>
    </w:p>
    <w:p w14:paraId="05B8B4E2" w14:textId="77777777" w:rsidR="00B069F7" w:rsidRPr="006774D3" w:rsidRDefault="00B069F7" w:rsidP="00F77C66">
      <w:pPr>
        <w:keepNext/>
        <w:widowControl w:val="0"/>
        <w:ind w:left="1134" w:hanging="1134"/>
        <w:rPr>
          <w:rFonts w:eastAsia="MS Mincho"/>
          <w:sz w:val="22"/>
          <w:szCs w:val="22"/>
        </w:rPr>
      </w:pPr>
      <w:r w:rsidRPr="006774D3">
        <w:rPr>
          <w:rFonts w:eastAsia="MS Mincho"/>
          <w:b/>
          <w:sz w:val="22"/>
          <w:szCs w:val="22"/>
        </w:rPr>
        <w:t>Mynd 1</w:t>
      </w:r>
      <w:r w:rsidRPr="006774D3">
        <w:rPr>
          <w:rFonts w:eastAsia="MS Mincho"/>
          <w:b/>
          <w:sz w:val="22"/>
          <w:szCs w:val="22"/>
        </w:rPr>
        <w:tab/>
        <w:t xml:space="preserve">Kaplan-Meier áætlun fyrir megin endapunktinn sem var lifun án endurkomu æxlis </w:t>
      </w:r>
      <w:r w:rsidRPr="006774D3">
        <w:rPr>
          <w:rFonts w:eastAsia="MS Mincho"/>
          <w:b/>
          <w:sz w:val="22"/>
          <w:szCs w:val="22"/>
        </w:rPr>
        <w:lastRenderedPageBreak/>
        <w:t>(ITT þýði)</w:t>
      </w:r>
    </w:p>
    <w:p w14:paraId="05B8B4E3" w14:textId="77777777" w:rsidR="00B069F7" w:rsidRPr="006774D3" w:rsidRDefault="00B069F7" w:rsidP="00F77C66">
      <w:pPr>
        <w:keepNext/>
        <w:widowControl w:val="0"/>
        <w:rPr>
          <w:rFonts w:eastAsia="MS Mincho"/>
          <w:sz w:val="22"/>
          <w:szCs w:val="22"/>
        </w:rPr>
      </w:pPr>
    </w:p>
    <w:p w14:paraId="05B8B4E4" w14:textId="77777777" w:rsidR="00B069F7" w:rsidRPr="006774D3" w:rsidRDefault="00EA2A58" w:rsidP="00F77C66">
      <w:pPr>
        <w:keepNext/>
        <w:widowControl w:val="0"/>
        <w:rPr>
          <w:rFonts w:eastAsia="MS Mincho"/>
          <w:sz w:val="22"/>
          <w:szCs w:val="22"/>
        </w:rPr>
      </w:pPr>
      <w:r w:rsidRPr="006774D3">
        <w:rPr>
          <w:noProof/>
          <w:lang w:eastAsia="en-GB"/>
        </w:rPr>
        <mc:AlternateContent>
          <mc:Choice Requires="wps">
            <w:drawing>
              <wp:anchor distT="0" distB="0" distL="114300" distR="114300" simplePos="0" relativeHeight="251653120" behindDoc="0" locked="0" layoutInCell="1" allowOverlap="1" wp14:anchorId="05B8C4AE" wp14:editId="05B8C4AF">
                <wp:simplePos x="0" y="0"/>
                <wp:positionH relativeFrom="column">
                  <wp:posOffset>350520</wp:posOffset>
                </wp:positionH>
                <wp:positionV relativeFrom="paragraph">
                  <wp:posOffset>1236345</wp:posOffset>
                </wp:positionV>
                <wp:extent cx="4585335" cy="1171575"/>
                <wp:effectExtent l="0" t="0" r="0" b="19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950"/>
                            </w:tblGrid>
                            <w:tr w:rsidR="00CF33A2" w:rsidRPr="0055776F" w14:paraId="05B8C4E3" w14:textId="77777777" w:rsidTr="00EC64EB">
                              <w:trPr>
                                <w:gridAfter w:val="3"/>
                                <w:wAfter w:w="2510" w:type="dxa"/>
                              </w:trPr>
                              <w:tc>
                                <w:tcPr>
                                  <w:tcW w:w="3281" w:type="dxa"/>
                                  <w:gridSpan w:val="2"/>
                                  <w:shd w:val="clear" w:color="auto" w:fill="auto"/>
                                </w:tcPr>
                                <w:p w14:paraId="05B8C4E0" w14:textId="77777777" w:rsidR="00CF33A2" w:rsidRPr="0055776F" w:rsidRDefault="00CF33A2" w:rsidP="00EC64EB">
                                  <w:pPr>
                                    <w:rPr>
                                      <w:rFonts w:ascii="Arial" w:hAnsi="Arial" w:cs="Arial"/>
                                      <w:sz w:val="20"/>
                                    </w:rPr>
                                  </w:pPr>
                                  <w:r>
                                    <w:rPr>
                                      <w:rFonts w:ascii="Arial" w:hAnsi="Arial" w:cs="Arial"/>
                                      <w:sz w:val="20"/>
                                    </w:rPr>
                                    <w:t>P &lt; 0,0001</w:t>
                                  </w:r>
                                </w:p>
                                <w:p w14:paraId="05B8C4E1" w14:textId="77777777" w:rsidR="00CF33A2" w:rsidRPr="0055776F" w:rsidRDefault="00CF33A2" w:rsidP="00EC64EB">
                                  <w:pPr>
                                    <w:rPr>
                                      <w:rFonts w:ascii="Arial" w:hAnsi="Arial" w:cs="Arial"/>
                                      <w:sz w:val="20"/>
                                    </w:rPr>
                                  </w:pPr>
                                  <w:r>
                                    <w:rPr>
                                      <w:rFonts w:ascii="Arial" w:hAnsi="Arial" w:cs="Arial"/>
                                      <w:sz w:val="20"/>
                                      <w:szCs w:val="20"/>
                                    </w:rPr>
                                    <w:t>Áhættuhlutfall</w:t>
                                  </w:r>
                                  <w:r>
                                    <w:rPr>
                                      <w:rFonts w:ascii="Arial" w:hAnsi="Arial" w:cs="Arial"/>
                                      <w:sz w:val="20"/>
                                    </w:rPr>
                                    <w:t xml:space="preserve"> 0,</w:t>
                                  </w:r>
                                  <w:r w:rsidRPr="0055776F">
                                    <w:rPr>
                                      <w:rFonts w:ascii="Arial" w:hAnsi="Arial" w:cs="Arial"/>
                                      <w:sz w:val="20"/>
                                    </w:rPr>
                                    <w:t>4</w:t>
                                  </w:r>
                                  <w:r>
                                    <w:rPr>
                                      <w:rFonts w:ascii="Arial" w:hAnsi="Arial" w:cs="Arial"/>
                                      <w:sz w:val="20"/>
                                    </w:rPr>
                                    <w:t>6</w:t>
                                  </w:r>
                                </w:p>
                                <w:p w14:paraId="05B8C4E2" w14:textId="77777777" w:rsidR="00CF33A2" w:rsidRPr="0055776F" w:rsidRDefault="00CF33A2" w:rsidP="00EC64E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F33A2" w:rsidRPr="0055776F" w14:paraId="05B8C4E9" w14:textId="77777777" w:rsidTr="006130B4">
                              <w:tc>
                                <w:tcPr>
                                  <w:tcW w:w="817" w:type="dxa"/>
                                  <w:shd w:val="clear" w:color="auto" w:fill="auto"/>
                                </w:tcPr>
                                <w:p w14:paraId="05B8C4E4" w14:textId="77777777" w:rsidR="00CF33A2" w:rsidRPr="0055776F" w:rsidRDefault="00CF33A2" w:rsidP="0009545B">
                                  <w:pPr>
                                    <w:rPr>
                                      <w:rFonts w:ascii="Arial" w:hAnsi="Arial" w:cs="Arial"/>
                                      <w:sz w:val="20"/>
                                      <w:szCs w:val="20"/>
                                    </w:rPr>
                                  </w:pPr>
                                </w:p>
                              </w:tc>
                              <w:tc>
                                <w:tcPr>
                                  <w:tcW w:w="2464" w:type="dxa"/>
                                  <w:shd w:val="clear" w:color="auto" w:fill="auto"/>
                                </w:tcPr>
                                <w:p w14:paraId="05B8C4E5"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4E6" w14:textId="77777777" w:rsidR="00CF33A2" w:rsidRPr="00752D50"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4E7" w14:textId="77777777" w:rsidR="00CF33A2" w:rsidRPr="00752D50" w:rsidRDefault="00CF33A2" w:rsidP="0009545B">
                                  <w:pPr>
                                    <w:rPr>
                                      <w:rFonts w:ascii="Arial" w:hAnsi="Arial" w:cs="Arial"/>
                                      <w:sz w:val="20"/>
                                      <w:szCs w:val="20"/>
                                    </w:rPr>
                                  </w:pPr>
                                  <w:r w:rsidRPr="00752D50">
                                    <w:rPr>
                                      <w:rFonts w:ascii="Arial" w:hAnsi="Arial" w:cs="Arial"/>
                                      <w:sz w:val="20"/>
                                      <w:szCs w:val="20"/>
                                    </w:rPr>
                                    <w:t>Tilvik</w:t>
                                  </w:r>
                                </w:p>
                              </w:tc>
                              <w:tc>
                                <w:tcPr>
                                  <w:tcW w:w="950" w:type="dxa"/>
                                  <w:tcBorders>
                                    <w:bottom w:val="single" w:sz="4" w:space="0" w:color="auto"/>
                                  </w:tcBorders>
                                  <w:shd w:val="clear" w:color="auto" w:fill="auto"/>
                                </w:tcPr>
                                <w:p w14:paraId="05B8C4E8" w14:textId="77777777" w:rsidR="00CF33A2" w:rsidRPr="00752D50"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4EF" w14:textId="77777777" w:rsidTr="006130B4">
                              <w:tc>
                                <w:tcPr>
                                  <w:tcW w:w="817" w:type="dxa"/>
                                  <w:shd w:val="clear" w:color="auto" w:fill="auto"/>
                                </w:tcPr>
                                <w:p w14:paraId="05B8C4EA"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4EB"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4EC"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4ED" w14:textId="77777777" w:rsidR="00CF33A2" w:rsidRPr="0055776F" w:rsidRDefault="00CF33A2" w:rsidP="0009545B">
                                  <w:pPr>
                                    <w:rPr>
                                      <w:rFonts w:ascii="Arial" w:hAnsi="Arial" w:cs="Arial"/>
                                      <w:sz w:val="20"/>
                                      <w:szCs w:val="20"/>
                                    </w:rPr>
                                  </w:pPr>
                                  <w:r w:rsidRPr="0055776F">
                                    <w:rPr>
                                      <w:rFonts w:ascii="Arial" w:hAnsi="Arial" w:cs="Arial"/>
                                      <w:sz w:val="20"/>
                                      <w:szCs w:val="20"/>
                                    </w:rPr>
                                    <w:t>84</w:t>
                                  </w:r>
                                </w:p>
                              </w:tc>
                              <w:tc>
                                <w:tcPr>
                                  <w:tcW w:w="950" w:type="dxa"/>
                                  <w:tcBorders>
                                    <w:top w:val="single" w:sz="4" w:space="0" w:color="auto"/>
                                  </w:tcBorders>
                                  <w:shd w:val="clear" w:color="auto" w:fill="auto"/>
                                </w:tcPr>
                                <w:p w14:paraId="05B8C4EE" w14:textId="77777777" w:rsidR="00CF33A2" w:rsidRPr="0055776F" w:rsidRDefault="00CF33A2" w:rsidP="0009545B">
                                  <w:pPr>
                                    <w:rPr>
                                      <w:rFonts w:ascii="Arial" w:hAnsi="Arial" w:cs="Arial"/>
                                      <w:sz w:val="20"/>
                                      <w:szCs w:val="20"/>
                                    </w:rPr>
                                  </w:pPr>
                                  <w:r w:rsidRPr="0055776F">
                                    <w:rPr>
                                      <w:rFonts w:ascii="Arial" w:hAnsi="Arial" w:cs="Arial"/>
                                      <w:sz w:val="20"/>
                                      <w:szCs w:val="20"/>
                                    </w:rPr>
                                    <w:t>115</w:t>
                                  </w:r>
                                </w:p>
                              </w:tc>
                            </w:tr>
                            <w:tr w:rsidR="00CF33A2" w:rsidRPr="0055776F" w14:paraId="05B8C4F5" w14:textId="77777777" w:rsidTr="006130B4">
                              <w:tc>
                                <w:tcPr>
                                  <w:tcW w:w="817" w:type="dxa"/>
                                  <w:shd w:val="clear" w:color="auto" w:fill="auto"/>
                                </w:tcPr>
                                <w:p w14:paraId="05B8C4F0"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4F1"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4F2"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4F3" w14:textId="77777777" w:rsidR="00CF33A2" w:rsidRPr="0055776F" w:rsidRDefault="00CF33A2" w:rsidP="0009545B">
                                  <w:pPr>
                                    <w:rPr>
                                      <w:rFonts w:ascii="Arial" w:hAnsi="Arial" w:cs="Arial"/>
                                      <w:sz w:val="20"/>
                                      <w:szCs w:val="20"/>
                                    </w:rPr>
                                  </w:pPr>
                                  <w:r w:rsidRPr="0055776F">
                                    <w:rPr>
                                      <w:rFonts w:ascii="Arial" w:hAnsi="Arial" w:cs="Arial"/>
                                      <w:sz w:val="20"/>
                                      <w:szCs w:val="20"/>
                                    </w:rPr>
                                    <w:t>50</w:t>
                                  </w:r>
                                </w:p>
                              </w:tc>
                              <w:tc>
                                <w:tcPr>
                                  <w:tcW w:w="950" w:type="dxa"/>
                                  <w:tcBorders>
                                    <w:bottom w:val="single" w:sz="4" w:space="0" w:color="auto"/>
                                  </w:tcBorders>
                                  <w:shd w:val="clear" w:color="auto" w:fill="auto"/>
                                </w:tcPr>
                                <w:p w14:paraId="05B8C4F4" w14:textId="77777777" w:rsidR="00CF33A2" w:rsidRPr="0055776F" w:rsidRDefault="00CF33A2" w:rsidP="0009545B">
                                  <w:pPr>
                                    <w:rPr>
                                      <w:rFonts w:ascii="Arial" w:hAnsi="Arial" w:cs="Arial"/>
                                      <w:sz w:val="20"/>
                                      <w:szCs w:val="20"/>
                                    </w:rPr>
                                  </w:pPr>
                                  <w:r w:rsidRPr="0055776F">
                                    <w:rPr>
                                      <w:rFonts w:ascii="Arial" w:hAnsi="Arial" w:cs="Arial"/>
                                      <w:sz w:val="20"/>
                                      <w:szCs w:val="20"/>
                                    </w:rPr>
                                    <w:t>148</w:t>
                                  </w:r>
                                </w:p>
                              </w:tc>
                            </w:tr>
                            <w:tr w:rsidR="00CF33A2" w:rsidRPr="0055776F" w14:paraId="05B8C4FB" w14:textId="77777777" w:rsidTr="006130B4">
                              <w:tc>
                                <w:tcPr>
                                  <w:tcW w:w="817" w:type="dxa"/>
                                  <w:shd w:val="clear" w:color="auto" w:fill="auto"/>
                                </w:tcPr>
                                <w:p w14:paraId="05B8C4F6"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4F7"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4F8"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4F9" w14:textId="77777777" w:rsidR="00CF33A2" w:rsidRPr="0055776F" w:rsidRDefault="00CF33A2" w:rsidP="0009545B">
                                  <w:pPr>
                                    <w:rPr>
                                      <w:rFonts w:ascii="Arial" w:hAnsi="Arial" w:cs="Arial"/>
                                      <w:sz w:val="20"/>
                                      <w:szCs w:val="20"/>
                                    </w:rPr>
                                  </w:pPr>
                                </w:p>
                              </w:tc>
                              <w:tc>
                                <w:tcPr>
                                  <w:tcW w:w="950" w:type="dxa"/>
                                  <w:tcBorders>
                                    <w:top w:val="single" w:sz="4" w:space="0" w:color="auto"/>
                                  </w:tcBorders>
                                  <w:shd w:val="clear" w:color="auto" w:fill="auto"/>
                                </w:tcPr>
                                <w:p w14:paraId="05B8C4FA" w14:textId="77777777" w:rsidR="00CF33A2" w:rsidRPr="0055776F" w:rsidRDefault="00CF33A2" w:rsidP="0009545B">
                                  <w:pPr>
                                    <w:rPr>
                                      <w:rFonts w:ascii="Arial" w:hAnsi="Arial" w:cs="Arial"/>
                                      <w:sz w:val="20"/>
                                      <w:szCs w:val="20"/>
                                    </w:rPr>
                                  </w:pPr>
                                </w:p>
                              </w:tc>
                            </w:tr>
                          </w:tbl>
                          <w:p w14:paraId="05B8C4FC" w14:textId="77777777" w:rsidR="00CF33A2" w:rsidRPr="00A33DBA" w:rsidRDefault="00CF33A2" w:rsidP="00CB712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B8C4AE" id="_x0000_t202" coordsize="21600,21600" o:spt="202" path="m,l,21600r21600,l21600,xe">
                <v:stroke joinstyle="miter"/>
                <v:path gradientshapeok="t" o:connecttype="rect"/>
              </v:shapetype>
              <v:shape id="Text Box 2" o:spid="_x0000_s1026" type="#_x0000_t202" style="position:absolute;margin-left:27.6pt;margin-top:97.35pt;width:361.05pt;height:9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" filled="f" stroked="f">
                <v:textbox>
                  <w:txbxContent>
                    <w:tbl>
                      <w:tblPr>
                        <w:tblW w:w="0" w:type="auto"/>
                        <w:tblLook w:val="04A0" w:firstRow="1" w:lastRow="0" w:firstColumn="1" w:lastColumn="0" w:noHBand="0" w:noVBand="1"/>
                      </w:tblPr>
                      <w:tblGrid>
                        <w:gridCol w:w="817"/>
                        <w:gridCol w:w="2464"/>
                        <w:gridCol w:w="851"/>
                        <w:gridCol w:w="709"/>
                        <w:gridCol w:w="950"/>
                      </w:tblGrid>
                      <w:tr w:rsidR="00CF33A2" w:rsidRPr="0055776F" w14:paraId="05B8C4E3" w14:textId="77777777" w:rsidTr="00EC64EB">
                        <w:trPr>
                          <w:gridAfter w:val="3"/>
                          <w:wAfter w:w="2510" w:type="dxa"/>
                        </w:trPr>
                        <w:tc>
                          <w:tcPr>
                            <w:tcW w:w="3281" w:type="dxa"/>
                            <w:gridSpan w:val="2"/>
                            <w:shd w:val="clear" w:color="auto" w:fill="auto"/>
                          </w:tcPr>
                          <w:p w14:paraId="05B8C4E0" w14:textId="77777777" w:rsidR="00CF33A2" w:rsidRPr="0055776F" w:rsidRDefault="00CF33A2" w:rsidP="00EC64EB">
                            <w:pPr>
                              <w:rPr>
                                <w:rFonts w:ascii="Arial" w:hAnsi="Arial" w:cs="Arial"/>
                                <w:sz w:val="20"/>
                              </w:rPr>
                            </w:pPr>
                            <w:r>
                              <w:rPr>
                                <w:rFonts w:ascii="Arial" w:hAnsi="Arial" w:cs="Arial"/>
                                <w:sz w:val="20"/>
                              </w:rPr>
                              <w:t>P &lt; 0,0001</w:t>
                            </w:r>
                          </w:p>
                          <w:p w14:paraId="05B8C4E1" w14:textId="77777777" w:rsidR="00CF33A2" w:rsidRPr="0055776F" w:rsidRDefault="00CF33A2" w:rsidP="00EC64EB">
                            <w:pPr>
                              <w:rPr>
                                <w:rFonts w:ascii="Arial" w:hAnsi="Arial" w:cs="Arial"/>
                                <w:sz w:val="20"/>
                              </w:rPr>
                            </w:pPr>
                            <w:r>
                              <w:rPr>
                                <w:rFonts w:ascii="Arial" w:hAnsi="Arial" w:cs="Arial"/>
                                <w:sz w:val="20"/>
                                <w:szCs w:val="20"/>
                              </w:rPr>
                              <w:t>Áhættuhlutfall</w:t>
                            </w:r>
                            <w:r>
                              <w:rPr>
                                <w:rFonts w:ascii="Arial" w:hAnsi="Arial" w:cs="Arial"/>
                                <w:sz w:val="20"/>
                              </w:rPr>
                              <w:t xml:space="preserve"> 0,</w:t>
                            </w:r>
                            <w:r w:rsidRPr="0055776F">
                              <w:rPr>
                                <w:rFonts w:ascii="Arial" w:hAnsi="Arial" w:cs="Arial"/>
                                <w:sz w:val="20"/>
                              </w:rPr>
                              <w:t>4</w:t>
                            </w:r>
                            <w:r>
                              <w:rPr>
                                <w:rFonts w:ascii="Arial" w:hAnsi="Arial" w:cs="Arial"/>
                                <w:sz w:val="20"/>
                              </w:rPr>
                              <w:t>6</w:t>
                            </w:r>
                          </w:p>
                          <w:p w14:paraId="05B8C4E2" w14:textId="77777777" w:rsidR="00CF33A2" w:rsidRPr="0055776F" w:rsidRDefault="00CF33A2" w:rsidP="00EC64E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F33A2" w:rsidRPr="0055776F" w14:paraId="05B8C4E9" w14:textId="77777777" w:rsidTr="006130B4">
                        <w:tc>
                          <w:tcPr>
                            <w:tcW w:w="817" w:type="dxa"/>
                            <w:shd w:val="clear" w:color="auto" w:fill="auto"/>
                          </w:tcPr>
                          <w:p w14:paraId="05B8C4E4" w14:textId="77777777" w:rsidR="00CF33A2" w:rsidRPr="0055776F" w:rsidRDefault="00CF33A2" w:rsidP="0009545B">
                            <w:pPr>
                              <w:rPr>
                                <w:rFonts w:ascii="Arial" w:hAnsi="Arial" w:cs="Arial"/>
                                <w:sz w:val="20"/>
                                <w:szCs w:val="20"/>
                              </w:rPr>
                            </w:pPr>
                          </w:p>
                        </w:tc>
                        <w:tc>
                          <w:tcPr>
                            <w:tcW w:w="2464" w:type="dxa"/>
                            <w:shd w:val="clear" w:color="auto" w:fill="auto"/>
                          </w:tcPr>
                          <w:p w14:paraId="05B8C4E5"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4E6" w14:textId="77777777" w:rsidR="00CF33A2" w:rsidRPr="00752D50"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4E7" w14:textId="77777777" w:rsidR="00CF33A2" w:rsidRPr="00752D50" w:rsidRDefault="00CF33A2" w:rsidP="0009545B">
                            <w:pPr>
                              <w:rPr>
                                <w:rFonts w:ascii="Arial" w:hAnsi="Arial" w:cs="Arial"/>
                                <w:sz w:val="20"/>
                                <w:szCs w:val="20"/>
                              </w:rPr>
                            </w:pPr>
                            <w:r w:rsidRPr="00752D50">
                              <w:rPr>
                                <w:rFonts w:ascii="Arial" w:hAnsi="Arial" w:cs="Arial"/>
                                <w:sz w:val="20"/>
                                <w:szCs w:val="20"/>
                              </w:rPr>
                              <w:t>Tilvik</w:t>
                            </w:r>
                          </w:p>
                        </w:tc>
                        <w:tc>
                          <w:tcPr>
                            <w:tcW w:w="950" w:type="dxa"/>
                            <w:tcBorders>
                              <w:bottom w:val="single" w:sz="4" w:space="0" w:color="auto"/>
                            </w:tcBorders>
                            <w:shd w:val="clear" w:color="auto" w:fill="auto"/>
                          </w:tcPr>
                          <w:p w14:paraId="05B8C4E8" w14:textId="77777777" w:rsidR="00CF33A2" w:rsidRPr="00752D50"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4EF" w14:textId="77777777" w:rsidTr="006130B4">
                        <w:tc>
                          <w:tcPr>
                            <w:tcW w:w="817" w:type="dxa"/>
                            <w:shd w:val="clear" w:color="auto" w:fill="auto"/>
                          </w:tcPr>
                          <w:p w14:paraId="05B8C4EA"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4EB"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4EC"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4ED" w14:textId="77777777" w:rsidR="00CF33A2" w:rsidRPr="0055776F" w:rsidRDefault="00CF33A2" w:rsidP="0009545B">
                            <w:pPr>
                              <w:rPr>
                                <w:rFonts w:ascii="Arial" w:hAnsi="Arial" w:cs="Arial"/>
                                <w:sz w:val="20"/>
                                <w:szCs w:val="20"/>
                              </w:rPr>
                            </w:pPr>
                            <w:r w:rsidRPr="0055776F">
                              <w:rPr>
                                <w:rFonts w:ascii="Arial" w:hAnsi="Arial" w:cs="Arial"/>
                                <w:sz w:val="20"/>
                                <w:szCs w:val="20"/>
                              </w:rPr>
                              <w:t>84</w:t>
                            </w:r>
                          </w:p>
                        </w:tc>
                        <w:tc>
                          <w:tcPr>
                            <w:tcW w:w="950" w:type="dxa"/>
                            <w:tcBorders>
                              <w:top w:val="single" w:sz="4" w:space="0" w:color="auto"/>
                            </w:tcBorders>
                            <w:shd w:val="clear" w:color="auto" w:fill="auto"/>
                          </w:tcPr>
                          <w:p w14:paraId="05B8C4EE" w14:textId="77777777" w:rsidR="00CF33A2" w:rsidRPr="0055776F" w:rsidRDefault="00CF33A2" w:rsidP="0009545B">
                            <w:pPr>
                              <w:rPr>
                                <w:rFonts w:ascii="Arial" w:hAnsi="Arial" w:cs="Arial"/>
                                <w:sz w:val="20"/>
                                <w:szCs w:val="20"/>
                              </w:rPr>
                            </w:pPr>
                            <w:r w:rsidRPr="0055776F">
                              <w:rPr>
                                <w:rFonts w:ascii="Arial" w:hAnsi="Arial" w:cs="Arial"/>
                                <w:sz w:val="20"/>
                                <w:szCs w:val="20"/>
                              </w:rPr>
                              <w:t>115</w:t>
                            </w:r>
                          </w:p>
                        </w:tc>
                      </w:tr>
                      <w:tr w:rsidR="00CF33A2" w:rsidRPr="0055776F" w14:paraId="05B8C4F5" w14:textId="77777777" w:rsidTr="006130B4">
                        <w:tc>
                          <w:tcPr>
                            <w:tcW w:w="817" w:type="dxa"/>
                            <w:shd w:val="clear" w:color="auto" w:fill="auto"/>
                          </w:tcPr>
                          <w:p w14:paraId="05B8C4F0"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4F1"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4F2"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4F3" w14:textId="77777777" w:rsidR="00CF33A2" w:rsidRPr="0055776F" w:rsidRDefault="00CF33A2" w:rsidP="0009545B">
                            <w:pPr>
                              <w:rPr>
                                <w:rFonts w:ascii="Arial" w:hAnsi="Arial" w:cs="Arial"/>
                                <w:sz w:val="20"/>
                                <w:szCs w:val="20"/>
                              </w:rPr>
                            </w:pPr>
                            <w:r w:rsidRPr="0055776F">
                              <w:rPr>
                                <w:rFonts w:ascii="Arial" w:hAnsi="Arial" w:cs="Arial"/>
                                <w:sz w:val="20"/>
                                <w:szCs w:val="20"/>
                              </w:rPr>
                              <w:t>50</w:t>
                            </w:r>
                          </w:p>
                        </w:tc>
                        <w:tc>
                          <w:tcPr>
                            <w:tcW w:w="950" w:type="dxa"/>
                            <w:tcBorders>
                              <w:bottom w:val="single" w:sz="4" w:space="0" w:color="auto"/>
                            </w:tcBorders>
                            <w:shd w:val="clear" w:color="auto" w:fill="auto"/>
                          </w:tcPr>
                          <w:p w14:paraId="05B8C4F4" w14:textId="77777777" w:rsidR="00CF33A2" w:rsidRPr="0055776F" w:rsidRDefault="00CF33A2" w:rsidP="0009545B">
                            <w:pPr>
                              <w:rPr>
                                <w:rFonts w:ascii="Arial" w:hAnsi="Arial" w:cs="Arial"/>
                                <w:sz w:val="20"/>
                                <w:szCs w:val="20"/>
                              </w:rPr>
                            </w:pPr>
                            <w:r w:rsidRPr="0055776F">
                              <w:rPr>
                                <w:rFonts w:ascii="Arial" w:hAnsi="Arial" w:cs="Arial"/>
                                <w:sz w:val="20"/>
                                <w:szCs w:val="20"/>
                              </w:rPr>
                              <w:t>148</w:t>
                            </w:r>
                          </w:p>
                        </w:tc>
                      </w:tr>
                      <w:tr w:rsidR="00CF33A2" w:rsidRPr="0055776F" w14:paraId="05B8C4FB" w14:textId="77777777" w:rsidTr="006130B4">
                        <w:tc>
                          <w:tcPr>
                            <w:tcW w:w="817" w:type="dxa"/>
                            <w:shd w:val="clear" w:color="auto" w:fill="auto"/>
                          </w:tcPr>
                          <w:p w14:paraId="05B8C4F6"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4F7"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4F8"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4F9" w14:textId="77777777" w:rsidR="00CF33A2" w:rsidRPr="0055776F" w:rsidRDefault="00CF33A2" w:rsidP="0009545B">
                            <w:pPr>
                              <w:rPr>
                                <w:rFonts w:ascii="Arial" w:hAnsi="Arial" w:cs="Arial"/>
                                <w:sz w:val="20"/>
                                <w:szCs w:val="20"/>
                              </w:rPr>
                            </w:pPr>
                          </w:p>
                        </w:tc>
                        <w:tc>
                          <w:tcPr>
                            <w:tcW w:w="950" w:type="dxa"/>
                            <w:tcBorders>
                              <w:top w:val="single" w:sz="4" w:space="0" w:color="auto"/>
                            </w:tcBorders>
                            <w:shd w:val="clear" w:color="auto" w:fill="auto"/>
                          </w:tcPr>
                          <w:p w14:paraId="05B8C4FA" w14:textId="77777777" w:rsidR="00CF33A2" w:rsidRPr="0055776F" w:rsidRDefault="00CF33A2" w:rsidP="0009545B">
                            <w:pPr>
                              <w:rPr>
                                <w:rFonts w:ascii="Arial" w:hAnsi="Arial" w:cs="Arial"/>
                                <w:sz w:val="20"/>
                                <w:szCs w:val="20"/>
                              </w:rPr>
                            </w:pPr>
                          </w:p>
                        </w:tc>
                      </w:tr>
                    </w:tbl>
                    <w:p w14:paraId="05B8C4FC" w14:textId="77777777" w:rsidR="00CF33A2" w:rsidRPr="00A33DBA" w:rsidRDefault="00CF33A2" w:rsidP="00CB7126">
                      <w:pPr>
                        <w:rPr>
                          <w:rFonts w:ascii="Arial" w:hAnsi="Arial" w:cs="Arial"/>
                          <w:sz w:val="20"/>
                          <w:szCs w:val="20"/>
                        </w:rPr>
                      </w:pPr>
                    </w:p>
                  </w:txbxContent>
                </v:textbox>
              </v:shape>
            </w:pict>
          </mc:Fallback>
        </mc:AlternateContent>
      </w:r>
      <w:r w:rsidRPr="006774D3">
        <w:rPr>
          <w:noProof/>
          <w:lang w:eastAsia="en-GB"/>
        </w:rPr>
        <mc:AlternateContent>
          <mc:Choice Requires="wps">
            <w:drawing>
              <wp:anchor distT="0" distB="0" distL="114300" distR="114300" simplePos="0" relativeHeight="251652096" behindDoc="0" locked="0" layoutInCell="1" allowOverlap="1" wp14:anchorId="05B8C4B0" wp14:editId="05B8C4B1">
                <wp:simplePos x="0" y="0"/>
                <wp:positionH relativeFrom="column">
                  <wp:posOffset>-293370</wp:posOffset>
                </wp:positionH>
                <wp:positionV relativeFrom="paragraph">
                  <wp:posOffset>93345</wp:posOffset>
                </wp:positionV>
                <wp:extent cx="335915" cy="2037715"/>
                <wp:effectExtent l="1905" t="7620" r="5080" b="25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037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4FD" w14:textId="77777777" w:rsidR="00CF33A2" w:rsidRPr="00A33DBA" w:rsidRDefault="00CF33A2" w:rsidP="00752D50">
                            <w:pPr>
                              <w:rPr>
                                <w:rFonts w:ascii="Arial" w:hAnsi="Arial" w:cs="Arial"/>
                                <w:sz w:val="20"/>
                                <w:szCs w:val="20"/>
                              </w:rPr>
                            </w:pPr>
                            <w:r>
                              <w:rPr>
                                <w:rFonts w:ascii="Arial" w:hAnsi="Arial" w:cs="Arial"/>
                                <w:sz w:val="20"/>
                                <w:szCs w:val="20"/>
                              </w:rPr>
                              <w:t>Líkur á lifun án endurkomu æxlis</w:t>
                            </w:r>
                          </w:p>
                          <w:p w14:paraId="05B8C4FE" w14:textId="77777777" w:rsidR="00CF33A2" w:rsidRPr="00A33DBA" w:rsidRDefault="00CF33A2" w:rsidP="00B069F7">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B0" id="_x0000_s1027" type="#_x0000_t202" style="position:absolute;margin-left:-23.1pt;margin-top:7.35pt;width:26.45pt;height:16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" stroked="f">
                <v:fill opacity="0"/>
                <v:textbox style="layout-flow:vertical;mso-layout-flow-alt:bottom-to-top">
                  <w:txbxContent>
                    <w:p w14:paraId="05B8C4FD" w14:textId="77777777" w:rsidR="00CF33A2" w:rsidRPr="00A33DBA" w:rsidRDefault="00CF33A2" w:rsidP="00752D50">
                      <w:pPr>
                        <w:rPr>
                          <w:rFonts w:ascii="Arial" w:hAnsi="Arial" w:cs="Arial"/>
                          <w:sz w:val="20"/>
                          <w:szCs w:val="20"/>
                        </w:rPr>
                      </w:pPr>
                      <w:r>
                        <w:rPr>
                          <w:rFonts w:ascii="Arial" w:hAnsi="Arial" w:cs="Arial"/>
                          <w:sz w:val="20"/>
                          <w:szCs w:val="20"/>
                        </w:rPr>
                        <w:t>Líkur á lifun án endurkomu æxlis</w:t>
                      </w:r>
                    </w:p>
                    <w:p w14:paraId="05B8C4FE" w14:textId="77777777" w:rsidR="00CF33A2" w:rsidRPr="00A33DBA" w:rsidRDefault="00CF33A2" w:rsidP="00B069F7">
                      <w:pPr>
                        <w:rPr>
                          <w:rFonts w:ascii="Arial" w:hAnsi="Arial" w:cs="Arial"/>
                          <w:sz w:val="20"/>
                          <w:szCs w:val="20"/>
                        </w:rPr>
                      </w:pPr>
                    </w:p>
                  </w:txbxContent>
                </v:textbox>
              </v:shape>
            </w:pict>
          </mc:Fallback>
        </mc:AlternateContent>
      </w:r>
      <w:r w:rsidRPr="006774D3">
        <w:rPr>
          <w:noProof/>
          <w:lang w:eastAsia="en-GB"/>
        </w:rPr>
        <w:drawing>
          <wp:inline distT="0" distB="0" distL="0" distR="0" wp14:anchorId="05B8C4B2" wp14:editId="05B8C4B3">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05B8B4E5" w14:textId="77777777" w:rsidR="00B069F7" w:rsidRPr="006774D3" w:rsidRDefault="00EA2A58" w:rsidP="00F77C66">
      <w:pPr>
        <w:rPr>
          <w:rFonts w:eastAsia="MS Mincho"/>
          <w:sz w:val="22"/>
          <w:szCs w:val="22"/>
        </w:rPr>
      </w:pPr>
      <w:r w:rsidRPr="006774D3">
        <w:rPr>
          <w:rFonts w:eastAsia="MS Mincho"/>
          <w:noProof/>
          <w:sz w:val="22"/>
          <w:szCs w:val="22"/>
          <w:lang w:eastAsia="en-GB"/>
        </w:rPr>
        <mc:AlternateContent>
          <mc:Choice Requires="wps">
            <w:drawing>
              <wp:anchor distT="0" distB="0" distL="114300" distR="114300" simplePos="0" relativeHeight="251657216" behindDoc="0" locked="0" layoutInCell="1" allowOverlap="1" wp14:anchorId="05B8C4B4" wp14:editId="05B8C4B5">
                <wp:simplePos x="0" y="0"/>
                <wp:positionH relativeFrom="column">
                  <wp:posOffset>2282190</wp:posOffset>
                </wp:positionH>
                <wp:positionV relativeFrom="paragraph">
                  <wp:posOffset>19050</wp:posOffset>
                </wp:positionV>
                <wp:extent cx="1619250" cy="276225"/>
                <wp:effectExtent l="5715" t="0" r="381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4FF" w14:textId="77777777" w:rsidR="00CF33A2" w:rsidRPr="00A33DBA" w:rsidRDefault="00CF33A2" w:rsidP="00B069F7">
                            <w:pPr>
                              <w:rPr>
                                <w:rFonts w:ascii="Arial" w:hAnsi="Arial" w:cs="Arial"/>
                                <w:sz w:val="20"/>
                                <w:szCs w:val="20"/>
                              </w:rPr>
                            </w:pPr>
                            <w:r>
                              <w:rPr>
                                <w:rFonts w:ascii="Arial" w:hAnsi="Arial" w:cs="Arial"/>
                                <w:sz w:val="20"/>
                                <w:szCs w:val="20"/>
                                <w:lang w:val="de-DE"/>
                              </w:rPr>
                              <w:t>Lifunartími í mánuðum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B4" id="_x0000_s1028" type="#_x0000_t202" style="position:absolute;margin-left:179.7pt;margin-top:1.5pt;width:127.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" stroked="f">
                <v:fill opacity="0"/>
                <v:textbox>
                  <w:txbxContent>
                    <w:p w14:paraId="05B8C4FF" w14:textId="77777777" w:rsidR="00CF33A2" w:rsidRPr="00A33DBA" w:rsidRDefault="00CF33A2" w:rsidP="00B069F7">
                      <w:pPr>
                        <w:rPr>
                          <w:rFonts w:ascii="Arial" w:hAnsi="Arial" w:cs="Arial"/>
                          <w:sz w:val="20"/>
                          <w:szCs w:val="20"/>
                        </w:rPr>
                      </w:pPr>
                      <w:r>
                        <w:rPr>
                          <w:rFonts w:ascii="Arial" w:hAnsi="Arial" w:cs="Arial"/>
                          <w:sz w:val="20"/>
                          <w:szCs w:val="20"/>
                          <w:lang w:val="de-DE"/>
                        </w:rPr>
                        <w:t>Lifunartími í mánuðum</w:t>
                      </w:r>
                    </w:p>
                  </w:txbxContent>
                </v:textbox>
              </v:shape>
            </w:pict>
          </mc:Fallback>
        </mc:AlternateContent>
      </w:r>
    </w:p>
    <w:p w14:paraId="05B8B4E6" w14:textId="77777777" w:rsidR="00B069F7" w:rsidRPr="006774D3" w:rsidRDefault="00B069F7" w:rsidP="00F77C66"/>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069F7" w:rsidRPr="006774D3" w14:paraId="05B8B4E8" w14:textId="77777777" w:rsidTr="003047DD">
        <w:tc>
          <w:tcPr>
            <w:tcW w:w="10599" w:type="dxa"/>
            <w:gridSpan w:val="16"/>
            <w:shd w:val="clear" w:color="auto" w:fill="auto"/>
          </w:tcPr>
          <w:p w14:paraId="05B8B4E7" w14:textId="77777777" w:rsidR="00B069F7" w:rsidRPr="006774D3" w:rsidRDefault="00752D50" w:rsidP="00F77C66">
            <w:pPr>
              <w:ind w:left="-27"/>
              <w:rPr>
                <w:rFonts w:ascii="Arial" w:hAnsi="Arial" w:cs="Arial"/>
                <w:sz w:val="16"/>
                <w:szCs w:val="16"/>
              </w:rPr>
            </w:pPr>
            <w:r w:rsidRPr="006774D3">
              <w:rPr>
                <w:rFonts w:ascii="Arial" w:hAnsi="Arial" w:cs="Arial"/>
                <w:sz w:val="20"/>
                <w:szCs w:val="20"/>
              </w:rPr>
              <w:t>Í áhættu : Tilvik</w:t>
            </w:r>
          </w:p>
        </w:tc>
      </w:tr>
      <w:tr w:rsidR="00B069F7" w:rsidRPr="006774D3" w14:paraId="05B8B4F9" w14:textId="77777777" w:rsidTr="003047DD">
        <w:tc>
          <w:tcPr>
            <w:tcW w:w="450" w:type="dxa"/>
            <w:shd w:val="clear" w:color="auto" w:fill="auto"/>
          </w:tcPr>
          <w:p w14:paraId="05B8B4E9" w14:textId="77777777" w:rsidR="00B069F7" w:rsidRPr="006774D3" w:rsidRDefault="00B069F7" w:rsidP="00F77C66">
            <w:pPr>
              <w:rPr>
                <w:sz w:val="20"/>
                <w:szCs w:val="20"/>
              </w:rPr>
            </w:pPr>
            <w:r w:rsidRPr="006774D3">
              <w:rPr>
                <w:sz w:val="20"/>
                <w:szCs w:val="20"/>
              </w:rPr>
              <w:t>(1)</w:t>
            </w:r>
          </w:p>
        </w:tc>
        <w:tc>
          <w:tcPr>
            <w:tcW w:w="646" w:type="dxa"/>
            <w:shd w:val="clear" w:color="auto" w:fill="auto"/>
          </w:tcPr>
          <w:p w14:paraId="05B8B4EA" w14:textId="77777777" w:rsidR="00B069F7" w:rsidRPr="006774D3" w:rsidRDefault="00B069F7" w:rsidP="00F77C66">
            <w:pPr>
              <w:ind w:left="-27"/>
              <w:rPr>
                <w:sz w:val="20"/>
                <w:szCs w:val="20"/>
              </w:rPr>
            </w:pPr>
            <w:r w:rsidRPr="006774D3">
              <w:rPr>
                <w:sz w:val="20"/>
                <w:szCs w:val="20"/>
              </w:rPr>
              <w:t>199:0</w:t>
            </w:r>
          </w:p>
        </w:tc>
        <w:tc>
          <w:tcPr>
            <w:tcW w:w="645" w:type="dxa"/>
            <w:shd w:val="clear" w:color="auto" w:fill="auto"/>
          </w:tcPr>
          <w:p w14:paraId="05B8B4EB" w14:textId="77777777" w:rsidR="00B069F7" w:rsidRPr="006774D3" w:rsidRDefault="00B069F7" w:rsidP="00F77C66">
            <w:pPr>
              <w:ind w:left="-27"/>
              <w:rPr>
                <w:sz w:val="20"/>
                <w:szCs w:val="20"/>
              </w:rPr>
            </w:pPr>
            <w:r w:rsidRPr="006774D3">
              <w:rPr>
                <w:sz w:val="20"/>
                <w:szCs w:val="20"/>
              </w:rPr>
              <w:t>182:8</w:t>
            </w:r>
          </w:p>
        </w:tc>
        <w:tc>
          <w:tcPr>
            <w:tcW w:w="745" w:type="dxa"/>
            <w:shd w:val="clear" w:color="auto" w:fill="auto"/>
          </w:tcPr>
          <w:p w14:paraId="05B8B4EC" w14:textId="77777777" w:rsidR="00B069F7" w:rsidRPr="006774D3" w:rsidRDefault="00B069F7" w:rsidP="00F77C66">
            <w:pPr>
              <w:ind w:left="-27"/>
              <w:rPr>
                <w:sz w:val="20"/>
                <w:szCs w:val="20"/>
              </w:rPr>
            </w:pPr>
            <w:r w:rsidRPr="006774D3">
              <w:rPr>
                <w:sz w:val="20"/>
                <w:szCs w:val="20"/>
              </w:rPr>
              <w:t>177:12</w:t>
            </w:r>
          </w:p>
        </w:tc>
        <w:tc>
          <w:tcPr>
            <w:tcW w:w="745" w:type="dxa"/>
            <w:shd w:val="clear" w:color="auto" w:fill="auto"/>
          </w:tcPr>
          <w:p w14:paraId="05B8B4ED" w14:textId="77777777" w:rsidR="00B069F7" w:rsidRPr="006774D3" w:rsidRDefault="00B069F7" w:rsidP="00F77C66">
            <w:pPr>
              <w:ind w:left="-27"/>
              <w:rPr>
                <w:sz w:val="20"/>
                <w:szCs w:val="20"/>
              </w:rPr>
            </w:pPr>
            <w:r w:rsidRPr="006774D3">
              <w:rPr>
                <w:sz w:val="20"/>
                <w:szCs w:val="20"/>
              </w:rPr>
              <w:t>163:25</w:t>
            </w:r>
          </w:p>
        </w:tc>
        <w:tc>
          <w:tcPr>
            <w:tcW w:w="745" w:type="dxa"/>
            <w:shd w:val="clear" w:color="auto" w:fill="auto"/>
          </w:tcPr>
          <w:p w14:paraId="05B8B4EE" w14:textId="77777777" w:rsidR="00B069F7" w:rsidRPr="006774D3" w:rsidRDefault="00B069F7" w:rsidP="00F77C66">
            <w:pPr>
              <w:ind w:left="-27"/>
              <w:rPr>
                <w:sz w:val="20"/>
                <w:szCs w:val="20"/>
              </w:rPr>
            </w:pPr>
            <w:r w:rsidRPr="006774D3">
              <w:rPr>
                <w:sz w:val="20"/>
                <w:szCs w:val="20"/>
              </w:rPr>
              <w:t>137:46</w:t>
            </w:r>
          </w:p>
        </w:tc>
        <w:tc>
          <w:tcPr>
            <w:tcW w:w="752" w:type="dxa"/>
            <w:shd w:val="clear" w:color="auto" w:fill="auto"/>
          </w:tcPr>
          <w:p w14:paraId="05B8B4EF" w14:textId="77777777" w:rsidR="00B069F7" w:rsidRPr="006774D3" w:rsidRDefault="00B069F7" w:rsidP="00F77C66">
            <w:pPr>
              <w:ind w:left="-27"/>
              <w:rPr>
                <w:sz w:val="20"/>
                <w:szCs w:val="20"/>
              </w:rPr>
            </w:pPr>
            <w:r w:rsidRPr="006774D3">
              <w:rPr>
                <w:sz w:val="20"/>
                <w:szCs w:val="20"/>
              </w:rPr>
              <w:t>105:65</w:t>
            </w:r>
          </w:p>
        </w:tc>
        <w:tc>
          <w:tcPr>
            <w:tcW w:w="745" w:type="dxa"/>
            <w:shd w:val="clear" w:color="auto" w:fill="auto"/>
          </w:tcPr>
          <w:p w14:paraId="05B8B4F0" w14:textId="77777777" w:rsidR="00B069F7" w:rsidRPr="006774D3" w:rsidRDefault="00B069F7" w:rsidP="00F77C66">
            <w:pPr>
              <w:ind w:left="-27"/>
              <w:rPr>
                <w:sz w:val="20"/>
                <w:szCs w:val="20"/>
              </w:rPr>
            </w:pPr>
            <w:r w:rsidRPr="006774D3">
              <w:rPr>
                <w:sz w:val="20"/>
                <w:szCs w:val="20"/>
              </w:rPr>
              <w:t>88:72</w:t>
            </w:r>
          </w:p>
        </w:tc>
        <w:tc>
          <w:tcPr>
            <w:tcW w:w="745" w:type="dxa"/>
            <w:shd w:val="clear" w:color="auto" w:fill="auto"/>
          </w:tcPr>
          <w:p w14:paraId="05B8B4F1" w14:textId="77777777" w:rsidR="00B069F7" w:rsidRPr="006774D3" w:rsidRDefault="00B069F7" w:rsidP="00F77C66">
            <w:pPr>
              <w:ind w:left="-27"/>
              <w:rPr>
                <w:sz w:val="20"/>
                <w:szCs w:val="20"/>
              </w:rPr>
            </w:pPr>
            <w:r w:rsidRPr="006774D3">
              <w:rPr>
                <w:sz w:val="20"/>
                <w:szCs w:val="20"/>
              </w:rPr>
              <w:t>61:77</w:t>
            </w:r>
          </w:p>
        </w:tc>
        <w:tc>
          <w:tcPr>
            <w:tcW w:w="652" w:type="dxa"/>
            <w:shd w:val="clear" w:color="auto" w:fill="auto"/>
          </w:tcPr>
          <w:p w14:paraId="05B8B4F2" w14:textId="77777777" w:rsidR="00B069F7" w:rsidRPr="006774D3" w:rsidRDefault="00B069F7" w:rsidP="00F77C66">
            <w:pPr>
              <w:ind w:left="-27"/>
              <w:rPr>
                <w:sz w:val="20"/>
                <w:szCs w:val="20"/>
              </w:rPr>
            </w:pPr>
            <w:r w:rsidRPr="006774D3">
              <w:rPr>
                <w:sz w:val="20"/>
                <w:szCs w:val="20"/>
              </w:rPr>
              <w:t>49:81</w:t>
            </w:r>
          </w:p>
        </w:tc>
        <w:tc>
          <w:tcPr>
            <w:tcW w:w="652" w:type="dxa"/>
            <w:shd w:val="clear" w:color="auto" w:fill="auto"/>
          </w:tcPr>
          <w:p w14:paraId="05B8B4F3" w14:textId="77777777" w:rsidR="00B069F7" w:rsidRPr="006774D3" w:rsidRDefault="00B069F7" w:rsidP="00F77C66">
            <w:pPr>
              <w:ind w:left="-27"/>
              <w:rPr>
                <w:sz w:val="20"/>
                <w:szCs w:val="20"/>
              </w:rPr>
            </w:pPr>
            <w:r w:rsidRPr="006774D3">
              <w:rPr>
                <w:sz w:val="20"/>
                <w:szCs w:val="20"/>
              </w:rPr>
              <w:t>36:83</w:t>
            </w:r>
          </w:p>
        </w:tc>
        <w:tc>
          <w:tcPr>
            <w:tcW w:w="649" w:type="dxa"/>
            <w:shd w:val="clear" w:color="auto" w:fill="auto"/>
          </w:tcPr>
          <w:p w14:paraId="05B8B4F4" w14:textId="77777777" w:rsidR="00B069F7" w:rsidRPr="006774D3" w:rsidRDefault="00B069F7" w:rsidP="00F77C66">
            <w:pPr>
              <w:ind w:left="-27"/>
              <w:rPr>
                <w:sz w:val="20"/>
                <w:szCs w:val="20"/>
              </w:rPr>
            </w:pPr>
            <w:r w:rsidRPr="006774D3">
              <w:rPr>
                <w:sz w:val="20"/>
                <w:szCs w:val="20"/>
              </w:rPr>
              <w:t>27:84</w:t>
            </w:r>
          </w:p>
        </w:tc>
        <w:tc>
          <w:tcPr>
            <w:tcW w:w="660" w:type="dxa"/>
            <w:shd w:val="clear" w:color="auto" w:fill="auto"/>
          </w:tcPr>
          <w:p w14:paraId="05B8B4F5" w14:textId="77777777" w:rsidR="00B069F7" w:rsidRPr="006774D3" w:rsidRDefault="00B069F7" w:rsidP="00F77C66">
            <w:pPr>
              <w:ind w:left="-27"/>
              <w:rPr>
                <w:sz w:val="20"/>
                <w:szCs w:val="20"/>
              </w:rPr>
            </w:pPr>
            <w:r w:rsidRPr="006774D3">
              <w:rPr>
                <w:sz w:val="20"/>
                <w:szCs w:val="20"/>
              </w:rPr>
              <w:t>14:84</w:t>
            </w:r>
          </w:p>
        </w:tc>
        <w:tc>
          <w:tcPr>
            <w:tcW w:w="649" w:type="dxa"/>
            <w:shd w:val="clear" w:color="auto" w:fill="auto"/>
          </w:tcPr>
          <w:p w14:paraId="05B8B4F6" w14:textId="77777777" w:rsidR="00B069F7" w:rsidRPr="006774D3" w:rsidRDefault="00B069F7" w:rsidP="00F77C66">
            <w:pPr>
              <w:ind w:left="-27"/>
              <w:rPr>
                <w:sz w:val="20"/>
                <w:szCs w:val="20"/>
              </w:rPr>
            </w:pPr>
            <w:r w:rsidRPr="006774D3">
              <w:rPr>
                <w:sz w:val="20"/>
                <w:szCs w:val="20"/>
              </w:rPr>
              <w:t>10:84</w:t>
            </w:r>
          </w:p>
        </w:tc>
        <w:tc>
          <w:tcPr>
            <w:tcW w:w="564" w:type="dxa"/>
            <w:shd w:val="clear" w:color="auto" w:fill="auto"/>
          </w:tcPr>
          <w:p w14:paraId="05B8B4F7" w14:textId="77777777" w:rsidR="00B069F7" w:rsidRPr="006774D3" w:rsidRDefault="00B069F7" w:rsidP="00F77C66">
            <w:pPr>
              <w:ind w:left="-27"/>
              <w:rPr>
                <w:sz w:val="20"/>
                <w:szCs w:val="20"/>
              </w:rPr>
            </w:pPr>
            <w:r w:rsidRPr="006774D3">
              <w:rPr>
                <w:sz w:val="20"/>
                <w:szCs w:val="20"/>
              </w:rPr>
              <w:t>2:84</w:t>
            </w:r>
          </w:p>
        </w:tc>
        <w:tc>
          <w:tcPr>
            <w:tcW w:w="555" w:type="dxa"/>
            <w:shd w:val="clear" w:color="auto" w:fill="auto"/>
          </w:tcPr>
          <w:p w14:paraId="05B8B4F8" w14:textId="77777777" w:rsidR="00B069F7" w:rsidRPr="006774D3" w:rsidRDefault="00B069F7" w:rsidP="00F77C66">
            <w:pPr>
              <w:ind w:left="-27"/>
              <w:rPr>
                <w:sz w:val="20"/>
                <w:szCs w:val="20"/>
              </w:rPr>
            </w:pPr>
            <w:r w:rsidRPr="006774D3">
              <w:rPr>
                <w:sz w:val="20"/>
                <w:szCs w:val="20"/>
              </w:rPr>
              <w:t>0:84</w:t>
            </w:r>
          </w:p>
        </w:tc>
      </w:tr>
      <w:tr w:rsidR="00B069F7" w:rsidRPr="006774D3" w14:paraId="05B8B50A" w14:textId="77777777" w:rsidTr="003047DD">
        <w:tc>
          <w:tcPr>
            <w:tcW w:w="450" w:type="dxa"/>
            <w:shd w:val="clear" w:color="auto" w:fill="auto"/>
          </w:tcPr>
          <w:p w14:paraId="05B8B4FA" w14:textId="77777777" w:rsidR="00B069F7" w:rsidRPr="006774D3" w:rsidRDefault="00B069F7" w:rsidP="00F77C66">
            <w:pPr>
              <w:rPr>
                <w:sz w:val="20"/>
                <w:szCs w:val="20"/>
              </w:rPr>
            </w:pPr>
            <w:r w:rsidRPr="006774D3">
              <w:rPr>
                <w:sz w:val="20"/>
                <w:szCs w:val="20"/>
              </w:rPr>
              <w:t>(2)</w:t>
            </w:r>
          </w:p>
        </w:tc>
        <w:tc>
          <w:tcPr>
            <w:tcW w:w="646" w:type="dxa"/>
            <w:shd w:val="clear" w:color="auto" w:fill="auto"/>
          </w:tcPr>
          <w:p w14:paraId="05B8B4FB" w14:textId="77777777" w:rsidR="00B069F7" w:rsidRPr="006774D3" w:rsidRDefault="00B069F7" w:rsidP="00F77C66">
            <w:pPr>
              <w:ind w:left="-27"/>
              <w:rPr>
                <w:sz w:val="20"/>
                <w:szCs w:val="20"/>
              </w:rPr>
            </w:pPr>
            <w:r w:rsidRPr="006774D3">
              <w:rPr>
                <w:sz w:val="20"/>
                <w:szCs w:val="20"/>
              </w:rPr>
              <w:t>198:0</w:t>
            </w:r>
          </w:p>
        </w:tc>
        <w:tc>
          <w:tcPr>
            <w:tcW w:w="645" w:type="dxa"/>
            <w:shd w:val="clear" w:color="auto" w:fill="auto"/>
          </w:tcPr>
          <w:p w14:paraId="05B8B4FC" w14:textId="77777777" w:rsidR="00B069F7" w:rsidRPr="006774D3" w:rsidRDefault="00B069F7" w:rsidP="00F77C66">
            <w:pPr>
              <w:ind w:left="-27"/>
              <w:rPr>
                <w:sz w:val="20"/>
                <w:szCs w:val="20"/>
              </w:rPr>
            </w:pPr>
            <w:r w:rsidRPr="006774D3">
              <w:rPr>
                <w:sz w:val="20"/>
                <w:szCs w:val="20"/>
              </w:rPr>
              <w:t>189:5</w:t>
            </w:r>
          </w:p>
        </w:tc>
        <w:tc>
          <w:tcPr>
            <w:tcW w:w="745" w:type="dxa"/>
            <w:shd w:val="clear" w:color="auto" w:fill="auto"/>
          </w:tcPr>
          <w:p w14:paraId="05B8B4FD" w14:textId="77777777" w:rsidR="00B069F7" w:rsidRPr="006774D3" w:rsidRDefault="00B069F7" w:rsidP="00F77C66">
            <w:pPr>
              <w:ind w:left="-27"/>
              <w:rPr>
                <w:sz w:val="20"/>
                <w:szCs w:val="20"/>
              </w:rPr>
            </w:pPr>
            <w:r w:rsidRPr="006774D3">
              <w:rPr>
                <w:sz w:val="20"/>
                <w:szCs w:val="20"/>
              </w:rPr>
              <w:t>184:8</w:t>
            </w:r>
          </w:p>
        </w:tc>
        <w:tc>
          <w:tcPr>
            <w:tcW w:w="745" w:type="dxa"/>
            <w:shd w:val="clear" w:color="auto" w:fill="auto"/>
          </w:tcPr>
          <w:p w14:paraId="05B8B4FE" w14:textId="77777777" w:rsidR="00B069F7" w:rsidRPr="006774D3" w:rsidRDefault="00B069F7" w:rsidP="00F77C66">
            <w:pPr>
              <w:ind w:left="-27"/>
              <w:rPr>
                <w:sz w:val="20"/>
                <w:szCs w:val="20"/>
              </w:rPr>
            </w:pPr>
            <w:r w:rsidRPr="006774D3">
              <w:rPr>
                <w:sz w:val="20"/>
                <w:szCs w:val="20"/>
              </w:rPr>
              <w:t>181:11</w:t>
            </w:r>
          </w:p>
        </w:tc>
        <w:tc>
          <w:tcPr>
            <w:tcW w:w="745" w:type="dxa"/>
            <w:shd w:val="clear" w:color="auto" w:fill="auto"/>
          </w:tcPr>
          <w:p w14:paraId="05B8B4FF" w14:textId="77777777" w:rsidR="00B069F7" w:rsidRPr="006774D3" w:rsidRDefault="00B069F7" w:rsidP="00F77C66">
            <w:pPr>
              <w:ind w:left="-27"/>
              <w:rPr>
                <w:sz w:val="20"/>
                <w:szCs w:val="20"/>
              </w:rPr>
            </w:pPr>
            <w:r w:rsidRPr="006774D3">
              <w:rPr>
                <w:sz w:val="20"/>
                <w:szCs w:val="20"/>
              </w:rPr>
              <w:t>173:18</w:t>
            </w:r>
          </w:p>
        </w:tc>
        <w:tc>
          <w:tcPr>
            <w:tcW w:w="752" w:type="dxa"/>
            <w:shd w:val="clear" w:color="auto" w:fill="auto"/>
          </w:tcPr>
          <w:p w14:paraId="05B8B500" w14:textId="77777777" w:rsidR="00B069F7" w:rsidRPr="006774D3" w:rsidRDefault="00B069F7" w:rsidP="00F77C66">
            <w:pPr>
              <w:ind w:left="-27"/>
              <w:rPr>
                <w:sz w:val="20"/>
                <w:szCs w:val="20"/>
              </w:rPr>
            </w:pPr>
            <w:r w:rsidRPr="006774D3">
              <w:rPr>
                <w:sz w:val="20"/>
                <w:szCs w:val="20"/>
              </w:rPr>
              <w:t>152:22</w:t>
            </w:r>
          </w:p>
        </w:tc>
        <w:tc>
          <w:tcPr>
            <w:tcW w:w="745" w:type="dxa"/>
            <w:shd w:val="clear" w:color="auto" w:fill="auto"/>
          </w:tcPr>
          <w:p w14:paraId="05B8B501" w14:textId="77777777" w:rsidR="00B069F7" w:rsidRPr="006774D3" w:rsidRDefault="00B069F7" w:rsidP="00F77C66">
            <w:pPr>
              <w:ind w:left="-27"/>
              <w:rPr>
                <w:sz w:val="20"/>
                <w:szCs w:val="20"/>
              </w:rPr>
            </w:pPr>
            <w:r w:rsidRPr="006774D3">
              <w:rPr>
                <w:sz w:val="20"/>
                <w:szCs w:val="20"/>
              </w:rPr>
              <w:t>133:25</w:t>
            </w:r>
          </w:p>
        </w:tc>
        <w:tc>
          <w:tcPr>
            <w:tcW w:w="745" w:type="dxa"/>
            <w:shd w:val="clear" w:color="auto" w:fill="auto"/>
          </w:tcPr>
          <w:p w14:paraId="05B8B502" w14:textId="77777777" w:rsidR="00B069F7" w:rsidRPr="006774D3" w:rsidRDefault="00B069F7" w:rsidP="00F77C66">
            <w:pPr>
              <w:ind w:left="-27"/>
              <w:rPr>
                <w:sz w:val="20"/>
                <w:szCs w:val="20"/>
              </w:rPr>
            </w:pPr>
            <w:r w:rsidRPr="006774D3">
              <w:rPr>
                <w:sz w:val="20"/>
                <w:szCs w:val="20"/>
              </w:rPr>
              <w:t>102:29</w:t>
            </w:r>
          </w:p>
        </w:tc>
        <w:tc>
          <w:tcPr>
            <w:tcW w:w="652" w:type="dxa"/>
            <w:shd w:val="clear" w:color="auto" w:fill="auto"/>
          </w:tcPr>
          <w:p w14:paraId="05B8B503" w14:textId="77777777" w:rsidR="00B069F7" w:rsidRPr="006774D3" w:rsidRDefault="00B069F7" w:rsidP="00F77C66">
            <w:pPr>
              <w:ind w:left="-27"/>
              <w:rPr>
                <w:sz w:val="20"/>
                <w:szCs w:val="20"/>
              </w:rPr>
            </w:pPr>
            <w:r w:rsidRPr="006774D3">
              <w:rPr>
                <w:sz w:val="20"/>
                <w:szCs w:val="20"/>
              </w:rPr>
              <w:t>82:35</w:t>
            </w:r>
          </w:p>
        </w:tc>
        <w:tc>
          <w:tcPr>
            <w:tcW w:w="652" w:type="dxa"/>
            <w:shd w:val="clear" w:color="auto" w:fill="auto"/>
          </w:tcPr>
          <w:p w14:paraId="05B8B504" w14:textId="77777777" w:rsidR="00B069F7" w:rsidRPr="006774D3" w:rsidRDefault="00B069F7" w:rsidP="00F77C66">
            <w:pPr>
              <w:ind w:left="-27"/>
              <w:rPr>
                <w:sz w:val="20"/>
                <w:szCs w:val="20"/>
              </w:rPr>
            </w:pPr>
            <w:r w:rsidRPr="006774D3">
              <w:rPr>
                <w:sz w:val="20"/>
                <w:szCs w:val="20"/>
              </w:rPr>
              <w:t>54:46</w:t>
            </w:r>
          </w:p>
        </w:tc>
        <w:tc>
          <w:tcPr>
            <w:tcW w:w="649" w:type="dxa"/>
            <w:shd w:val="clear" w:color="auto" w:fill="auto"/>
          </w:tcPr>
          <w:p w14:paraId="05B8B505" w14:textId="77777777" w:rsidR="00B069F7" w:rsidRPr="006774D3" w:rsidRDefault="00B069F7" w:rsidP="00F77C66">
            <w:pPr>
              <w:ind w:left="-27"/>
              <w:rPr>
                <w:sz w:val="20"/>
                <w:szCs w:val="20"/>
              </w:rPr>
            </w:pPr>
            <w:r w:rsidRPr="006774D3">
              <w:rPr>
                <w:sz w:val="20"/>
                <w:szCs w:val="20"/>
              </w:rPr>
              <w:t>39:47</w:t>
            </w:r>
          </w:p>
        </w:tc>
        <w:tc>
          <w:tcPr>
            <w:tcW w:w="660" w:type="dxa"/>
            <w:shd w:val="clear" w:color="auto" w:fill="auto"/>
          </w:tcPr>
          <w:p w14:paraId="05B8B506" w14:textId="77777777" w:rsidR="00B069F7" w:rsidRPr="006774D3" w:rsidRDefault="00B069F7" w:rsidP="00F77C66">
            <w:pPr>
              <w:ind w:left="-27"/>
              <w:rPr>
                <w:sz w:val="20"/>
                <w:szCs w:val="20"/>
              </w:rPr>
            </w:pPr>
            <w:r w:rsidRPr="006774D3">
              <w:rPr>
                <w:sz w:val="20"/>
                <w:szCs w:val="20"/>
              </w:rPr>
              <w:t>21:49</w:t>
            </w:r>
          </w:p>
        </w:tc>
        <w:tc>
          <w:tcPr>
            <w:tcW w:w="649" w:type="dxa"/>
            <w:shd w:val="clear" w:color="auto" w:fill="auto"/>
          </w:tcPr>
          <w:p w14:paraId="05B8B507" w14:textId="77777777" w:rsidR="00B069F7" w:rsidRPr="006774D3" w:rsidRDefault="00B069F7" w:rsidP="00F77C66">
            <w:pPr>
              <w:ind w:left="-27"/>
              <w:rPr>
                <w:sz w:val="20"/>
                <w:szCs w:val="20"/>
              </w:rPr>
            </w:pPr>
            <w:r w:rsidRPr="006774D3">
              <w:rPr>
                <w:sz w:val="20"/>
                <w:szCs w:val="20"/>
              </w:rPr>
              <w:t>8:50</w:t>
            </w:r>
          </w:p>
        </w:tc>
        <w:tc>
          <w:tcPr>
            <w:tcW w:w="564" w:type="dxa"/>
            <w:shd w:val="clear" w:color="auto" w:fill="auto"/>
          </w:tcPr>
          <w:p w14:paraId="05B8B508" w14:textId="77777777" w:rsidR="00B069F7" w:rsidRPr="006774D3" w:rsidRDefault="00B069F7" w:rsidP="00F77C66">
            <w:pPr>
              <w:ind w:left="-27"/>
              <w:rPr>
                <w:sz w:val="20"/>
                <w:szCs w:val="20"/>
              </w:rPr>
            </w:pPr>
            <w:r w:rsidRPr="006774D3">
              <w:rPr>
                <w:sz w:val="20"/>
                <w:szCs w:val="20"/>
              </w:rPr>
              <w:t>0:50</w:t>
            </w:r>
          </w:p>
        </w:tc>
        <w:tc>
          <w:tcPr>
            <w:tcW w:w="555" w:type="dxa"/>
            <w:shd w:val="clear" w:color="auto" w:fill="auto"/>
          </w:tcPr>
          <w:p w14:paraId="05B8B509" w14:textId="77777777" w:rsidR="00B069F7" w:rsidRPr="006774D3" w:rsidRDefault="00B069F7" w:rsidP="00F77C66">
            <w:pPr>
              <w:ind w:left="-27"/>
              <w:rPr>
                <w:sz w:val="20"/>
                <w:szCs w:val="20"/>
              </w:rPr>
            </w:pPr>
          </w:p>
        </w:tc>
      </w:tr>
    </w:tbl>
    <w:p w14:paraId="05B8B50B" w14:textId="77777777" w:rsidR="00B069F7" w:rsidRPr="006774D3" w:rsidRDefault="00B069F7" w:rsidP="00F77C66">
      <w:pPr>
        <w:rPr>
          <w:rFonts w:eastAsia="MS Mincho"/>
          <w:sz w:val="22"/>
          <w:szCs w:val="22"/>
        </w:rPr>
      </w:pPr>
    </w:p>
    <w:p w14:paraId="05B8B50C" w14:textId="77777777" w:rsidR="00B069F7" w:rsidRPr="006774D3" w:rsidRDefault="00B069F7" w:rsidP="00F77C66">
      <w:pPr>
        <w:keepNext/>
        <w:widowControl w:val="0"/>
        <w:ind w:left="1134" w:hanging="1134"/>
        <w:rPr>
          <w:rFonts w:eastAsia="MS Mincho"/>
          <w:sz w:val="22"/>
          <w:szCs w:val="22"/>
        </w:rPr>
      </w:pPr>
      <w:r w:rsidRPr="006774D3">
        <w:rPr>
          <w:rFonts w:eastAsia="MS Mincho"/>
          <w:b/>
          <w:sz w:val="22"/>
          <w:szCs w:val="22"/>
        </w:rPr>
        <w:t>Mynd 2</w:t>
      </w:r>
      <w:r w:rsidRPr="006774D3">
        <w:rPr>
          <w:rFonts w:eastAsia="MS Mincho"/>
          <w:b/>
          <w:sz w:val="22"/>
          <w:szCs w:val="22"/>
        </w:rPr>
        <w:tab/>
        <w:t>Kaplan-Meier áætlun fyrir heildarlifun (ITT þýði)</w:t>
      </w:r>
    </w:p>
    <w:p w14:paraId="05B8B50D" w14:textId="77777777" w:rsidR="00B069F7" w:rsidRPr="006774D3" w:rsidRDefault="00B069F7" w:rsidP="00F77C66">
      <w:pPr>
        <w:keepNext/>
        <w:widowControl w:val="0"/>
        <w:ind w:left="1134" w:hanging="1134"/>
        <w:rPr>
          <w:rFonts w:eastAsia="MS Mincho"/>
          <w:sz w:val="22"/>
          <w:szCs w:val="22"/>
        </w:rPr>
      </w:pPr>
    </w:p>
    <w:p w14:paraId="05B8B50E" w14:textId="77777777" w:rsidR="00B069F7" w:rsidRPr="006774D3" w:rsidRDefault="00EA2A58" w:rsidP="00F77C66">
      <w:pPr>
        <w:rPr>
          <w:rFonts w:eastAsia="MS Mincho"/>
          <w:sz w:val="22"/>
          <w:szCs w:val="22"/>
        </w:rPr>
      </w:pPr>
      <w:r w:rsidRPr="006774D3">
        <w:rPr>
          <w:noProof/>
          <w:lang w:eastAsia="en-GB"/>
        </w:rPr>
        <mc:AlternateContent>
          <mc:Choice Requires="wps">
            <w:drawing>
              <wp:anchor distT="0" distB="0" distL="114300" distR="114300" simplePos="0" relativeHeight="251655168" behindDoc="0" locked="0" layoutInCell="1" allowOverlap="1" wp14:anchorId="05B8C4B6" wp14:editId="05B8C4B7">
                <wp:simplePos x="0" y="0"/>
                <wp:positionH relativeFrom="column">
                  <wp:posOffset>-293370</wp:posOffset>
                </wp:positionH>
                <wp:positionV relativeFrom="paragraph">
                  <wp:posOffset>410845</wp:posOffset>
                </wp:positionV>
                <wp:extent cx="335915" cy="1386840"/>
                <wp:effectExtent l="1905" t="1270" r="5080" b="25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86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00" w14:textId="77777777" w:rsidR="00CF33A2" w:rsidRPr="00A33DBA" w:rsidRDefault="00CF33A2" w:rsidP="00752D50">
                            <w:pPr>
                              <w:rPr>
                                <w:rFonts w:ascii="Arial" w:hAnsi="Arial" w:cs="Arial"/>
                                <w:sz w:val="20"/>
                                <w:szCs w:val="20"/>
                              </w:rPr>
                            </w:pPr>
                            <w:r>
                              <w:rPr>
                                <w:rFonts w:ascii="Arial" w:hAnsi="Arial" w:cs="Arial"/>
                                <w:sz w:val="20"/>
                                <w:szCs w:val="20"/>
                              </w:rPr>
                              <w:t>Líkur fyrir heildarlifun</w:t>
                            </w:r>
                          </w:p>
                          <w:p w14:paraId="05B8C501" w14:textId="77777777" w:rsidR="00CF33A2" w:rsidRPr="00A33DBA" w:rsidRDefault="00CF33A2" w:rsidP="00B069F7">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B6" id="_x0000_s1029" type="#_x0000_t202" style="position:absolute;margin-left:-23.1pt;margin-top:32.35pt;width:26.45pt;height:109.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" stroked="f">
                <v:fill opacity="0"/>
                <v:textbox style="layout-flow:vertical;mso-layout-flow-alt:bottom-to-top">
                  <w:txbxContent>
                    <w:p w14:paraId="05B8C500" w14:textId="77777777" w:rsidR="00CF33A2" w:rsidRPr="00A33DBA" w:rsidRDefault="00CF33A2" w:rsidP="00752D50">
                      <w:pPr>
                        <w:rPr>
                          <w:rFonts w:ascii="Arial" w:hAnsi="Arial" w:cs="Arial"/>
                          <w:sz w:val="20"/>
                          <w:szCs w:val="20"/>
                        </w:rPr>
                      </w:pPr>
                      <w:r>
                        <w:rPr>
                          <w:rFonts w:ascii="Arial" w:hAnsi="Arial" w:cs="Arial"/>
                          <w:sz w:val="20"/>
                          <w:szCs w:val="20"/>
                        </w:rPr>
                        <w:t>Líkur fyrir heildarlifun</w:t>
                      </w:r>
                    </w:p>
                    <w:p w14:paraId="05B8C501" w14:textId="77777777" w:rsidR="00CF33A2" w:rsidRPr="00A33DBA" w:rsidRDefault="00CF33A2" w:rsidP="00B069F7">
                      <w:pPr>
                        <w:rPr>
                          <w:rFonts w:ascii="Arial" w:hAnsi="Arial" w:cs="Arial"/>
                          <w:sz w:val="20"/>
                          <w:szCs w:val="20"/>
                        </w:rPr>
                      </w:pPr>
                    </w:p>
                  </w:txbxContent>
                </v:textbox>
              </v:shape>
            </w:pict>
          </mc:Fallback>
        </mc:AlternateContent>
      </w:r>
      <w:r w:rsidRPr="006774D3">
        <w:rPr>
          <w:rFonts w:eastAsia="MS Mincho"/>
          <w:noProof/>
          <w:sz w:val="22"/>
          <w:szCs w:val="22"/>
          <w:lang w:eastAsia="en-GB"/>
        </w:rPr>
        <mc:AlternateContent>
          <mc:Choice Requires="wps">
            <w:drawing>
              <wp:anchor distT="0" distB="0" distL="114300" distR="114300" simplePos="0" relativeHeight="251654144" behindDoc="0" locked="0" layoutInCell="1" allowOverlap="1" wp14:anchorId="05B8C4B8" wp14:editId="05B8C4B9">
                <wp:simplePos x="0" y="0"/>
                <wp:positionH relativeFrom="column">
                  <wp:posOffset>2196465</wp:posOffset>
                </wp:positionH>
                <wp:positionV relativeFrom="paragraph">
                  <wp:posOffset>2620645</wp:posOffset>
                </wp:positionV>
                <wp:extent cx="1540510" cy="295275"/>
                <wp:effectExtent l="5715" t="1270" r="6350" b="82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02" w14:textId="77777777" w:rsidR="00CF33A2" w:rsidRPr="00A33DBA" w:rsidRDefault="00CF33A2" w:rsidP="00752D50">
                            <w:pPr>
                              <w:rPr>
                                <w:rFonts w:ascii="Arial" w:hAnsi="Arial" w:cs="Arial"/>
                                <w:sz w:val="20"/>
                                <w:szCs w:val="20"/>
                              </w:rPr>
                            </w:pPr>
                            <w:r>
                              <w:rPr>
                                <w:rFonts w:ascii="Arial" w:hAnsi="Arial" w:cs="Arial"/>
                                <w:sz w:val="20"/>
                                <w:szCs w:val="20"/>
                                <w:lang w:val="de-DE"/>
                              </w:rPr>
                              <w:t>Lifunartími í mánuðum</w:t>
                            </w:r>
                          </w:p>
                          <w:p w14:paraId="05B8C503" w14:textId="77777777" w:rsidR="00CF33A2" w:rsidRPr="00A33DBA" w:rsidRDefault="00CF33A2" w:rsidP="00B069F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B8" id="_x0000_s1030" type="#_x0000_t202" style="position:absolute;margin-left:172.95pt;margin-top:206.35pt;width:121.3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" stroked="f">
                <v:fill opacity="0"/>
                <v:textbox>
                  <w:txbxContent>
                    <w:p w14:paraId="05B8C502" w14:textId="77777777" w:rsidR="00CF33A2" w:rsidRPr="00A33DBA" w:rsidRDefault="00CF33A2" w:rsidP="00752D50">
                      <w:pPr>
                        <w:rPr>
                          <w:rFonts w:ascii="Arial" w:hAnsi="Arial" w:cs="Arial"/>
                          <w:sz w:val="20"/>
                          <w:szCs w:val="20"/>
                        </w:rPr>
                      </w:pPr>
                      <w:r>
                        <w:rPr>
                          <w:rFonts w:ascii="Arial" w:hAnsi="Arial" w:cs="Arial"/>
                          <w:sz w:val="20"/>
                          <w:szCs w:val="20"/>
                          <w:lang w:val="de-DE"/>
                        </w:rPr>
                        <w:t>Lifunartími í mánuðum</w:t>
                      </w:r>
                    </w:p>
                    <w:p w14:paraId="05B8C503" w14:textId="77777777" w:rsidR="00CF33A2" w:rsidRPr="00A33DBA" w:rsidRDefault="00CF33A2" w:rsidP="00B069F7">
                      <w:pPr>
                        <w:rPr>
                          <w:rFonts w:ascii="Arial" w:hAnsi="Arial" w:cs="Arial"/>
                          <w:sz w:val="20"/>
                          <w:szCs w:val="20"/>
                        </w:rPr>
                      </w:pPr>
                    </w:p>
                  </w:txbxContent>
                </v:textbox>
              </v:shape>
            </w:pict>
          </mc:Fallback>
        </mc:AlternateContent>
      </w:r>
      <w:r w:rsidRPr="006774D3">
        <w:rPr>
          <w:noProof/>
          <w:lang w:eastAsia="en-GB"/>
        </w:rPr>
        <mc:AlternateContent>
          <mc:Choice Requires="wps">
            <w:drawing>
              <wp:anchor distT="0" distB="0" distL="114300" distR="114300" simplePos="0" relativeHeight="251656192" behindDoc="0" locked="0" layoutInCell="1" allowOverlap="1" wp14:anchorId="05B8C4BA" wp14:editId="05B8C4BB">
                <wp:simplePos x="0" y="0"/>
                <wp:positionH relativeFrom="column">
                  <wp:posOffset>350520</wp:posOffset>
                </wp:positionH>
                <wp:positionV relativeFrom="paragraph">
                  <wp:posOffset>963295</wp:posOffset>
                </wp:positionV>
                <wp:extent cx="4585335" cy="1428750"/>
                <wp:effectExtent l="0" t="127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8C504" w14:textId="77777777" w:rsidR="00CF33A2" w:rsidRDefault="00CF33A2" w:rsidP="00752D50">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950"/>
                            </w:tblGrid>
                            <w:tr w:rsidR="00CF33A2" w:rsidRPr="0055776F" w14:paraId="05B8C508" w14:textId="77777777" w:rsidTr="0009545B">
                              <w:tc>
                                <w:tcPr>
                                  <w:tcW w:w="5691" w:type="dxa"/>
                                  <w:gridSpan w:val="5"/>
                                  <w:shd w:val="clear" w:color="auto" w:fill="auto"/>
                                </w:tcPr>
                                <w:p w14:paraId="05B8C505" w14:textId="77777777" w:rsidR="00CF33A2" w:rsidRPr="00A33DBA" w:rsidRDefault="00CF33A2" w:rsidP="00752D50">
                                  <w:pPr>
                                    <w:rPr>
                                      <w:rFonts w:ascii="Arial" w:hAnsi="Arial" w:cs="Arial"/>
                                      <w:sz w:val="20"/>
                                      <w:szCs w:val="20"/>
                                    </w:rPr>
                                  </w:pPr>
                                  <w:r>
                                    <w:rPr>
                                      <w:rFonts w:ascii="Arial" w:hAnsi="Arial" w:cs="Arial"/>
                                      <w:sz w:val="20"/>
                                      <w:szCs w:val="20"/>
                                    </w:rPr>
                                    <w:t>P =</w:t>
                                  </w:r>
                                  <w:r w:rsidRPr="00A33DBA">
                                    <w:rPr>
                                      <w:rFonts w:ascii="Arial" w:hAnsi="Arial" w:cs="Arial"/>
                                      <w:sz w:val="20"/>
                                      <w:szCs w:val="20"/>
                                    </w:rPr>
                                    <w:t xml:space="preserve"> 0</w:t>
                                  </w:r>
                                  <w:r>
                                    <w:rPr>
                                      <w:rFonts w:ascii="Arial" w:hAnsi="Arial" w:cs="Arial"/>
                                      <w:sz w:val="20"/>
                                      <w:szCs w:val="20"/>
                                    </w:rPr>
                                    <w:t>,0</w:t>
                                  </w:r>
                                  <w:r w:rsidRPr="00A33DBA">
                                    <w:rPr>
                                      <w:rFonts w:ascii="Arial" w:hAnsi="Arial" w:cs="Arial"/>
                                      <w:sz w:val="20"/>
                                      <w:szCs w:val="20"/>
                                    </w:rPr>
                                    <w:t>19</w:t>
                                  </w:r>
                                </w:p>
                                <w:p w14:paraId="05B8C506" w14:textId="77777777" w:rsidR="00CF33A2" w:rsidRPr="00A33DBA" w:rsidRDefault="00CF33A2" w:rsidP="00752D50">
                                  <w:pPr>
                                    <w:rPr>
                                      <w:rFonts w:ascii="Arial" w:hAnsi="Arial" w:cs="Arial"/>
                                      <w:sz w:val="20"/>
                                      <w:szCs w:val="20"/>
                                    </w:rPr>
                                  </w:pPr>
                                  <w:r>
                                    <w:rPr>
                                      <w:rFonts w:ascii="Arial" w:hAnsi="Arial" w:cs="Arial"/>
                                      <w:sz w:val="20"/>
                                      <w:szCs w:val="20"/>
                                    </w:rPr>
                                    <w:t>Áhættuhlutfall</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5B8C507" w14:textId="77777777" w:rsidR="00CF33A2" w:rsidRPr="0055776F" w:rsidRDefault="00CF33A2" w:rsidP="00752D50">
                                  <w:pPr>
                                    <w:rPr>
                                      <w:rFonts w:ascii="Arial" w:hAnsi="Arial" w:cs="Arial"/>
                                      <w:sz w:val="20"/>
                                      <w:szCs w:val="20"/>
                                      <w:lang w:val="de-DE"/>
                                    </w:rPr>
                                  </w:pPr>
                                  <w:r>
                                    <w:rPr>
                                      <w:rFonts w:ascii="Arial" w:hAnsi="Arial" w:cs="Arial"/>
                                      <w:sz w:val="20"/>
                                      <w:szCs w:val="20"/>
                                    </w:rPr>
                                    <w:t>(95% Cl, 0,22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F33A2" w:rsidRPr="0055776F" w14:paraId="05B8C50E" w14:textId="77777777" w:rsidTr="0009545B">
                              <w:tc>
                                <w:tcPr>
                                  <w:tcW w:w="817" w:type="dxa"/>
                                  <w:shd w:val="clear" w:color="auto" w:fill="auto"/>
                                </w:tcPr>
                                <w:p w14:paraId="05B8C509" w14:textId="77777777" w:rsidR="00CF33A2" w:rsidRPr="0055776F" w:rsidRDefault="00CF33A2" w:rsidP="0009545B">
                                  <w:pPr>
                                    <w:rPr>
                                      <w:rFonts w:ascii="Arial" w:hAnsi="Arial" w:cs="Arial"/>
                                      <w:sz w:val="20"/>
                                      <w:szCs w:val="20"/>
                                    </w:rPr>
                                  </w:pPr>
                                </w:p>
                              </w:tc>
                              <w:tc>
                                <w:tcPr>
                                  <w:tcW w:w="2464" w:type="dxa"/>
                                  <w:shd w:val="clear" w:color="auto" w:fill="auto"/>
                                </w:tcPr>
                                <w:p w14:paraId="05B8C50A"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0B" w14:textId="77777777" w:rsidR="00CF33A2" w:rsidRPr="0055776F"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0C" w14:textId="77777777" w:rsidR="00CF33A2" w:rsidRPr="0055776F" w:rsidRDefault="00CF33A2" w:rsidP="0009545B">
                                  <w:pPr>
                                    <w:rPr>
                                      <w:rFonts w:ascii="Arial" w:hAnsi="Arial" w:cs="Arial"/>
                                      <w:sz w:val="20"/>
                                      <w:szCs w:val="20"/>
                                    </w:rPr>
                                  </w:pPr>
                                  <w:r w:rsidRPr="00752D50">
                                    <w:rPr>
                                      <w:rFonts w:ascii="Arial" w:hAnsi="Arial" w:cs="Arial"/>
                                      <w:sz w:val="20"/>
                                      <w:szCs w:val="20"/>
                                    </w:rPr>
                                    <w:t>Tilvik</w:t>
                                  </w:r>
                                </w:p>
                              </w:tc>
                              <w:tc>
                                <w:tcPr>
                                  <w:tcW w:w="850" w:type="dxa"/>
                                  <w:tcBorders>
                                    <w:bottom w:val="single" w:sz="4" w:space="0" w:color="auto"/>
                                  </w:tcBorders>
                                  <w:shd w:val="clear" w:color="auto" w:fill="auto"/>
                                </w:tcPr>
                                <w:p w14:paraId="05B8C50D" w14:textId="77777777" w:rsidR="00CF33A2" w:rsidRPr="0055776F"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14" w14:textId="77777777" w:rsidTr="0009545B">
                              <w:tc>
                                <w:tcPr>
                                  <w:tcW w:w="817" w:type="dxa"/>
                                  <w:shd w:val="clear" w:color="auto" w:fill="auto"/>
                                </w:tcPr>
                                <w:p w14:paraId="05B8C50F"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10"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11"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12" w14:textId="77777777" w:rsidR="00CF33A2" w:rsidRPr="0055776F" w:rsidRDefault="00CF33A2" w:rsidP="0009545B">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5B8C513" w14:textId="77777777" w:rsidR="00CF33A2" w:rsidRPr="0055776F" w:rsidRDefault="00CF33A2" w:rsidP="0009545B">
                                  <w:pPr>
                                    <w:rPr>
                                      <w:rFonts w:ascii="Arial" w:hAnsi="Arial" w:cs="Arial"/>
                                      <w:sz w:val="20"/>
                                      <w:szCs w:val="20"/>
                                    </w:rPr>
                                  </w:pPr>
                                  <w:r w:rsidRPr="0055776F">
                                    <w:rPr>
                                      <w:rFonts w:ascii="Arial" w:hAnsi="Arial" w:cs="Arial"/>
                                      <w:sz w:val="20"/>
                                      <w:szCs w:val="20"/>
                                    </w:rPr>
                                    <w:t>174</w:t>
                                  </w:r>
                                </w:p>
                              </w:tc>
                            </w:tr>
                            <w:tr w:rsidR="00CF33A2" w:rsidRPr="0055776F" w14:paraId="05B8C51A" w14:textId="77777777" w:rsidTr="0009545B">
                              <w:tc>
                                <w:tcPr>
                                  <w:tcW w:w="817" w:type="dxa"/>
                                  <w:shd w:val="clear" w:color="auto" w:fill="auto"/>
                                </w:tcPr>
                                <w:p w14:paraId="05B8C515"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16"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17"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18" w14:textId="77777777" w:rsidR="00CF33A2" w:rsidRPr="0055776F" w:rsidRDefault="00CF33A2" w:rsidP="0009545B">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05B8C519" w14:textId="77777777" w:rsidR="00CF33A2" w:rsidRPr="0055776F" w:rsidRDefault="00CF33A2" w:rsidP="0009545B">
                                  <w:pPr>
                                    <w:rPr>
                                      <w:rFonts w:ascii="Arial" w:hAnsi="Arial" w:cs="Arial"/>
                                      <w:sz w:val="20"/>
                                      <w:szCs w:val="20"/>
                                    </w:rPr>
                                  </w:pPr>
                                  <w:r w:rsidRPr="0055776F">
                                    <w:rPr>
                                      <w:rFonts w:ascii="Arial" w:hAnsi="Arial" w:cs="Arial"/>
                                      <w:sz w:val="20"/>
                                      <w:szCs w:val="20"/>
                                    </w:rPr>
                                    <w:t>186</w:t>
                                  </w:r>
                                </w:p>
                              </w:tc>
                            </w:tr>
                            <w:tr w:rsidR="00CF33A2" w:rsidRPr="0055776F" w14:paraId="05B8C520" w14:textId="77777777" w:rsidTr="0009545B">
                              <w:tc>
                                <w:tcPr>
                                  <w:tcW w:w="817" w:type="dxa"/>
                                  <w:shd w:val="clear" w:color="auto" w:fill="auto"/>
                                </w:tcPr>
                                <w:p w14:paraId="05B8C51B"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1C"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1D"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1E" w14:textId="77777777" w:rsidR="00CF33A2" w:rsidRPr="0055776F" w:rsidRDefault="00CF33A2" w:rsidP="0009545B">
                                  <w:pPr>
                                    <w:rPr>
                                      <w:rFonts w:ascii="Arial" w:hAnsi="Arial" w:cs="Arial"/>
                                      <w:sz w:val="20"/>
                                      <w:szCs w:val="20"/>
                                    </w:rPr>
                                  </w:pPr>
                                </w:p>
                              </w:tc>
                              <w:tc>
                                <w:tcPr>
                                  <w:tcW w:w="850" w:type="dxa"/>
                                  <w:tcBorders>
                                    <w:top w:val="single" w:sz="4" w:space="0" w:color="auto"/>
                                  </w:tcBorders>
                                  <w:shd w:val="clear" w:color="auto" w:fill="auto"/>
                                </w:tcPr>
                                <w:p w14:paraId="05B8C51F" w14:textId="77777777" w:rsidR="00CF33A2" w:rsidRPr="0055776F" w:rsidRDefault="00CF33A2" w:rsidP="0009545B">
                                  <w:pPr>
                                    <w:rPr>
                                      <w:rFonts w:ascii="Arial" w:hAnsi="Arial" w:cs="Arial"/>
                                      <w:sz w:val="20"/>
                                      <w:szCs w:val="20"/>
                                    </w:rPr>
                                  </w:pPr>
                                </w:p>
                              </w:tc>
                            </w:tr>
                          </w:tbl>
                          <w:p w14:paraId="05B8C521" w14:textId="77777777" w:rsidR="00CF33A2" w:rsidRPr="00A33DBA" w:rsidRDefault="00CF33A2" w:rsidP="00752D50">
                            <w:pPr>
                              <w:rPr>
                                <w:rFonts w:ascii="Arial" w:hAnsi="Arial" w:cs="Arial"/>
                                <w:sz w:val="20"/>
                                <w:szCs w:val="20"/>
                              </w:rPr>
                            </w:pPr>
                          </w:p>
                          <w:p w14:paraId="05B8C522" w14:textId="77777777" w:rsidR="00CF33A2" w:rsidRPr="00A33DBA" w:rsidRDefault="00CF33A2" w:rsidP="00B069F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BA" id="_x0000_s1031" type="#_x0000_t202" style="position:absolute;margin-left:27.6pt;margin-top:75.8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" filled="f" stroked="f">
                <v:textbox>
                  <w:txbxContent>
                    <w:p w14:paraId="05B8C504" w14:textId="77777777" w:rsidR="00CF33A2" w:rsidRDefault="00CF33A2" w:rsidP="00752D50">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950"/>
                      </w:tblGrid>
                      <w:tr w:rsidR="00CF33A2" w:rsidRPr="0055776F" w14:paraId="05B8C508" w14:textId="77777777" w:rsidTr="0009545B">
                        <w:tc>
                          <w:tcPr>
                            <w:tcW w:w="5691" w:type="dxa"/>
                            <w:gridSpan w:val="5"/>
                            <w:shd w:val="clear" w:color="auto" w:fill="auto"/>
                          </w:tcPr>
                          <w:p w14:paraId="05B8C505" w14:textId="77777777" w:rsidR="00CF33A2" w:rsidRPr="00A33DBA" w:rsidRDefault="00CF33A2" w:rsidP="00752D50">
                            <w:pPr>
                              <w:rPr>
                                <w:rFonts w:ascii="Arial" w:hAnsi="Arial" w:cs="Arial"/>
                                <w:sz w:val="20"/>
                                <w:szCs w:val="20"/>
                              </w:rPr>
                            </w:pPr>
                            <w:r>
                              <w:rPr>
                                <w:rFonts w:ascii="Arial" w:hAnsi="Arial" w:cs="Arial"/>
                                <w:sz w:val="20"/>
                                <w:szCs w:val="20"/>
                              </w:rPr>
                              <w:t>P =</w:t>
                            </w:r>
                            <w:r w:rsidRPr="00A33DBA">
                              <w:rPr>
                                <w:rFonts w:ascii="Arial" w:hAnsi="Arial" w:cs="Arial"/>
                                <w:sz w:val="20"/>
                                <w:szCs w:val="20"/>
                              </w:rPr>
                              <w:t xml:space="preserve"> 0</w:t>
                            </w:r>
                            <w:r>
                              <w:rPr>
                                <w:rFonts w:ascii="Arial" w:hAnsi="Arial" w:cs="Arial"/>
                                <w:sz w:val="20"/>
                                <w:szCs w:val="20"/>
                              </w:rPr>
                              <w:t>,0</w:t>
                            </w:r>
                            <w:r w:rsidRPr="00A33DBA">
                              <w:rPr>
                                <w:rFonts w:ascii="Arial" w:hAnsi="Arial" w:cs="Arial"/>
                                <w:sz w:val="20"/>
                                <w:szCs w:val="20"/>
                              </w:rPr>
                              <w:t>19</w:t>
                            </w:r>
                          </w:p>
                          <w:p w14:paraId="05B8C506" w14:textId="77777777" w:rsidR="00CF33A2" w:rsidRPr="00A33DBA" w:rsidRDefault="00CF33A2" w:rsidP="00752D50">
                            <w:pPr>
                              <w:rPr>
                                <w:rFonts w:ascii="Arial" w:hAnsi="Arial" w:cs="Arial"/>
                                <w:sz w:val="20"/>
                                <w:szCs w:val="20"/>
                              </w:rPr>
                            </w:pPr>
                            <w:r>
                              <w:rPr>
                                <w:rFonts w:ascii="Arial" w:hAnsi="Arial" w:cs="Arial"/>
                                <w:sz w:val="20"/>
                                <w:szCs w:val="20"/>
                              </w:rPr>
                              <w:t>Áhættuhlutfall</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5B8C507" w14:textId="77777777" w:rsidR="00CF33A2" w:rsidRPr="0055776F" w:rsidRDefault="00CF33A2" w:rsidP="00752D50">
                            <w:pPr>
                              <w:rPr>
                                <w:rFonts w:ascii="Arial" w:hAnsi="Arial" w:cs="Arial"/>
                                <w:sz w:val="20"/>
                                <w:szCs w:val="20"/>
                                <w:lang w:val="de-DE"/>
                              </w:rPr>
                            </w:pPr>
                            <w:r>
                              <w:rPr>
                                <w:rFonts w:ascii="Arial" w:hAnsi="Arial" w:cs="Arial"/>
                                <w:sz w:val="20"/>
                                <w:szCs w:val="20"/>
                              </w:rPr>
                              <w:t>(95% Cl, 0,22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F33A2" w:rsidRPr="0055776F" w14:paraId="05B8C50E" w14:textId="77777777" w:rsidTr="0009545B">
                        <w:tc>
                          <w:tcPr>
                            <w:tcW w:w="817" w:type="dxa"/>
                            <w:shd w:val="clear" w:color="auto" w:fill="auto"/>
                          </w:tcPr>
                          <w:p w14:paraId="05B8C509" w14:textId="77777777" w:rsidR="00CF33A2" w:rsidRPr="0055776F" w:rsidRDefault="00CF33A2" w:rsidP="0009545B">
                            <w:pPr>
                              <w:rPr>
                                <w:rFonts w:ascii="Arial" w:hAnsi="Arial" w:cs="Arial"/>
                                <w:sz w:val="20"/>
                                <w:szCs w:val="20"/>
                              </w:rPr>
                            </w:pPr>
                          </w:p>
                        </w:tc>
                        <w:tc>
                          <w:tcPr>
                            <w:tcW w:w="2464" w:type="dxa"/>
                            <w:shd w:val="clear" w:color="auto" w:fill="auto"/>
                          </w:tcPr>
                          <w:p w14:paraId="05B8C50A"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0B" w14:textId="77777777" w:rsidR="00CF33A2" w:rsidRPr="0055776F"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0C" w14:textId="77777777" w:rsidR="00CF33A2" w:rsidRPr="0055776F" w:rsidRDefault="00CF33A2" w:rsidP="0009545B">
                            <w:pPr>
                              <w:rPr>
                                <w:rFonts w:ascii="Arial" w:hAnsi="Arial" w:cs="Arial"/>
                                <w:sz w:val="20"/>
                                <w:szCs w:val="20"/>
                              </w:rPr>
                            </w:pPr>
                            <w:r w:rsidRPr="00752D50">
                              <w:rPr>
                                <w:rFonts w:ascii="Arial" w:hAnsi="Arial" w:cs="Arial"/>
                                <w:sz w:val="20"/>
                                <w:szCs w:val="20"/>
                              </w:rPr>
                              <w:t>Tilvik</w:t>
                            </w:r>
                          </w:p>
                        </w:tc>
                        <w:tc>
                          <w:tcPr>
                            <w:tcW w:w="850" w:type="dxa"/>
                            <w:tcBorders>
                              <w:bottom w:val="single" w:sz="4" w:space="0" w:color="auto"/>
                            </w:tcBorders>
                            <w:shd w:val="clear" w:color="auto" w:fill="auto"/>
                          </w:tcPr>
                          <w:p w14:paraId="05B8C50D" w14:textId="77777777" w:rsidR="00CF33A2" w:rsidRPr="0055776F"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14" w14:textId="77777777" w:rsidTr="0009545B">
                        <w:tc>
                          <w:tcPr>
                            <w:tcW w:w="817" w:type="dxa"/>
                            <w:shd w:val="clear" w:color="auto" w:fill="auto"/>
                          </w:tcPr>
                          <w:p w14:paraId="05B8C50F"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10"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11"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12" w14:textId="77777777" w:rsidR="00CF33A2" w:rsidRPr="0055776F" w:rsidRDefault="00CF33A2" w:rsidP="0009545B">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5B8C513" w14:textId="77777777" w:rsidR="00CF33A2" w:rsidRPr="0055776F" w:rsidRDefault="00CF33A2" w:rsidP="0009545B">
                            <w:pPr>
                              <w:rPr>
                                <w:rFonts w:ascii="Arial" w:hAnsi="Arial" w:cs="Arial"/>
                                <w:sz w:val="20"/>
                                <w:szCs w:val="20"/>
                              </w:rPr>
                            </w:pPr>
                            <w:r w:rsidRPr="0055776F">
                              <w:rPr>
                                <w:rFonts w:ascii="Arial" w:hAnsi="Arial" w:cs="Arial"/>
                                <w:sz w:val="20"/>
                                <w:szCs w:val="20"/>
                              </w:rPr>
                              <w:t>174</w:t>
                            </w:r>
                          </w:p>
                        </w:tc>
                      </w:tr>
                      <w:tr w:rsidR="00CF33A2" w:rsidRPr="0055776F" w14:paraId="05B8C51A" w14:textId="77777777" w:rsidTr="0009545B">
                        <w:tc>
                          <w:tcPr>
                            <w:tcW w:w="817" w:type="dxa"/>
                            <w:shd w:val="clear" w:color="auto" w:fill="auto"/>
                          </w:tcPr>
                          <w:p w14:paraId="05B8C515"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16"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17"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18" w14:textId="77777777" w:rsidR="00CF33A2" w:rsidRPr="0055776F" w:rsidRDefault="00CF33A2" w:rsidP="0009545B">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05B8C519" w14:textId="77777777" w:rsidR="00CF33A2" w:rsidRPr="0055776F" w:rsidRDefault="00CF33A2" w:rsidP="0009545B">
                            <w:pPr>
                              <w:rPr>
                                <w:rFonts w:ascii="Arial" w:hAnsi="Arial" w:cs="Arial"/>
                                <w:sz w:val="20"/>
                                <w:szCs w:val="20"/>
                              </w:rPr>
                            </w:pPr>
                            <w:r w:rsidRPr="0055776F">
                              <w:rPr>
                                <w:rFonts w:ascii="Arial" w:hAnsi="Arial" w:cs="Arial"/>
                                <w:sz w:val="20"/>
                                <w:szCs w:val="20"/>
                              </w:rPr>
                              <w:t>186</w:t>
                            </w:r>
                          </w:p>
                        </w:tc>
                      </w:tr>
                      <w:tr w:rsidR="00CF33A2" w:rsidRPr="0055776F" w14:paraId="05B8C520" w14:textId="77777777" w:rsidTr="0009545B">
                        <w:tc>
                          <w:tcPr>
                            <w:tcW w:w="817" w:type="dxa"/>
                            <w:shd w:val="clear" w:color="auto" w:fill="auto"/>
                          </w:tcPr>
                          <w:p w14:paraId="05B8C51B"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1C"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1D"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1E" w14:textId="77777777" w:rsidR="00CF33A2" w:rsidRPr="0055776F" w:rsidRDefault="00CF33A2" w:rsidP="0009545B">
                            <w:pPr>
                              <w:rPr>
                                <w:rFonts w:ascii="Arial" w:hAnsi="Arial" w:cs="Arial"/>
                                <w:sz w:val="20"/>
                                <w:szCs w:val="20"/>
                              </w:rPr>
                            </w:pPr>
                          </w:p>
                        </w:tc>
                        <w:tc>
                          <w:tcPr>
                            <w:tcW w:w="850" w:type="dxa"/>
                            <w:tcBorders>
                              <w:top w:val="single" w:sz="4" w:space="0" w:color="auto"/>
                            </w:tcBorders>
                            <w:shd w:val="clear" w:color="auto" w:fill="auto"/>
                          </w:tcPr>
                          <w:p w14:paraId="05B8C51F" w14:textId="77777777" w:rsidR="00CF33A2" w:rsidRPr="0055776F" w:rsidRDefault="00CF33A2" w:rsidP="0009545B">
                            <w:pPr>
                              <w:rPr>
                                <w:rFonts w:ascii="Arial" w:hAnsi="Arial" w:cs="Arial"/>
                                <w:sz w:val="20"/>
                                <w:szCs w:val="20"/>
                              </w:rPr>
                            </w:pPr>
                          </w:p>
                        </w:tc>
                      </w:tr>
                    </w:tbl>
                    <w:p w14:paraId="05B8C521" w14:textId="77777777" w:rsidR="00CF33A2" w:rsidRPr="00A33DBA" w:rsidRDefault="00CF33A2" w:rsidP="00752D50">
                      <w:pPr>
                        <w:rPr>
                          <w:rFonts w:ascii="Arial" w:hAnsi="Arial" w:cs="Arial"/>
                          <w:sz w:val="20"/>
                          <w:szCs w:val="20"/>
                        </w:rPr>
                      </w:pPr>
                    </w:p>
                    <w:p w14:paraId="05B8C522" w14:textId="77777777" w:rsidR="00CF33A2" w:rsidRPr="00A33DBA" w:rsidRDefault="00CF33A2" w:rsidP="00B069F7">
                      <w:pPr>
                        <w:rPr>
                          <w:rFonts w:ascii="Arial" w:hAnsi="Arial" w:cs="Arial"/>
                          <w:sz w:val="20"/>
                          <w:szCs w:val="20"/>
                        </w:rPr>
                      </w:pPr>
                    </w:p>
                  </w:txbxContent>
                </v:textbox>
              </v:shape>
            </w:pict>
          </mc:Fallback>
        </mc:AlternateContent>
      </w:r>
      <w:r w:rsidRPr="006774D3">
        <w:rPr>
          <w:noProof/>
          <w:lang w:eastAsia="en-GB"/>
        </w:rPr>
        <w:drawing>
          <wp:inline distT="0" distB="0" distL="0" distR="0" wp14:anchorId="05B8C4BC" wp14:editId="05B8C4BD">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05B8B50F" w14:textId="77777777" w:rsidR="00B069F7" w:rsidRPr="006774D3" w:rsidRDefault="00B069F7" w:rsidP="00F77C66">
      <w:pPr>
        <w:rPr>
          <w:rFonts w:eastAsia="MS Mincho"/>
          <w:sz w:val="22"/>
          <w:szCs w:val="22"/>
        </w:rPr>
      </w:pPr>
    </w:p>
    <w:p w14:paraId="05B8B510" w14:textId="77777777" w:rsidR="00B069F7" w:rsidRPr="006774D3" w:rsidRDefault="00B069F7" w:rsidP="00F77C66"/>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B069F7" w:rsidRPr="006774D3" w14:paraId="05B8B512" w14:textId="77777777" w:rsidTr="003047DD">
        <w:tc>
          <w:tcPr>
            <w:tcW w:w="10632" w:type="dxa"/>
            <w:gridSpan w:val="16"/>
            <w:shd w:val="clear" w:color="auto" w:fill="auto"/>
          </w:tcPr>
          <w:p w14:paraId="05B8B511" w14:textId="77777777" w:rsidR="00B069F7" w:rsidRPr="006774D3" w:rsidRDefault="00752D50" w:rsidP="00F77C66">
            <w:pPr>
              <w:ind w:left="-27"/>
              <w:rPr>
                <w:rFonts w:ascii="Arial" w:hAnsi="Arial" w:cs="Arial"/>
                <w:sz w:val="16"/>
                <w:szCs w:val="16"/>
              </w:rPr>
            </w:pPr>
            <w:r w:rsidRPr="006774D3">
              <w:rPr>
                <w:rFonts w:ascii="Arial" w:hAnsi="Arial" w:cs="Arial"/>
                <w:sz w:val="20"/>
                <w:szCs w:val="20"/>
              </w:rPr>
              <w:t>Í áhættu : Tilvik</w:t>
            </w:r>
          </w:p>
        </w:tc>
      </w:tr>
      <w:tr w:rsidR="00B069F7" w:rsidRPr="006774D3" w14:paraId="05B8B523" w14:textId="77777777" w:rsidTr="003047DD">
        <w:tc>
          <w:tcPr>
            <w:tcW w:w="450" w:type="dxa"/>
            <w:shd w:val="clear" w:color="auto" w:fill="auto"/>
          </w:tcPr>
          <w:p w14:paraId="05B8B513" w14:textId="77777777" w:rsidR="00B069F7" w:rsidRPr="006774D3" w:rsidRDefault="00B069F7" w:rsidP="00F77C66">
            <w:pPr>
              <w:rPr>
                <w:sz w:val="20"/>
                <w:szCs w:val="20"/>
              </w:rPr>
            </w:pPr>
            <w:r w:rsidRPr="006774D3">
              <w:rPr>
                <w:sz w:val="20"/>
                <w:szCs w:val="20"/>
              </w:rPr>
              <w:t>(1)</w:t>
            </w:r>
          </w:p>
        </w:tc>
        <w:tc>
          <w:tcPr>
            <w:tcW w:w="691" w:type="dxa"/>
            <w:shd w:val="clear" w:color="auto" w:fill="auto"/>
          </w:tcPr>
          <w:p w14:paraId="05B8B514" w14:textId="77777777" w:rsidR="00B069F7" w:rsidRPr="006774D3" w:rsidRDefault="00B069F7" w:rsidP="00F77C66">
            <w:pPr>
              <w:ind w:left="-45"/>
              <w:rPr>
                <w:sz w:val="20"/>
                <w:szCs w:val="20"/>
              </w:rPr>
            </w:pPr>
            <w:r w:rsidRPr="006774D3">
              <w:rPr>
                <w:sz w:val="20"/>
                <w:szCs w:val="20"/>
              </w:rPr>
              <w:t>199:0</w:t>
            </w:r>
          </w:p>
        </w:tc>
        <w:tc>
          <w:tcPr>
            <w:tcW w:w="672" w:type="dxa"/>
            <w:shd w:val="clear" w:color="auto" w:fill="auto"/>
          </w:tcPr>
          <w:p w14:paraId="05B8B515" w14:textId="77777777" w:rsidR="00B069F7" w:rsidRPr="006774D3" w:rsidRDefault="00B069F7" w:rsidP="00F77C66">
            <w:pPr>
              <w:ind w:left="-45"/>
              <w:rPr>
                <w:sz w:val="20"/>
                <w:szCs w:val="20"/>
              </w:rPr>
            </w:pPr>
            <w:r w:rsidRPr="006774D3">
              <w:rPr>
                <w:sz w:val="20"/>
                <w:szCs w:val="20"/>
              </w:rPr>
              <w:t>190:2</w:t>
            </w:r>
          </w:p>
        </w:tc>
        <w:tc>
          <w:tcPr>
            <w:tcW w:w="714" w:type="dxa"/>
            <w:shd w:val="clear" w:color="auto" w:fill="auto"/>
          </w:tcPr>
          <w:p w14:paraId="05B8B516" w14:textId="77777777" w:rsidR="00B069F7" w:rsidRPr="006774D3" w:rsidRDefault="00B069F7" w:rsidP="00F77C66">
            <w:pPr>
              <w:ind w:left="-45"/>
              <w:rPr>
                <w:sz w:val="20"/>
                <w:szCs w:val="20"/>
              </w:rPr>
            </w:pPr>
            <w:r w:rsidRPr="006774D3">
              <w:rPr>
                <w:sz w:val="20"/>
                <w:szCs w:val="20"/>
              </w:rPr>
              <w:t>188:2</w:t>
            </w:r>
          </w:p>
        </w:tc>
        <w:tc>
          <w:tcPr>
            <w:tcW w:w="722" w:type="dxa"/>
            <w:shd w:val="clear" w:color="auto" w:fill="auto"/>
          </w:tcPr>
          <w:p w14:paraId="05B8B517" w14:textId="77777777" w:rsidR="00B069F7" w:rsidRPr="006774D3" w:rsidRDefault="00B069F7" w:rsidP="00F77C66">
            <w:pPr>
              <w:ind w:left="-45"/>
              <w:rPr>
                <w:sz w:val="20"/>
                <w:szCs w:val="20"/>
              </w:rPr>
            </w:pPr>
            <w:r w:rsidRPr="006774D3">
              <w:rPr>
                <w:sz w:val="20"/>
                <w:szCs w:val="20"/>
              </w:rPr>
              <w:t>183:6</w:t>
            </w:r>
          </w:p>
        </w:tc>
        <w:tc>
          <w:tcPr>
            <w:tcW w:w="694" w:type="dxa"/>
            <w:shd w:val="clear" w:color="auto" w:fill="auto"/>
          </w:tcPr>
          <w:p w14:paraId="05B8B518" w14:textId="77777777" w:rsidR="00B069F7" w:rsidRPr="006774D3" w:rsidRDefault="00B069F7" w:rsidP="00F77C66">
            <w:pPr>
              <w:ind w:left="-45"/>
              <w:rPr>
                <w:sz w:val="20"/>
                <w:szCs w:val="20"/>
              </w:rPr>
            </w:pPr>
            <w:r w:rsidRPr="006774D3">
              <w:rPr>
                <w:sz w:val="20"/>
                <w:szCs w:val="20"/>
              </w:rPr>
              <w:t>176:8</w:t>
            </w:r>
          </w:p>
        </w:tc>
        <w:tc>
          <w:tcPr>
            <w:tcW w:w="772" w:type="dxa"/>
            <w:shd w:val="clear" w:color="auto" w:fill="auto"/>
          </w:tcPr>
          <w:p w14:paraId="05B8B519" w14:textId="77777777" w:rsidR="00B069F7" w:rsidRPr="006774D3" w:rsidRDefault="00B069F7" w:rsidP="00F77C66">
            <w:pPr>
              <w:ind w:left="-45"/>
              <w:rPr>
                <w:sz w:val="20"/>
                <w:szCs w:val="20"/>
              </w:rPr>
            </w:pPr>
            <w:r w:rsidRPr="006774D3">
              <w:rPr>
                <w:sz w:val="20"/>
                <w:szCs w:val="20"/>
              </w:rPr>
              <w:t>156:10</w:t>
            </w:r>
          </w:p>
        </w:tc>
        <w:tc>
          <w:tcPr>
            <w:tcW w:w="782" w:type="dxa"/>
            <w:shd w:val="clear" w:color="auto" w:fill="auto"/>
          </w:tcPr>
          <w:p w14:paraId="05B8B51A" w14:textId="77777777" w:rsidR="00B069F7" w:rsidRPr="006774D3" w:rsidRDefault="00B069F7" w:rsidP="00F77C66">
            <w:pPr>
              <w:ind w:left="-45"/>
              <w:rPr>
                <w:sz w:val="20"/>
                <w:szCs w:val="20"/>
              </w:rPr>
            </w:pPr>
            <w:r w:rsidRPr="006774D3">
              <w:rPr>
                <w:sz w:val="20"/>
                <w:szCs w:val="20"/>
              </w:rPr>
              <w:t>140:11</w:t>
            </w:r>
          </w:p>
        </w:tc>
        <w:tc>
          <w:tcPr>
            <w:tcW w:w="798" w:type="dxa"/>
            <w:shd w:val="clear" w:color="auto" w:fill="auto"/>
          </w:tcPr>
          <w:p w14:paraId="05B8B51B" w14:textId="77777777" w:rsidR="00B069F7" w:rsidRPr="006774D3" w:rsidRDefault="00B069F7" w:rsidP="00F77C66">
            <w:pPr>
              <w:ind w:left="-45"/>
              <w:rPr>
                <w:sz w:val="20"/>
                <w:szCs w:val="20"/>
              </w:rPr>
            </w:pPr>
            <w:r w:rsidRPr="006774D3">
              <w:rPr>
                <w:sz w:val="20"/>
                <w:szCs w:val="20"/>
              </w:rPr>
              <w:t>105:14</w:t>
            </w:r>
          </w:p>
        </w:tc>
        <w:tc>
          <w:tcPr>
            <w:tcW w:w="654" w:type="dxa"/>
            <w:shd w:val="clear" w:color="auto" w:fill="auto"/>
          </w:tcPr>
          <w:p w14:paraId="05B8B51C" w14:textId="77777777" w:rsidR="00B069F7" w:rsidRPr="006774D3" w:rsidRDefault="00B069F7" w:rsidP="00F77C66">
            <w:pPr>
              <w:ind w:left="-45"/>
              <w:rPr>
                <w:sz w:val="20"/>
                <w:szCs w:val="20"/>
              </w:rPr>
            </w:pPr>
            <w:r w:rsidRPr="006774D3">
              <w:rPr>
                <w:sz w:val="20"/>
                <w:szCs w:val="20"/>
              </w:rPr>
              <w:t>87:18</w:t>
            </w:r>
          </w:p>
        </w:tc>
        <w:tc>
          <w:tcPr>
            <w:tcW w:w="630" w:type="dxa"/>
            <w:shd w:val="clear" w:color="auto" w:fill="auto"/>
          </w:tcPr>
          <w:p w14:paraId="05B8B51D" w14:textId="77777777" w:rsidR="00B069F7" w:rsidRPr="006774D3" w:rsidRDefault="00B069F7" w:rsidP="00F77C66">
            <w:pPr>
              <w:ind w:left="-45"/>
              <w:rPr>
                <w:sz w:val="20"/>
                <w:szCs w:val="20"/>
              </w:rPr>
            </w:pPr>
            <w:r w:rsidRPr="006774D3">
              <w:rPr>
                <w:sz w:val="20"/>
                <w:szCs w:val="20"/>
              </w:rPr>
              <w:t>64:22</w:t>
            </w:r>
          </w:p>
        </w:tc>
        <w:tc>
          <w:tcPr>
            <w:tcW w:w="644" w:type="dxa"/>
            <w:shd w:val="clear" w:color="auto" w:fill="auto"/>
          </w:tcPr>
          <w:p w14:paraId="05B8B51E" w14:textId="77777777" w:rsidR="00B069F7" w:rsidRPr="006774D3" w:rsidRDefault="00B069F7" w:rsidP="00F77C66">
            <w:pPr>
              <w:ind w:left="-45"/>
              <w:rPr>
                <w:sz w:val="20"/>
                <w:szCs w:val="20"/>
              </w:rPr>
            </w:pPr>
            <w:r w:rsidRPr="006774D3">
              <w:rPr>
                <w:sz w:val="20"/>
                <w:szCs w:val="20"/>
              </w:rPr>
              <w:t>46:23</w:t>
            </w:r>
          </w:p>
        </w:tc>
        <w:tc>
          <w:tcPr>
            <w:tcW w:w="672" w:type="dxa"/>
            <w:shd w:val="clear" w:color="auto" w:fill="auto"/>
          </w:tcPr>
          <w:p w14:paraId="05B8B51F" w14:textId="77777777" w:rsidR="00B069F7" w:rsidRPr="006774D3" w:rsidRDefault="00B069F7" w:rsidP="00F77C66">
            <w:pPr>
              <w:ind w:left="-45"/>
              <w:rPr>
                <w:sz w:val="20"/>
                <w:szCs w:val="20"/>
              </w:rPr>
            </w:pPr>
            <w:r w:rsidRPr="006774D3">
              <w:rPr>
                <w:sz w:val="20"/>
                <w:szCs w:val="20"/>
              </w:rPr>
              <w:t>27:25</w:t>
            </w:r>
          </w:p>
        </w:tc>
        <w:tc>
          <w:tcPr>
            <w:tcW w:w="686" w:type="dxa"/>
            <w:shd w:val="clear" w:color="auto" w:fill="auto"/>
          </w:tcPr>
          <w:p w14:paraId="05B8B520" w14:textId="77777777" w:rsidR="00B069F7" w:rsidRPr="006774D3" w:rsidRDefault="00B069F7" w:rsidP="00F77C66">
            <w:pPr>
              <w:ind w:left="-45"/>
              <w:rPr>
                <w:sz w:val="20"/>
                <w:szCs w:val="20"/>
              </w:rPr>
            </w:pPr>
            <w:r w:rsidRPr="006774D3">
              <w:rPr>
                <w:sz w:val="20"/>
                <w:szCs w:val="20"/>
              </w:rPr>
              <w:t>20:25</w:t>
            </w:r>
          </w:p>
        </w:tc>
        <w:tc>
          <w:tcPr>
            <w:tcW w:w="560" w:type="dxa"/>
            <w:shd w:val="clear" w:color="auto" w:fill="auto"/>
          </w:tcPr>
          <w:p w14:paraId="05B8B521" w14:textId="77777777" w:rsidR="00B069F7" w:rsidRPr="006774D3" w:rsidRDefault="00B069F7" w:rsidP="00F77C66">
            <w:pPr>
              <w:ind w:left="-45"/>
              <w:rPr>
                <w:sz w:val="20"/>
                <w:szCs w:val="20"/>
              </w:rPr>
            </w:pPr>
            <w:r w:rsidRPr="006774D3">
              <w:rPr>
                <w:sz w:val="20"/>
                <w:szCs w:val="20"/>
              </w:rPr>
              <w:t>2:25</w:t>
            </w:r>
          </w:p>
        </w:tc>
        <w:tc>
          <w:tcPr>
            <w:tcW w:w="491" w:type="dxa"/>
            <w:shd w:val="clear" w:color="auto" w:fill="auto"/>
          </w:tcPr>
          <w:p w14:paraId="05B8B522" w14:textId="77777777" w:rsidR="00B069F7" w:rsidRPr="006774D3" w:rsidRDefault="00B069F7" w:rsidP="00F77C66">
            <w:pPr>
              <w:ind w:left="-45"/>
              <w:rPr>
                <w:sz w:val="20"/>
                <w:szCs w:val="20"/>
              </w:rPr>
            </w:pPr>
            <w:r w:rsidRPr="006774D3">
              <w:rPr>
                <w:sz w:val="20"/>
                <w:szCs w:val="20"/>
              </w:rPr>
              <w:t>0:25</w:t>
            </w:r>
          </w:p>
        </w:tc>
      </w:tr>
      <w:tr w:rsidR="00B069F7" w:rsidRPr="006774D3" w14:paraId="05B8B534" w14:textId="77777777" w:rsidTr="003047DD">
        <w:tc>
          <w:tcPr>
            <w:tcW w:w="450" w:type="dxa"/>
            <w:shd w:val="clear" w:color="auto" w:fill="auto"/>
          </w:tcPr>
          <w:p w14:paraId="05B8B524" w14:textId="77777777" w:rsidR="00B069F7" w:rsidRPr="006774D3" w:rsidRDefault="00B069F7" w:rsidP="00F77C66">
            <w:pPr>
              <w:rPr>
                <w:sz w:val="20"/>
                <w:szCs w:val="20"/>
              </w:rPr>
            </w:pPr>
            <w:r w:rsidRPr="006774D3">
              <w:rPr>
                <w:sz w:val="20"/>
                <w:szCs w:val="20"/>
              </w:rPr>
              <w:t>(2)</w:t>
            </w:r>
          </w:p>
        </w:tc>
        <w:tc>
          <w:tcPr>
            <w:tcW w:w="691" w:type="dxa"/>
            <w:shd w:val="clear" w:color="auto" w:fill="auto"/>
          </w:tcPr>
          <w:p w14:paraId="05B8B525" w14:textId="77777777" w:rsidR="00B069F7" w:rsidRPr="006774D3" w:rsidRDefault="00B069F7" w:rsidP="00F77C66">
            <w:pPr>
              <w:ind w:left="-45"/>
              <w:rPr>
                <w:sz w:val="20"/>
                <w:szCs w:val="20"/>
              </w:rPr>
            </w:pPr>
            <w:r w:rsidRPr="006774D3">
              <w:rPr>
                <w:sz w:val="20"/>
                <w:szCs w:val="20"/>
              </w:rPr>
              <w:t>198:0</w:t>
            </w:r>
          </w:p>
        </w:tc>
        <w:tc>
          <w:tcPr>
            <w:tcW w:w="672" w:type="dxa"/>
            <w:shd w:val="clear" w:color="auto" w:fill="auto"/>
          </w:tcPr>
          <w:p w14:paraId="05B8B526" w14:textId="77777777" w:rsidR="00B069F7" w:rsidRPr="006774D3" w:rsidRDefault="00B069F7" w:rsidP="00F77C66">
            <w:pPr>
              <w:ind w:left="-45"/>
              <w:rPr>
                <w:sz w:val="20"/>
                <w:szCs w:val="20"/>
              </w:rPr>
            </w:pPr>
            <w:r w:rsidRPr="006774D3">
              <w:rPr>
                <w:sz w:val="20"/>
                <w:szCs w:val="20"/>
              </w:rPr>
              <w:t>196:0</w:t>
            </w:r>
          </w:p>
        </w:tc>
        <w:tc>
          <w:tcPr>
            <w:tcW w:w="714" w:type="dxa"/>
            <w:shd w:val="clear" w:color="auto" w:fill="auto"/>
          </w:tcPr>
          <w:p w14:paraId="05B8B527" w14:textId="77777777" w:rsidR="00B069F7" w:rsidRPr="006774D3" w:rsidRDefault="00B069F7" w:rsidP="00F77C66">
            <w:pPr>
              <w:ind w:left="-45"/>
              <w:rPr>
                <w:sz w:val="20"/>
                <w:szCs w:val="20"/>
              </w:rPr>
            </w:pPr>
            <w:r w:rsidRPr="006774D3">
              <w:rPr>
                <w:sz w:val="20"/>
                <w:szCs w:val="20"/>
              </w:rPr>
              <w:t>192:0</w:t>
            </w:r>
          </w:p>
        </w:tc>
        <w:tc>
          <w:tcPr>
            <w:tcW w:w="722" w:type="dxa"/>
            <w:shd w:val="clear" w:color="auto" w:fill="auto"/>
          </w:tcPr>
          <w:p w14:paraId="05B8B528" w14:textId="77777777" w:rsidR="00B069F7" w:rsidRPr="006774D3" w:rsidRDefault="00B069F7" w:rsidP="00F77C66">
            <w:pPr>
              <w:ind w:left="-45"/>
              <w:rPr>
                <w:sz w:val="20"/>
                <w:szCs w:val="20"/>
              </w:rPr>
            </w:pPr>
            <w:r w:rsidRPr="006774D3">
              <w:rPr>
                <w:sz w:val="20"/>
                <w:szCs w:val="20"/>
              </w:rPr>
              <w:t>187:4</w:t>
            </w:r>
          </w:p>
        </w:tc>
        <w:tc>
          <w:tcPr>
            <w:tcW w:w="694" w:type="dxa"/>
            <w:shd w:val="clear" w:color="auto" w:fill="auto"/>
          </w:tcPr>
          <w:p w14:paraId="05B8B529" w14:textId="77777777" w:rsidR="00B069F7" w:rsidRPr="006774D3" w:rsidRDefault="00B069F7" w:rsidP="00F77C66">
            <w:pPr>
              <w:ind w:left="-45"/>
              <w:rPr>
                <w:sz w:val="20"/>
                <w:szCs w:val="20"/>
              </w:rPr>
            </w:pPr>
            <w:r w:rsidRPr="006774D3">
              <w:rPr>
                <w:sz w:val="20"/>
                <w:szCs w:val="20"/>
              </w:rPr>
              <w:t>184:5</w:t>
            </w:r>
          </w:p>
        </w:tc>
        <w:tc>
          <w:tcPr>
            <w:tcW w:w="772" w:type="dxa"/>
            <w:shd w:val="clear" w:color="auto" w:fill="auto"/>
          </w:tcPr>
          <w:p w14:paraId="05B8B52A" w14:textId="77777777" w:rsidR="00B069F7" w:rsidRPr="006774D3" w:rsidRDefault="00B069F7" w:rsidP="00F77C66">
            <w:pPr>
              <w:ind w:left="-45"/>
              <w:rPr>
                <w:sz w:val="20"/>
                <w:szCs w:val="20"/>
              </w:rPr>
            </w:pPr>
            <w:r w:rsidRPr="006774D3">
              <w:rPr>
                <w:sz w:val="20"/>
                <w:szCs w:val="20"/>
              </w:rPr>
              <w:t>164:7</w:t>
            </w:r>
          </w:p>
        </w:tc>
        <w:tc>
          <w:tcPr>
            <w:tcW w:w="782" w:type="dxa"/>
            <w:shd w:val="clear" w:color="auto" w:fill="auto"/>
          </w:tcPr>
          <w:p w14:paraId="05B8B52B" w14:textId="77777777" w:rsidR="00B069F7" w:rsidRPr="006774D3" w:rsidRDefault="00B069F7" w:rsidP="00F77C66">
            <w:pPr>
              <w:ind w:left="-45"/>
              <w:rPr>
                <w:sz w:val="20"/>
                <w:szCs w:val="20"/>
              </w:rPr>
            </w:pPr>
            <w:r w:rsidRPr="006774D3">
              <w:rPr>
                <w:sz w:val="20"/>
                <w:szCs w:val="20"/>
              </w:rPr>
              <w:t>152:7</w:t>
            </w:r>
          </w:p>
        </w:tc>
        <w:tc>
          <w:tcPr>
            <w:tcW w:w="798" w:type="dxa"/>
            <w:shd w:val="clear" w:color="auto" w:fill="auto"/>
          </w:tcPr>
          <w:p w14:paraId="05B8B52C" w14:textId="77777777" w:rsidR="00B069F7" w:rsidRPr="006774D3" w:rsidRDefault="00B069F7" w:rsidP="00F77C66">
            <w:pPr>
              <w:ind w:left="-45"/>
              <w:rPr>
                <w:sz w:val="20"/>
                <w:szCs w:val="20"/>
              </w:rPr>
            </w:pPr>
            <w:r w:rsidRPr="006774D3">
              <w:rPr>
                <w:sz w:val="20"/>
                <w:szCs w:val="20"/>
              </w:rPr>
              <w:t>119:8</w:t>
            </w:r>
          </w:p>
        </w:tc>
        <w:tc>
          <w:tcPr>
            <w:tcW w:w="654" w:type="dxa"/>
            <w:shd w:val="clear" w:color="auto" w:fill="auto"/>
          </w:tcPr>
          <w:p w14:paraId="05B8B52D" w14:textId="77777777" w:rsidR="00B069F7" w:rsidRPr="006774D3" w:rsidRDefault="00B069F7" w:rsidP="00F77C66">
            <w:pPr>
              <w:ind w:left="-45"/>
              <w:rPr>
                <w:sz w:val="20"/>
                <w:szCs w:val="20"/>
              </w:rPr>
            </w:pPr>
            <w:r w:rsidRPr="006774D3">
              <w:rPr>
                <w:sz w:val="20"/>
                <w:szCs w:val="20"/>
              </w:rPr>
              <w:t>100:8</w:t>
            </w:r>
          </w:p>
        </w:tc>
        <w:tc>
          <w:tcPr>
            <w:tcW w:w="630" w:type="dxa"/>
            <w:shd w:val="clear" w:color="auto" w:fill="auto"/>
          </w:tcPr>
          <w:p w14:paraId="05B8B52E" w14:textId="77777777" w:rsidR="00B069F7" w:rsidRPr="006774D3" w:rsidRDefault="00B069F7" w:rsidP="00F77C66">
            <w:pPr>
              <w:ind w:left="-45"/>
              <w:rPr>
                <w:sz w:val="20"/>
                <w:szCs w:val="20"/>
              </w:rPr>
            </w:pPr>
            <w:r w:rsidRPr="006774D3">
              <w:rPr>
                <w:sz w:val="20"/>
                <w:szCs w:val="20"/>
              </w:rPr>
              <w:t>76:10</w:t>
            </w:r>
          </w:p>
        </w:tc>
        <w:tc>
          <w:tcPr>
            <w:tcW w:w="644" w:type="dxa"/>
            <w:shd w:val="clear" w:color="auto" w:fill="auto"/>
          </w:tcPr>
          <w:p w14:paraId="05B8B52F" w14:textId="77777777" w:rsidR="00B069F7" w:rsidRPr="006774D3" w:rsidRDefault="00B069F7" w:rsidP="00F77C66">
            <w:pPr>
              <w:ind w:left="-45"/>
              <w:rPr>
                <w:sz w:val="20"/>
                <w:szCs w:val="20"/>
              </w:rPr>
            </w:pPr>
            <w:r w:rsidRPr="006774D3">
              <w:rPr>
                <w:sz w:val="20"/>
                <w:szCs w:val="20"/>
              </w:rPr>
              <w:t>56:11</w:t>
            </w:r>
          </w:p>
        </w:tc>
        <w:tc>
          <w:tcPr>
            <w:tcW w:w="672" w:type="dxa"/>
            <w:shd w:val="clear" w:color="auto" w:fill="auto"/>
          </w:tcPr>
          <w:p w14:paraId="05B8B530" w14:textId="77777777" w:rsidR="00B069F7" w:rsidRPr="006774D3" w:rsidRDefault="00B069F7" w:rsidP="00F77C66">
            <w:pPr>
              <w:ind w:left="-45"/>
              <w:rPr>
                <w:sz w:val="20"/>
                <w:szCs w:val="20"/>
              </w:rPr>
            </w:pPr>
            <w:r w:rsidRPr="006774D3">
              <w:rPr>
                <w:sz w:val="20"/>
                <w:szCs w:val="20"/>
              </w:rPr>
              <w:t>31:11</w:t>
            </w:r>
          </w:p>
        </w:tc>
        <w:tc>
          <w:tcPr>
            <w:tcW w:w="686" w:type="dxa"/>
            <w:shd w:val="clear" w:color="auto" w:fill="auto"/>
          </w:tcPr>
          <w:p w14:paraId="05B8B531" w14:textId="77777777" w:rsidR="00B069F7" w:rsidRPr="006774D3" w:rsidRDefault="00B069F7" w:rsidP="00F77C66">
            <w:pPr>
              <w:ind w:left="-45"/>
              <w:rPr>
                <w:sz w:val="20"/>
                <w:szCs w:val="20"/>
              </w:rPr>
            </w:pPr>
            <w:r w:rsidRPr="006774D3">
              <w:rPr>
                <w:sz w:val="20"/>
                <w:szCs w:val="20"/>
              </w:rPr>
              <w:t>13:12</w:t>
            </w:r>
          </w:p>
        </w:tc>
        <w:tc>
          <w:tcPr>
            <w:tcW w:w="560" w:type="dxa"/>
            <w:shd w:val="clear" w:color="auto" w:fill="auto"/>
          </w:tcPr>
          <w:p w14:paraId="05B8B532" w14:textId="77777777" w:rsidR="00B069F7" w:rsidRPr="006774D3" w:rsidRDefault="00283C19" w:rsidP="00F77C66">
            <w:pPr>
              <w:ind w:left="-45"/>
              <w:rPr>
                <w:sz w:val="20"/>
                <w:szCs w:val="20"/>
              </w:rPr>
            </w:pPr>
            <w:r w:rsidRPr="006774D3">
              <w:rPr>
                <w:sz w:val="20"/>
                <w:szCs w:val="20"/>
              </w:rPr>
              <w:t>0</w:t>
            </w:r>
            <w:r w:rsidR="00B069F7" w:rsidRPr="006774D3">
              <w:rPr>
                <w:sz w:val="20"/>
                <w:szCs w:val="20"/>
              </w:rPr>
              <w:t>:12</w:t>
            </w:r>
          </w:p>
        </w:tc>
        <w:tc>
          <w:tcPr>
            <w:tcW w:w="491" w:type="dxa"/>
            <w:shd w:val="clear" w:color="auto" w:fill="auto"/>
          </w:tcPr>
          <w:p w14:paraId="05B8B533" w14:textId="77777777" w:rsidR="00B069F7" w:rsidRPr="006774D3" w:rsidRDefault="00B069F7" w:rsidP="00F77C66">
            <w:pPr>
              <w:ind w:left="-45"/>
              <w:rPr>
                <w:sz w:val="20"/>
                <w:szCs w:val="20"/>
              </w:rPr>
            </w:pPr>
          </w:p>
        </w:tc>
      </w:tr>
    </w:tbl>
    <w:p w14:paraId="05B8B535" w14:textId="77777777" w:rsidR="00AB3B45" w:rsidRPr="006774D3" w:rsidRDefault="00AB3B45" w:rsidP="00F77C66">
      <w:pPr>
        <w:rPr>
          <w:color w:val="000000"/>
          <w:sz w:val="22"/>
          <w:szCs w:val="22"/>
        </w:rPr>
      </w:pPr>
    </w:p>
    <w:p w14:paraId="05B8B536" w14:textId="77777777" w:rsidR="006A7AF8" w:rsidRPr="006774D3" w:rsidRDefault="006A7AF8" w:rsidP="00F77C66">
      <w:pPr>
        <w:rPr>
          <w:sz w:val="22"/>
          <w:szCs w:val="22"/>
        </w:rPr>
      </w:pPr>
      <w:r w:rsidRPr="006774D3">
        <w:rPr>
          <w:color w:val="000000"/>
          <w:sz w:val="22"/>
          <w:szCs w:val="22"/>
        </w:rPr>
        <w:t xml:space="preserve">Ekki hafa verið gerðar neinar samanburðarrannsóknir hjá börnum með c-Kit jákvætt GIST. Í </w:t>
      </w:r>
      <w:r w:rsidR="00625CFD" w:rsidRPr="006774D3">
        <w:rPr>
          <w:color w:val="000000"/>
          <w:sz w:val="22"/>
          <w:szCs w:val="22"/>
        </w:rPr>
        <w:t>7 </w:t>
      </w:r>
      <w:r w:rsidRPr="006774D3">
        <w:rPr>
          <w:color w:val="000000"/>
          <w:sz w:val="22"/>
          <w:szCs w:val="22"/>
        </w:rPr>
        <w:t xml:space="preserve">birtum </w:t>
      </w:r>
      <w:r w:rsidR="00872997" w:rsidRPr="006774D3">
        <w:rPr>
          <w:color w:val="000000"/>
          <w:sz w:val="22"/>
          <w:szCs w:val="22"/>
        </w:rPr>
        <w:t>heimildum</w:t>
      </w:r>
      <w:r w:rsidRPr="006774D3">
        <w:rPr>
          <w:color w:val="000000"/>
          <w:sz w:val="22"/>
          <w:szCs w:val="22"/>
        </w:rPr>
        <w:t xml:space="preserve"> var greint fr</w:t>
      </w:r>
      <w:r w:rsidR="00D03F8A" w:rsidRPr="006774D3">
        <w:rPr>
          <w:color w:val="000000"/>
          <w:sz w:val="22"/>
          <w:szCs w:val="22"/>
        </w:rPr>
        <w:t>á 17 </w:t>
      </w:r>
      <w:r w:rsidRPr="006774D3">
        <w:rPr>
          <w:color w:val="000000"/>
          <w:sz w:val="22"/>
          <w:szCs w:val="22"/>
        </w:rPr>
        <w:t xml:space="preserve">sjúklingum með GIST (með eða án Kit og PDGFR </w:t>
      </w:r>
      <w:r w:rsidR="005D3B7F" w:rsidRPr="006774D3">
        <w:rPr>
          <w:color w:val="000000"/>
          <w:sz w:val="22"/>
          <w:szCs w:val="22"/>
        </w:rPr>
        <w:t>stökkbreyting</w:t>
      </w:r>
      <w:r w:rsidR="00872997" w:rsidRPr="006774D3">
        <w:rPr>
          <w:color w:val="000000"/>
          <w:sz w:val="22"/>
          <w:szCs w:val="22"/>
        </w:rPr>
        <w:t>a</w:t>
      </w:r>
      <w:r w:rsidRPr="006774D3">
        <w:rPr>
          <w:color w:val="000000"/>
          <w:sz w:val="22"/>
          <w:szCs w:val="22"/>
        </w:rPr>
        <w:t>)</w:t>
      </w:r>
      <w:r w:rsidR="00B03268" w:rsidRPr="006774D3">
        <w:rPr>
          <w:color w:val="000000"/>
          <w:sz w:val="22"/>
          <w:szCs w:val="22"/>
        </w:rPr>
        <w:t xml:space="preserve"> Sjúklingarnir voru á aldrinum 8 til 18 ára og fengu imatinib </w:t>
      </w:r>
      <w:r w:rsidR="00625CFD" w:rsidRPr="006774D3">
        <w:rPr>
          <w:color w:val="000000"/>
          <w:sz w:val="22"/>
          <w:szCs w:val="22"/>
        </w:rPr>
        <w:t>sem viðbótarmeðferð og við</w:t>
      </w:r>
      <w:r w:rsidR="00B03268" w:rsidRPr="006774D3">
        <w:rPr>
          <w:color w:val="000000"/>
          <w:sz w:val="22"/>
          <w:szCs w:val="22"/>
        </w:rPr>
        <w:t xml:space="preserve"> meinvörpum </w:t>
      </w:r>
      <w:r w:rsidR="00872997" w:rsidRPr="006774D3">
        <w:rPr>
          <w:color w:val="000000"/>
          <w:sz w:val="22"/>
          <w:szCs w:val="22"/>
        </w:rPr>
        <w:t>í skömmtum</w:t>
      </w:r>
      <w:r w:rsidR="00B03268" w:rsidRPr="006774D3">
        <w:rPr>
          <w:color w:val="000000"/>
          <w:sz w:val="22"/>
          <w:szCs w:val="22"/>
        </w:rPr>
        <w:t xml:space="preserve"> á bilinu 300 til 800</w:t>
      </w:r>
      <w:r w:rsidR="00B03268" w:rsidRPr="006774D3">
        <w:rPr>
          <w:sz w:val="22"/>
          <w:szCs w:val="22"/>
        </w:rPr>
        <w:t> mg á s</w:t>
      </w:r>
      <w:r w:rsidR="005D3B7F" w:rsidRPr="006774D3">
        <w:rPr>
          <w:sz w:val="22"/>
          <w:szCs w:val="22"/>
        </w:rPr>
        <w:t xml:space="preserve">ólarhring. </w:t>
      </w:r>
      <w:r w:rsidR="00B02CBB" w:rsidRPr="006774D3">
        <w:rPr>
          <w:sz w:val="22"/>
          <w:szCs w:val="22"/>
        </w:rPr>
        <w:t>Upplýsingar sem staðfestu c-kit eða PDGFR stökkbreytingar skorti h</w:t>
      </w:r>
      <w:r w:rsidR="00625CFD" w:rsidRPr="006774D3">
        <w:rPr>
          <w:sz w:val="22"/>
          <w:szCs w:val="22"/>
        </w:rPr>
        <w:t>j</w:t>
      </w:r>
      <w:r w:rsidR="00AD3B79" w:rsidRPr="006774D3">
        <w:rPr>
          <w:sz w:val="22"/>
          <w:szCs w:val="22"/>
        </w:rPr>
        <w:t>á meirihluta barna</w:t>
      </w:r>
      <w:r w:rsidR="00625CFD" w:rsidRPr="006774D3">
        <w:rPr>
          <w:sz w:val="22"/>
          <w:szCs w:val="22"/>
        </w:rPr>
        <w:t xml:space="preserve"> sem fengu meðferð við GIST</w:t>
      </w:r>
      <w:r w:rsidR="00B02CBB" w:rsidRPr="006774D3">
        <w:rPr>
          <w:sz w:val="22"/>
          <w:szCs w:val="22"/>
        </w:rPr>
        <w:t>,</w:t>
      </w:r>
      <w:r w:rsidR="00625CFD" w:rsidRPr="006774D3">
        <w:rPr>
          <w:sz w:val="22"/>
          <w:szCs w:val="22"/>
        </w:rPr>
        <w:t xml:space="preserve"> sem </w:t>
      </w:r>
      <w:r w:rsidR="005D3B7F" w:rsidRPr="006774D3">
        <w:rPr>
          <w:sz w:val="22"/>
          <w:szCs w:val="22"/>
        </w:rPr>
        <w:t xml:space="preserve">gæti hafa leitt til </w:t>
      </w:r>
      <w:r w:rsidR="00625CFD" w:rsidRPr="006774D3">
        <w:rPr>
          <w:sz w:val="22"/>
          <w:szCs w:val="22"/>
        </w:rPr>
        <w:t>óráðinnar</w:t>
      </w:r>
      <w:r w:rsidR="005D3B7F" w:rsidRPr="006774D3">
        <w:rPr>
          <w:sz w:val="22"/>
          <w:szCs w:val="22"/>
        </w:rPr>
        <w:t xml:space="preserve"> klínískrar útkomu.</w:t>
      </w:r>
    </w:p>
    <w:p w14:paraId="05B8B537" w14:textId="77777777" w:rsidR="006A7AF8" w:rsidRPr="006774D3" w:rsidRDefault="006A7AF8" w:rsidP="00F77C66">
      <w:pPr>
        <w:rPr>
          <w:color w:val="000000"/>
          <w:sz w:val="22"/>
          <w:szCs w:val="22"/>
          <w:u w:val="single"/>
        </w:rPr>
      </w:pPr>
    </w:p>
    <w:p w14:paraId="05B8B538" w14:textId="77777777" w:rsidR="005F57F3" w:rsidRPr="006774D3" w:rsidRDefault="005F57F3" w:rsidP="00F77C66">
      <w:pPr>
        <w:keepNext/>
        <w:rPr>
          <w:color w:val="000000"/>
          <w:sz w:val="22"/>
          <w:szCs w:val="22"/>
          <w:u w:val="single"/>
        </w:rPr>
      </w:pPr>
      <w:r w:rsidRPr="006774D3">
        <w:rPr>
          <w:color w:val="000000"/>
          <w:sz w:val="22"/>
          <w:szCs w:val="22"/>
          <w:u w:val="single"/>
        </w:rPr>
        <w:lastRenderedPageBreak/>
        <w:t>Klínískar rannsóknir á DFSP</w:t>
      </w:r>
    </w:p>
    <w:p w14:paraId="05B8B539" w14:textId="55490B5C" w:rsidR="005F57F3" w:rsidRPr="006774D3" w:rsidRDefault="005F57F3" w:rsidP="00F77C66">
      <w:pPr>
        <w:rPr>
          <w:color w:val="000000"/>
          <w:sz w:val="22"/>
          <w:szCs w:val="22"/>
        </w:rPr>
      </w:pPr>
      <w:r w:rsidRPr="006774D3">
        <w:rPr>
          <w:color w:val="000000"/>
          <w:sz w:val="22"/>
          <w:szCs w:val="22"/>
        </w:rPr>
        <w:t>Fram fór ein opin, fjölsetra, II. stigs klínísk rannsókn (rannsókn B2225) sem í tóku þátt 12 sjúklingar með DFSP, sem fengu meðferð með Glivec 800 mg á sólarhring. DFSP sjúklingarnir voru á aldrinum 23 til 75 ára, þeir voru með DFSP með meinvörpum, staðbundið endurkomið eftir brottnám með skurðaðgerð og ekki talið viðráðanlegt með frekari skurðaðgerðum þegar sjúklingurinn hóf þátttöku í rannsókninni. Grundvallarstaðfesting á verkun byggðist á hlutlægu svörunar</w:t>
      </w:r>
      <w:r w:rsidRPr="006774D3">
        <w:rPr>
          <w:color w:val="000000"/>
          <w:sz w:val="22"/>
          <w:szCs w:val="22"/>
        </w:rPr>
        <w:softHyphen/>
        <w:t>hlutfalli. Af 12 sjúklingum sem tóku þátt í rannsókninni kom fram svörun hjá 9 þeirra, hjá 1 þeirra kom fram fullkomin svörun og hjá 8 þeirra kom fram svörun að hluta. Hjá 3 sjúklinganna sem sýndu svörun að hluta til tókst síðan að vinna bug á sjúkdómnum með skurðaðgerð. Miðgildi meðferðarlengdar í rannsókn B2225 var 6,2 mánuðir og lengsta meðferðin var 24,3 mánuðir. Greint var frá 6 DFSP sjúklingum til viðbótar, á aldrinum 18 mánaða til 49 ára, sem fengu meðferð með Glivec, í 5 birtum tilfellagreinum. Fullorðnu sjúklingarnir sem greint var frá í birtum heimildum fengu annaðhvort 400 mg (4 tilvik) eða 800 mg (1 tilvik) af Glivec á sólarhring. Svörun kom fram hjá 5 sjúklingum, fullkomin svörun hjá 3 sjúklingum og svörun að hluta til hjá 2 sjúklingum. Miðgildi meðferðarlengdar í birtum heimildum var á bilinu 4 vikur til meira en 20 mánuðir. Yfirfærslan (translocation) (</w:t>
      </w:r>
      <w:r w:rsidRPr="006774D3">
        <w:rPr>
          <w:color w:val="000000"/>
          <w:sz w:val="22"/>
          <w:szCs w:val="22"/>
          <w:lang w:eastAsia="ja-JP"/>
        </w:rPr>
        <w:t>t(17:22)[(q22:q13)] eða erfð</w:t>
      </w:r>
      <w:r w:rsidR="006C3520" w:rsidRPr="006774D3">
        <w:rPr>
          <w:color w:val="000000"/>
          <w:sz w:val="22"/>
          <w:szCs w:val="22"/>
          <w:lang w:eastAsia="ja-JP"/>
        </w:rPr>
        <w:t>a</w:t>
      </w:r>
      <w:r w:rsidRPr="006774D3">
        <w:rPr>
          <w:color w:val="000000"/>
          <w:sz w:val="22"/>
          <w:szCs w:val="22"/>
          <w:lang w:eastAsia="ja-JP"/>
        </w:rPr>
        <w:t>vísisafurð þess var til staðar hjá nær öllum þeim sem svöruðu meðferð með Glivec.</w:t>
      </w:r>
    </w:p>
    <w:p w14:paraId="05B8B53A" w14:textId="77777777" w:rsidR="005F57F3" w:rsidRPr="006774D3" w:rsidRDefault="005F57F3" w:rsidP="00F77C66">
      <w:pPr>
        <w:rPr>
          <w:color w:val="000000"/>
          <w:sz w:val="22"/>
          <w:szCs w:val="22"/>
        </w:rPr>
      </w:pPr>
    </w:p>
    <w:p w14:paraId="05B8B53B" w14:textId="77777777" w:rsidR="00EC5C9C" w:rsidRPr="006774D3" w:rsidRDefault="00625CFD" w:rsidP="00F77C66">
      <w:pPr>
        <w:rPr>
          <w:color w:val="000000"/>
          <w:sz w:val="22"/>
          <w:szCs w:val="22"/>
        </w:rPr>
      </w:pPr>
      <w:r w:rsidRPr="006774D3">
        <w:rPr>
          <w:color w:val="000000"/>
          <w:sz w:val="22"/>
          <w:szCs w:val="22"/>
        </w:rPr>
        <w:t xml:space="preserve">Ekki hafa verið gerðar neinar samanburðarrannsóknir hjá börnum með DFSP. Í 3 birtum </w:t>
      </w:r>
      <w:r w:rsidR="00782CBA" w:rsidRPr="006774D3">
        <w:rPr>
          <w:color w:val="000000"/>
          <w:sz w:val="22"/>
          <w:szCs w:val="22"/>
        </w:rPr>
        <w:t>heimildum</w:t>
      </w:r>
      <w:r w:rsidRPr="006774D3">
        <w:rPr>
          <w:color w:val="000000"/>
          <w:sz w:val="22"/>
          <w:szCs w:val="22"/>
        </w:rPr>
        <w:t xml:space="preserve"> var greint fr</w:t>
      </w:r>
      <w:r w:rsidR="00BD158A" w:rsidRPr="006774D3">
        <w:rPr>
          <w:color w:val="000000"/>
          <w:sz w:val="22"/>
          <w:szCs w:val="22"/>
        </w:rPr>
        <w:t>á 5 </w:t>
      </w:r>
      <w:r w:rsidRPr="006774D3">
        <w:rPr>
          <w:color w:val="000000"/>
          <w:sz w:val="22"/>
          <w:szCs w:val="22"/>
        </w:rPr>
        <w:t xml:space="preserve">sjúklingum með </w:t>
      </w:r>
      <w:r w:rsidR="00BD158A" w:rsidRPr="006774D3">
        <w:rPr>
          <w:color w:val="000000"/>
          <w:sz w:val="22"/>
          <w:szCs w:val="22"/>
        </w:rPr>
        <w:t xml:space="preserve">DFSP og PDGFR endurröðun erfðavísa. </w:t>
      </w:r>
      <w:r w:rsidRPr="006774D3">
        <w:rPr>
          <w:color w:val="000000"/>
          <w:sz w:val="22"/>
          <w:szCs w:val="22"/>
        </w:rPr>
        <w:t xml:space="preserve">Sjúklingarnir voru </w:t>
      </w:r>
      <w:r w:rsidR="00BD158A" w:rsidRPr="006774D3">
        <w:rPr>
          <w:color w:val="000000"/>
          <w:sz w:val="22"/>
          <w:szCs w:val="22"/>
        </w:rPr>
        <w:t>á aldrinum n</w:t>
      </w:r>
      <w:r w:rsidR="00AD3B79" w:rsidRPr="006774D3">
        <w:rPr>
          <w:color w:val="000000"/>
          <w:sz w:val="22"/>
          <w:szCs w:val="22"/>
        </w:rPr>
        <w:t>ýfædd</w:t>
      </w:r>
      <w:r w:rsidR="00782CBA" w:rsidRPr="006774D3">
        <w:rPr>
          <w:color w:val="000000"/>
          <w:sz w:val="22"/>
          <w:szCs w:val="22"/>
        </w:rPr>
        <w:t>ir</w:t>
      </w:r>
      <w:r w:rsidRPr="006774D3">
        <w:rPr>
          <w:color w:val="000000"/>
          <w:sz w:val="22"/>
          <w:szCs w:val="22"/>
        </w:rPr>
        <w:t xml:space="preserve"> til 1</w:t>
      </w:r>
      <w:r w:rsidR="00BD158A" w:rsidRPr="006774D3">
        <w:rPr>
          <w:color w:val="000000"/>
          <w:sz w:val="22"/>
          <w:szCs w:val="22"/>
        </w:rPr>
        <w:t>4 </w:t>
      </w:r>
      <w:r w:rsidRPr="006774D3">
        <w:rPr>
          <w:color w:val="000000"/>
          <w:sz w:val="22"/>
          <w:szCs w:val="22"/>
        </w:rPr>
        <w:t>ára og fengu</w:t>
      </w:r>
      <w:r w:rsidR="00D03F8A" w:rsidRPr="006774D3">
        <w:rPr>
          <w:color w:val="000000"/>
          <w:sz w:val="22"/>
          <w:szCs w:val="22"/>
        </w:rPr>
        <w:t xml:space="preserve"> imatin</w:t>
      </w:r>
      <w:r w:rsidR="00BD158A" w:rsidRPr="006774D3">
        <w:rPr>
          <w:color w:val="000000"/>
          <w:sz w:val="22"/>
          <w:szCs w:val="22"/>
        </w:rPr>
        <w:t>ib</w:t>
      </w:r>
      <w:r w:rsidRPr="006774D3">
        <w:rPr>
          <w:color w:val="000000"/>
          <w:sz w:val="22"/>
          <w:szCs w:val="22"/>
        </w:rPr>
        <w:t xml:space="preserve"> </w:t>
      </w:r>
      <w:r w:rsidR="00BD158A" w:rsidRPr="006774D3">
        <w:rPr>
          <w:color w:val="000000"/>
          <w:sz w:val="22"/>
          <w:szCs w:val="22"/>
        </w:rPr>
        <w:t xml:space="preserve">í </w:t>
      </w:r>
      <w:r w:rsidR="00443C15" w:rsidRPr="006774D3">
        <w:rPr>
          <w:color w:val="000000"/>
          <w:sz w:val="22"/>
          <w:szCs w:val="22"/>
        </w:rPr>
        <w:t xml:space="preserve">skammtinum 50 mg á sólarhring eða í </w:t>
      </w:r>
      <w:r w:rsidR="00BD158A" w:rsidRPr="006774D3">
        <w:rPr>
          <w:color w:val="000000"/>
          <w:sz w:val="22"/>
          <w:szCs w:val="22"/>
        </w:rPr>
        <w:t>skömmtum á bilinu 400 til 520 mg/m</w:t>
      </w:r>
      <w:r w:rsidR="00BD158A" w:rsidRPr="006774D3">
        <w:rPr>
          <w:color w:val="000000"/>
          <w:sz w:val="22"/>
          <w:szCs w:val="22"/>
          <w:vertAlign w:val="superscript"/>
        </w:rPr>
        <w:t>2</w:t>
      </w:r>
      <w:r w:rsidR="00BD158A" w:rsidRPr="006774D3">
        <w:rPr>
          <w:color w:val="000000"/>
          <w:sz w:val="22"/>
          <w:szCs w:val="22"/>
        </w:rPr>
        <w:t xml:space="preserve"> á sólarhring. </w:t>
      </w:r>
      <w:r w:rsidR="00EC5C9C" w:rsidRPr="006774D3">
        <w:rPr>
          <w:color w:val="000000"/>
          <w:sz w:val="22"/>
          <w:szCs w:val="22"/>
        </w:rPr>
        <w:t xml:space="preserve">Allir sjúklingar náðu svörun að hluta og/eða </w:t>
      </w:r>
      <w:r w:rsidR="00202BA8" w:rsidRPr="006774D3">
        <w:rPr>
          <w:color w:val="000000"/>
          <w:sz w:val="22"/>
          <w:szCs w:val="22"/>
        </w:rPr>
        <w:t>heildar</w:t>
      </w:r>
      <w:r w:rsidR="00EC5C9C" w:rsidRPr="006774D3">
        <w:rPr>
          <w:color w:val="000000"/>
          <w:sz w:val="22"/>
          <w:szCs w:val="22"/>
        </w:rPr>
        <w:t>svörun.</w:t>
      </w:r>
    </w:p>
    <w:p w14:paraId="05B8B53C" w14:textId="77777777" w:rsidR="00625CFD" w:rsidRPr="006774D3" w:rsidRDefault="00625CFD" w:rsidP="00F77C66">
      <w:pPr>
        <w:rPr>
          <w:color w:val="000000"/>
          <w:sz w:val="22"/>
          <w:szCs w:val="22"/>
        </w:rPr>
      </w:pPr>
    </w:p>
    <w:p w14:paraId="05B8B53D" w14:textId="77777777" w:rsidR="005F57F3" w:rsidRPr="006774D3" w:rsidRDefault="005F57F3" w:rsidP="00F77C66">
      <w:pPr>
        <w:keepNext/>
        <w:rPr>
          <w:color w:val="000000"/>
          <w:sz w:val="22"/>
          <w:szCs w:val="22"/>
        </w:rPr>
      </w:pPr>
      <w:r w:rsidRPr="006774D3">
        <w:rPr>
          <w:b/>
          <w:color w:val="000000"/>
          <w:sz w:val="22"/>
          <w:szCs w:val="22"/>
        </w:rPr>
        <w:t>5.2</w:t>
      </w:r>
      <w:r w:rsidRPr="006774D3">
        <w:rPr>
          <w:b/>
          <w:color w:val="000000"/>
          <w:sz w:val="22"/>
          <w:szCs w:val="22"/>
        </w:rPr>
        <w:tab/>
        <w:t>Lyfjahvörf</w:t>
      </w:r>
    </w:p>
    <w:p w14:paraId="05B8B53E" w14:textId="77777777" w:rsidR="005F57F3" w:rsidRPr="006774D3" w:rsidRDefault="005F57F3" w:rsidP="00F77C66">
      <w:pPr>
        <w:keepNext/>
        <w:rPr>
          <w:color w:val="000000"/>
          <w:sz w:val="22"/>
          <w:szCs w:val="22"/>
        </w:rPr>
      </w:pPr>
    </w:p>
    <w:p w14:paraId="05B8B53F"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Glivec</w:t>
      </w:r>
    </w:p>
    <w:p w14:paraId="05B8B540" w14:textId="77777777" w:rsidR="005F57F3" w:rsidRPr="006774D3" w:rsidRDefault="005F57F3" w:rsidP="00F77C66">
      <w:pPr>
        <w:rPr>
          <w:color w:val="000000"/>
          <w:sz w:val="22"/>
          <w:szCs w:val="22"/>
        </w:rPr>
      </w:pPr>
      <w:r w:rsidRPr="006774D3">
        <w:rPr>
          <w:color w:val="000000"/>
          <w:sz w:val="22"/>
          <w:szCs w:val="22"/>
        </w:rPr>
        <w:t>Lyfjahvörf Glivec hafa verið metin á skammtabilinu 25 til 1.000 mg. Lyfjahvörf í plasma voru greind á degi 1 og annaðhvort á degi 7 eða degi 28, en þá hafði plasmaþéttni náð jafnvægi.</w:t>
      </w:r>
    </w:p>
    <w:p w14:paraId="05B8B541" w14:textId="77777777" w:rsidR="005F57F3" w:rsidRPr="006774D3" w:rsidRDefault="005F57F3" w:rsidP="00F77C66">
      <w:pPr>
        <w:rPr>
          <w:color w:val="000000"/>
          <w:sz w:val="22"/>
          <w:szCs w:val="22"/>
        </w:rPr>
      </w:pPr>
    </w:p>
    <w:p w14:paraId="05B8B542"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Frásog</w:t>
      </w:r>
    </w:p>
    <w:p w14:paraId="05B8B543" w14:textId="77777777" w:rsidR="005F57F3" w:rsidRPr="006774D3" w:rsidRDefault="005F57F3" w:rsidP="00F77C66">
      <w:pPr>
        <w:rPr>
          <w:color w:val="000000"/>
          <w:sz w:val="22"/>
          <w:szCs w:val="22"/>
        </w:rPr>
      </w:pPr>
      <w:r w:rsidRPr="006774D3">
        <w:rPr>
          <w:color w:val="000000"/>
          <w:sz w:val="22"/>
          <w:szCs w:val="22"/>
        </w:rPr>
        <w:t>Nýting (absolute bioavailability) fyrir hylkin er að meðaltali 98%. Mikill breytileiki var á AUC gildum imatinibs í plasma milli sjúklinga eftir skammt til inntöku. Þegar imatinib var gefið með fituríkri máltíð dró aðeins óverulega úr frásogi (11% minnkun á C</w:t>
      </w:r>
      <w:r w:rsidRPr="006774D3">
        <w:rPr>
          <w:color w:val="000000"/>
          <w:sz w:val="22"/>
          <w:szCs w:val="22"/>
          <w:vertAlign w:val="subscript"/>
        </w:rPr>
        <w:t>max</w:t>
      </w:r>
      <w:r w:rsidRPr="006774D3">
        <w:rPr>
          <w:color w:val="000000"/>
          <w:sz w:val="22"/>
          <w:szCs w:val="22"/>
        </w:rPr>
        <w:t xml:space="preserve"> og lenging á t</w:t>
      </w:r>
      <w:r w:rsidRPr="006774D3">
        <w:rPr>
          <w:color w:val="000000"/>
          <w:sz w:val="22"/>
          <w:szCs w:val="22"/>
          <w:vertAlign w:val="subscript"/>
        </w:rPr>
        <w:t>max</w:t>
      </w:r>
      <w:r w:rsidRPr="006774D3">
        <w:rPr>
          <w:color w:val="000000"/>
          <w:sz w:val="22"/>
          <w:szCs w:val="22"/>
        </w:rPr>
        <w:t xml:space="preserve"> um 1,5 klst.) með smávægilegri minnkun á AUC (7,4%), samanborið við fastandi aðstæður. Áhrif fyrri maga- og þarmaskurðaðgerða á frásog lyfsins hafa ekki verið rannsökuð.</w:t>
      </w:r>
    </w:p>
    <w:p w14:paraId="05B8B544" w14:textId="77777777" w:rsidR="005F57F3" w:rsidRPr="006774D3" w:rsidRDefault="005F57F3" w:rsidP="00F77C66">
      <w:pPr>
        <w:rPr>
          <w:color w:val="000000"/>
          <w:sz w:val="22"/>
          <w:szCs w:val="22"/>
        </w:rPr>
      </w:pPr>
    </w:p>
    <w:p w14:paraId="05B8B545"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Dreifing</w:t>
      </w:r>
    </w:p>
    <w:p w14:paraId="05B8B546" w14:textId="77777777" w:rsidR="005F57F3" w:rsidRPr="006774D3" w:rsidRDefault="005F57F3" w:rsidP="00F77C66">
      <w:pPr>
        <w:rPr>
          <w:color w:val="000000"/>
          <w:sz w:val="22"/>
          <w:szCs w:val="22"/>
        </w:rPr>
      </w:pPr>
      <w:r w:rsidRPr="006774D3">
        <w:rPr>
          <w:color w:val="000000"/>
          <w:sz w:val="22"/>
          <w:szCs w:val="22"/>
        </w:rPr>
        <w:t xml:space="preserve">Við þéttni imatinibs sem skiptir klínísku máli var um 95% bundið plasmapróteinum, grundvallað á </w:t>
      </w:r>
      <w:r w:rsidRPr="006774D3">
        <w:rPr>
          <w:i/>
          <w:color w:val="000000"/>
          <w:sz w:val="22"/>
          <w:szCs w:val="22"/>
        </w:rPr>
        <w:t xml:space="preserve">in vitro </w:t>
      </w:r>
      <w:r w:rsidRPr="006774D3">
        <w:rPr>
          <w:color w:val="000000"/>
          <w:sz w:val="22"/>
          <w:szCs w:val="22"/>
        </w:rPr>
        <w:t>rannsóknum, einkum albumini og alfa-sýru-glýkópróteini, með litla bindingu við lipoprótein.</w:t>
      </w:r>
    </w:p>
    <w:p w14:paraId="05B8B547" w14:textId="77777777" w:rsidR="005F57F3" w:rsidRPr="006774D3" w:rsidRDefault="005F57F3" w:rsidP="00F77C66">
      <w:pPr>
        <w:rPr>
          <w:color w:val="000000"/>
          <w:sz w:val="22"/>
          <w:szCs w:val="22"/>
        </w:rPr>
      </w:pPr>
    </w:p>
    <w:p w14:paraId="05B8B548"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Umbrot</w:t>
      </w:r>
    </w:p>
    <w:p w14:paraId="05B8B549" w14:textId="77777777" w:rsidR="005F57F3" w:rsidRPr="006774D3" w:rsidRDefault="005F57F3" w:rsidP="00F77C66">
      <w:pPr>
        <w:rPr>
          <w:color w:val="000000"/>
          <w:sz w:val="22"/>
          <w:szCs w:val="22"/>
        </w:rPr>
      </w:pPr>
      <w:r w:rsidRPr="006774D3">
        <w:rPr>
          <w:color w:val="000000"/>
          <w:sz w:val="22"/>
          <w:szCs w:val="22"/>
        </w:rPr>
        <w:t>Aðalumbrotsefni í blóðrás manna er N</w:t>
      </w:r>
      <w:r w:rsidRPr="006774D3">
        <w:rPr>
          <w:color w:val="000000"/>
          <w:sz w:val="22"/>
          <w:szCs w:val="22"/>
        </w:rPr>
        <w:noBreakHyphen/>
        <w:t xml:space="preserve">metýlsvipta piperazinafleiðan sem sýnir svipaða </w:t>
      </w:r>
      <w:r w:rsidRPr="006774D3">
        <w:rPr>
          <w:i/>
          <w:color w:val="000000"/>
          <w:sz w:val="22"/>
          <w:szCs w:val="22"/>
        </w:rPr>
        <w:t xml:space="preserve">in vitro </w:t>
      </w:r>
      <w:r w:rsidRPr="006774D3">
        <w:rPr>
          <w:color w:val="000000"/>
          <w:sz w:val="22"/>
          <w:szCs w:val="22"/>
        </w:rPr>
        <w:t>virkni og lyfið sjálft. AUC í plasma fyrir þetta umbrotsefni var einungis 16% af AUC fyrir imatinib. Binding N</w:t>
      </w:r>
      <w:r w:rsidRPr="006774D3">
        <w:rPr>
          <w:color w:val="000000"/>
          <w:sz w:val="22"/>
          <w:szCs w:val="22"/>
        </w:rPr>
        <w:noBreakHyphen/>
        <w:t>metýl</w:t>
      </w:r>
      <w:r w:rsidRPr="006774D3">
        <w:rPr>
          <w:color w:val="000000"/>
          <w:sz w:val="22"/>
          <w:szCs w:val="22"/>
        </w:rPr>
        <w:softHyphen/>
        <w:t>svipta umbrotsefnisins við prótein í plasma er svipuð og fyrir móðurefnið.</w:t>
      </w:r>
    </w:p>
    <w:p w14:paraId="05B8B54A"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54B"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Imatinib og N</w:t>
      </w:r>
      <w:r w:rsidRPr="006774D3">
        <w:rPr>
          <w:color w:val="000000"/>
          <w:sz w:val="22"/>
          <w:szCs w:val="22"/>
          <w:lang w:val="is-IS"/>
        </w:rPr>
        <w:noBreakHyphen/>
        <w:t>metýlsvipta umbrotsefnið svöruðu samanlagt til 65% af geislavirkninni í blóðrás (AUC</w:t>
      </w:r>
      <w:r w:rsidRPr="006774D3">
        <w:rPr>
          <w:color w:val="000000"/>
          <w:sz w:val="22"/>
          <w:szCs w:val="22"/>
          <w:vertAlign w:val="subscript"/>
          <w:lang w:val="is-IS"/>
        </w:rPr>
        <w:t>(0</w:t>
      </w:r>
      <w:r w:rsidRPr="006774D3">
        <w:rPr>
          <w:color w:val="000000"/>
          <w:sz w:val="22"/>
          <w:szCs w:val="22"/>
          <w:vertAlign w:val="subscript"/>
          <w:lang w:val="is-IS"/>
        </w:rPr>
        <w:noBreakHyphen/>
        <w:t>48 klst.)</w:t>
      </w:r>
      <w:r w:rsidRPr="006774D3">
        <w:rPr>
          <w:color w:val="000000"/>
          <w:sz w:val="22"/>
          <w:szCs w:val="22"/>
          <w:lang w:val="is-IS"/>
        </w:rPr>
        <w:t>). Það sem eftir er af geislavirkninni í blóðrás eru mörg minni umbrotsefni.</w:t>
      </w:r>
    </w:p>
    <w:p w14:paraId="05B8B54C"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54D" w14:textId="77777777" w:rsidR="005F57F3" w:rsidRPr="006774D3" w:rsidRDefault="005F57F3" w:rsidP="00F77C66">
      <w:pPr>
        <w:pStyle w:val="EndnoteText"/>
        <w:spacing w:before="0" w:after="0"/>
        <w:ind w:left="0" w:firstLine="0"/>
        <w:rPr>
          <w:color w:val="000000"/>
          <w:sz w:val="22"/>
          <w:szCs w:val="22"/>
          <w:lang w:val="is-IS"/>
        </w:rPr>
      </w:pPr>
      <w:r w:rsidRPr="006774D3">
        <w:rPr>
          <w:i/>
          <w:color w:val="000000"/>
          <w:sz w:val="22"/>
          <w:szCs w:val="22"/>
          <w:lang w:val="is-IS"/>
        </w:rPr>
        <w:t>In vitro</w:t>
      </w:r>
      <w:r w:rsidRPr="006774D3">
        <w:rPr>
          <w:color w:val="000000"/>
          <w:sz w:val="22"/>
          <w:szCs w:val="22"/>
          <w:lang w:val="is-IS"/>
        </w:rPr>
        <w:t xml:space="preserve"> niðurstöður sýndu að CYP3A4 var helsta P450 ensímið í mönnum sem hafði í för með sér umbrot á imatinibi. Af mörgum lyfjum sem hugsanlega eru notuð samhliða (paracetamol, aciclovir, allopurinol, amfotericin, cytarabin, erytromycin, fluconazol, hydroxyurea, norfloxacin, penicillin V) sýndu einungis erytromycin (IC</w:t>
      </w:r>
      <w:r w:rsidRPr="006774D3">
        <w:rPr>
          <w:color w:val="000000"/>
          <w:sz w:val="22"/>
          <w:szCs w:val="22"/>
          <w:vertAlign w:val="subscript"/>
          <w:lang w:val="is-IS"/>
        </w:rPr>
        <w:t>50</w:t>
      </w:r>
      <w:r w:rsidRPr="006774D3">
        <w:rPr>
          <w:color w:val="000000"/>
          <w:sz w:val="22"/>
          <w:szCs w:val="22"/>
          <w:lang w:val="is-IS"/>
        </w:rPr>
        <w:t> 50 μM) og fluconazol (IC</w:t>
      </w:r>
      <w:r w:rsidRPr="006774D3">
        <w:rPr>
          <w:color w:val="000000"/>
          <w:sz w:val="22"/>
          <w:szCs w:val="22"/>
          <w:vertAlign w:val="subscript"/>
          <w:lang w:val="is-IS"/>
        </w:rPr>
        <w:t>50</w:t>
      </w:r>
      <w:r w:rsidRPr="006774D3">
        <w:rPr>
          <w:color w:val="000000"/>
          <w:sz w:val="22"/>
          <w:szCs w:val="22"/>
          <w:lang w:val="is-IS"/>
        </w:rPr>
        <w:t> 118 μM) hömlun á umbrotum imatinibs sem gæti haft klíníska þýðingu.</w:t>
      </w:r>
    </w:p>
    <w:p w14:paraId="05B8B54E" w14:textId="77777777" w:rsidR="005F57F3" w:rsidRPr="006774D3" w:rsidRDefault="005F57F3" w:rsidP="00F77C66">
      <w:pPr>
        <w:pStyle w:val="EndnoteText"/>
        <w:spacing w:before="0" w:after="0"/>
        <w:ind w:left="0" w:firstLine="0"/>
        <w:rPr>
          <w:color w:val="000000"/>
          <w:sz w:val="22"/>
          <w:szCs w:val="22"/>
          <w:lang w:val="is-IS"/>
        </w:rPr>
      </w:pPr>
    </w:p>
    <w:p w14:paraId="05B8B54F" w14:textId="77777777" w:rsidR="005F57F3" w:rsidRPr="006774D3" w:rsidRDefault="005F57F3" w:rsidP="00F77C66">
      <w:pPr>
        <w:pStyle w:val="EndnoteText"/>
        <w:spacing w:before="0" w:after="0"/>
        <w:ind w:left="0" w:firstLine="0"/>
        <w:rPr>
          <w:color w:val="000000"/>
          <w:sz w:val="22"/>
          <w:szCs w:val="22"/>
          <w:lang w:val="is-IS"/>
        </w:rPr>
      </w:pPr>
      <w:r w:rsidRPr="006774D3">
        <w:rPr>
          <w:i/>
          <w:color w:val="000000"/>
          <w:sz w:val="22"/>
          <w:szCs w:val="22"/>
          <w:lang w:val="is-IS"/>
        </w:rPr>
        <w:t>In vitro</w:t>
      </w:r>
      <w:r w:rsidRPr="006774D3">
        <w:rPr>
          <w:color w:val="000000"/>
          <w:sz w:val="22"/>
          <w:szCs w:val="22"/>
          <w:lang w:val="is-IS"/>
        </w:rPr>
        <w:t xml:space="preserve"> var sýnt fram á að imatinib væri samkeppnishemill markhvarfefna CYP2C9, CYP2D6 og CYP3A4/5. K</w:t>
      </w:r>
      <w:r w:rsidRPr="006774D3">
        <w:rPr>
          <w:color w:val="000000"/>
          <w:sz w:val="22"/>
          <w:szCs w:val="22"/>
          <w:vertAlign w:val="subscript"/>
          <w:lang w:val="is-IS"/>
        </w:rPr>
        <w:t>i</w:t>
      </w:r>
      <w:r w:rsidRPr="006774D3">
        <w:rPr>
          <w:color w:val="000000"/>
          <w:sz w:val="22"/>
          <w:szCs w:val="22"/>
          <w:lang w:val="is-IS"/>
        </w:rPr>
        <w:t> gildi í lifrarfrymisögnum manna voru 27, 7,5 og 7,9 μmól/l, tilgreint í sömu röð. Hámarksþéttni imatinibs í plasma sjúklinga er 2</w:t>
      </w:r>
      <w:r w:rsidRPr="006774D3">
        <w:rPr>
          <w:color w:val="000000"/>
          <w:sz w:val="22"/>
          <w:szCs w:val="22"/>
          <w:lang w:val="is-IS"/>
        </w:rPr>
        <w:noBreakHyphen/>
        <w:t xml:space="preserve">4 μmól/l og þar af leiðandi er hömlun á CYP2D6 og/eða CYP3A4/5 miðluðum umbrotum möguleg við samhliða notkun annarra lyfja. Imatinib truflaði </w:t>
      </w:r>
      <w:r w:rsidRPr="006774D3">
        <w:rPr>
          <w:color w:val="000000"/>
          <w:sz w:val="22"/>
          <w:szCs w:val="22"/>
          <w:lang w:val="is-IS"/>
        </w:rPr>
        <w:lastRenderedPageBreak/>
        <w:t>ekki umbreytingu 5</w:t>
      </w:r>
      <w:r w:rsidRPr="006774D3">
        <w:rPr>
          <w:color w:val="000000"/>
          <w:sz w:val="22"/>
          <w:szCs w:val="22"/>
          <w:lang w:val="is-IS"/>
        </w:rPr>
        <w:noBreakHyphen/>
        <w:t>fluorouracils, en hamlaði umbrotum paclitaxels vegna samkeppnishömlunar við CYP2C8 (K</w:t>
      </w:r>
      <w:r w:rsidRPr="006774D3">
        <w:rPr>
          <w:color w:val="000000"/>
          <w:sz w:val="22"/>
          <w:szCs w:val="22"/>
          <w:vertAlign w:val="subscript"/>
          <w:lang w:val="is-IS"/>
        </w:rPr>
        <w:t>i</w:t>
      </w:r>
      <w:r w:rsidRPr="006774D3">
        <w:rPr>
          <w:color w:val="000000"/>
          <w:sz w:val="22"/>
          <w:szCs w:val="22"/>
          <w:lang w:val="is-IS"/>
        </w:rPr>
        <w:t> = 34,7 μM). Þetta K</w:t>
      </w:r>
      <w:r w:rsidRPr="006774D3">
        <w:rPr>
          <w:color w:val="000000"/>
          <w:sz w:val="22"/>
          <w:szCs w:val="22"/>
          <w:vertAlign w:val="subscript"/>
          <w:lang w:val="is-IS"/>
        </w:rPr>
        <w:t>i</w:t>
      </w:r>
      <w:r w:rsidRPr="006774D3">
        <w:rPr>
          <w:color w:val="000000"/>
          <w:sz w:val="22"/>
          <w:szCs w:val="22"/>
          <w:lang w:val="is-IS"/>
        </w:rPr>
        <w:t> gildi er mun hærra en plasmaþéttni imatinibs sem búist er við hjá sjúklingum og þar af leiðandi er ekki gert ráð fyrir milliverkunum við samhliða notkun annaðhvort 5</w:t>
      </w:r>
      <w:r w:rsidRPr="006774D3">
        <w:rPr>
          <w:color w:val="000000"/>
          <w:sz w:val="22"/>
          <w:szCs w:val="22"/>
          <w:lang w:val="is-IS"/>
        </w:rPr>
        <w:noBreakHyphen/>
        <w:t>fluorouracils eða paclitaxels og imatinibs.</w:t>
      </w:r>
    </w:p>
    <w:p w14:paraId="05B8B550" w14:textId="77777777" w:rsidR="005F57F3" w:rsidRPr="006774D3" w:rsidRDefault="005F57F3" w:rsidP="00F77C66">
      <w:pPr>
        <w:rPr>
          <w:color w:val="000000"/>
          <w:sz w:val="22"/>
          <w:szCs w:val="22"/>
        </w:rPr>
      </w:pPr>
    </w:p>
    <w:p w14:paraId="05B8B551"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Brotthvarf</w:t>
      </w:r>
    </w:p>
    <w:p w14:paraId="05B8B552" w14:textId="77777777" w:rsidR="005F57F3" w:rsidRPr="006774D3" w:rsidRDefault="005F57F3" w:rsidP="00F77C66">
      <w:pPr>
        <w:rPr>
          <w:color w:val="000000"/>
          <w:sz w:val="22"/>
          <w:szCs w:val="22"/>
        </w:rPr>
      </w:pPr>
      <w:r w:rsidRPr="006774D3">
        <w:rPr>
          <w:color w:val="000000"/>
          <w:sz w:val="22"/>
          <w:szCs w:val="22"/>
        </w:rPr>
        <w:t xml:space="preserve">Á grundvelli endurheimtra efnasambanda eftir inntöku </w:t>
      </w:r>
      <w:r w:rsidRPr="006774D3">
        <w:rPr>
          <w:color w:val="000000"/>
          <w:sz w:val="22"/>
          <w:szCs w:val="22"/>
          <w:vertAlign w:val="superscript"/>
        </w:rPr>
        <w:t>14</w:t>
      </w:r>
      <w:r w:rsidRPr="006774D3">
        <w:rPr>
          <w:color w:val="000000"/>
          <w:sz w:val="22"/>
          <w:szCs w:val="22"/>
        </w:rPr>
        <w:t>C</w:t>
      </w:r>
      <w:r w:rsidRPr="006774D3">
        <w:rPr>
          <w:color w:val="000000"/>
          <w:sz w:val="22"/>
          <w:szCs w:val="22"/>
        </w:rPr>
        <w:noBreakHyphen/>
        <w:t>merkts skammts af imatinibi til inntöku, skiluðu um 81% af skammtinum sér innan 7 daga í hægðum (68% af skammti) og þvagi (13% af skammti). Óbreytt imatinib var 25% af skammti (5% í þvagi, 20% í hægðum), afgangurinn er umbrotsefni.</w:t>
      </w:r>
    </w:p>
    <w:p w14:paraId="05B8B553" w14:textId="77777777" w:rsidR="005F57F3" w:rsidRPr="006774D3" w:rsidRDefault="005F57F3" w:rsidP="00F77C66">
      <w:pPr>
        <w:pStyle w:val="EndnoteText"/>
        <w:spacing w:before="0" w:after="0"/>
        <w:ind w:left="0" w:firstLine="0"/>
        <w:rPr>
          <w:color w:val="000000"/>
          <w:sz w:val="22"/>
          <w:szCs w:val="22"/>
          <w:lang w:val="is-IS"/>
        </w:rPr>
      </w:pPr>
    </w:p>
    <w:p w14:paraId="05B8B554"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í plasma</w:t>
      </w:r>
    </w:p>
    <w:p w14:paraId="05B8B555" w14:textId="77777777" w:rsidR="005F57F3" w:rsidRPr="006774D3" w:rsidRDefault="005F57F3" w:rsidP="00F77C66">
      <w:pPr>
        <w:rPr>
          <w:color w:val="000000"/>
          <w:sz w:val="22"/>
          <w:szCs w:val="22"/>
        </w:rPr>
      </w:pPr>
      <w:r w:rsidRPr="006774D3">
        <w:rPr>
          <w:color w:val="000000"/>
          <w:sz w:val="22"/>
          <w:szCs w:val="22"/>
        </w:rPr>
        <w:t>Eftir inntöku hjá heilbrigðum sjálfboðaliðum var t</w:t>
      </w:r>
      <w:r w:rsidRPr="006774D3">
        <w:rPr>
          <w:color w:val="000000"/>
          <w:sz w:val="22"/>
          <w:szCs w:val="22"/>
          <w:vertAlign w:val="subscript"/>
        </w:rPr>
        <w:t>½</w:t>
      </w:r>
      <w:r w:rsidRPr="006774D3">
        <w:rPr>
          <w:color w:val="000000"/>
          <w:sz w:val="22"/>
          <w:szCs w:val="22"/>
        </w:rPr>
        <w:t xml:space="preserve"> um 18 klst. sem bendir til að skömmtun einu sinni á sólarhring sé hæfileg. Aukningin á meðalgildi AUC með stækkandi skammti var línuleg og í réttu hlutfalli við skammt á bilinu 25</w:t>
      </w:r>
      <w:r w:rsidRPr="006774D3">
        <w:rPr>
          <w:color w:val="000000"/>
          <w:sz w:val="22"/>
          <w:szCs w:val="22"/>
        </w:rPr>
        <w:noBreakHyphen/>
        <w:t>1.000 mg af imatinibi eftir inntöku. Engin breyting varð á lyfja</w:t>
      </w:r>
      <w:r w:rsidRPr="006774D3">
        <w:rPr>
          <w:color w:val="000000"/>
          <w:sz w:val="22"/>
          <w:szCs w:val="22"/>
        </w:rPr>
        <w:softHyphen/>
        <w:t>hvörfum imatinibs við endurtekna skammta og uppsöfnun var 1,5</w:t>
      </w:r>
      <w:r w:rsidRPr="006774D3">
        <w:rPr>
          <w:color w:val="000000"/>
          <w:sz w:val="22"/>
          <w:szCs w:val="22"/>
        </w:rPr>
        <w:noBreakHyphen/>
        <w:t>2,5 föld við jafnvægi þegar gefinn var einn skammtur á sólar</w:t>
      </w:r>
      <w:r w:rsidRPr="006774D3">
        <w:rPr>
          <w:color w:val="000000"/>
          <w:sz w:val="22"/>
          <w:szCs w:val="22"/>
        </w:rPr>
        <w:softHyphen/>
        <w:t>hring.</w:t>
      </w:r>
    </w:p>
    <w:p w14:paraId="05B8B556" w14:textId="77777777" w:rsidR="005F57F3" w:rsidRPr="006774D3" w:rsidRDefault="005F57F3" w:rsidP="00F77C66">
      <w:pPr>
        <w:rPr>
          <w:color w:val="000000"/>
          <w:sz w:val="22"/>
          <w:szCs w:val="22"/>
        </w:rPr>
      </w:pPr>
    </w:p>
    <w:p w14:paraId="05B8B557" w14:textId="77777777" w:rsidR="005F57F3" w:rsidRPr="006774D3" w:rsidRDefault="005F57F3" w:rsidP="00F77C66">
      <w:pPr>
        <w:keepNext/>
        <w:rPr>
          <w:color w:val="000000"/>
          <w:sz w:val="22"/>
          <w:szCs w:val="22"/>
          <w:u w:val="single"/>
        </w:rPr>
      </w:pPr>
      <w:r w:rsidRPr="006774D3">
        <w:rPr>
          <w:color w:val="000000"/>
          <w:sz w:val="22"/>
          <w:szCs w:val="22"/>
          <w:u w:val="single"/>
        </w:rPr>
        <w:t>Lyfjahvörf hjá GIST sjúklingum</w:t>
      </w:r>
    </w:p>
    <w:p w14:paraId="05B8B558" w14:textId="77777777" w:rsidR="005F57F3" w:rsidRPr="006774D3" w:rsidRDefault="005F57F3" w:rsidP="00F77C66">
      <w:pPr>
        <w:rPr>
          <w:color w:val="000000"/>
          <w:sz w:val="22"/>
          <w:szCs w:val="22"/>
        </w:rPr>
      </w:pPr>
      <w:r w:rsidRPr="006774D3">
        <w:rPr>
          <w:color w:val="000000"/>
          <w:sz w:val="22"/>
          <w:szCs w:val="22"/>
        </w:rPr>
        <w:t>Útsetning við jafnvægi hjá sjúklingum með GIST var 1,5 sinnum meiri en fram kom hjá CML sjúklingum við sama skammt (400 mg á sólarhring). Á grundvelli bráðabirgða þýðisgreiningar á lyfjahvörfum hjá GIST sjúklingum reyndust þrjár breytur (albumin, WBC og bilirubin) hafa tölfræði</w:t>
      </w:r>
      <w:r w:rsidRPr="006774D3">
        <w:rPr>
          <w:color w:val="000000"/>
          <w:sz w:val="22"/>
          <w:szCs w:val="22"/>
        </w:rPr>
        <w:softHyphen/>
        <w:t>lega marktæk tengsl við lyfjahvörf imatinibs. Minnkuð gildi albumins höfðu í för með sér minnkaða úthreinsun (CL/f) sem og hærri gildi WBC leiddu til þess að CL/f minnkaði. Hins vegar eru þessi tengsl ekki nægilega mikil til að breyta þurfi skömmtum. Hjá þessum sjúklingahópi gætu meinvörp í lifur hugsanlega leitt til skertrar lifrarstarfsemi og minnkaðra umbrota.</w:t>
      </w:r>
    </w:p>
    <w:p w14:paraId="05B8B559"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55A"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sjúklingahópa</w:t>
      </w:r>
    </w:p>
    <w:p w14:paraId="05B8B55B" w14:textId="77777777" w:rsidR="005F57F3" w:rsidRPr="006774D3" w:rsidRDefault="005F57F3" w:rsidP="00F77C66">
      <w:pPr>
        <w:rPr>
          <w:color w:val="000000"/>
          <w:sz w:val="22"/>
          <w:szCs w:val="22"/>
        </w:rPr>
      </w:pPr>
      <w:r w:rsidRPr="006774D3">
        <w:rPr>
          <w:color w:val="000000"/>
          <w:sz w:val="22"/>
          <w:szCs w:val="22"/>
        </w:rPr>
        <w:t>Á grundvelli þýðisgreiningar á lyfjahvörfum hjá CML sjúklingum hafði aldur lítils háttar áhrif á dreifingar</w:t>
      </w:r>
      <w:r w:rsidRPr="006774D3">
        <w:rPr>
          <w:color w:val="000000"/>
          <w:sz w:val="22"/>
          <w:szCs w:val="22"/>
        </w:rPr>
        <w:softHyphen/>
        <w:t>rúmmál (12% aukning hjá sjúklingum &gt; 65 ára). Ekki er litið svo á að breyting þessi sé klínískt marktæk. Áhrif líkamsþyngdar á úthreinsun imatinibs eru með þeim hætti að fyrir sjúkling sem er 50 kg að þyngd er búist við að úthreinsun sé að meðaltali 8,5 l/klst., en sé sjúklingur 100 kg eykst úthreinsunin í 11,8 l/klst. Ekki er talið að þessar breytingar séu það miklar að þær kalli á breytingar skammta á grundvelli líkamsþyngdar. Kynferði hefur engin áhrif á lyfjahvörf imatinibs.</w:t>
      </w:r>
    </w:p>
    <w:p w14:paraId="05B8B55C" w14:textId="77777777" w:rsidR="005F57F3" w:rsidRPr="006774D3" w:rsidRDefault="005F57F3" w:rsidP="00F77C66">
      <w:pPr>
        <w:rPr>
          <w:color w:val="000000"/>
          <w:sz w:val="22"/>
          <w:szCs w:val="22"/>
        </w:rPr>
      </w:pPr>
    </w:p>
    <w:p w14:paraId="05B8B55D" w14:textId="77777777" w:rsidR="005F57F3" w:rsidRPr="006774D3" w:rsidRDefault="005F57F3" w:rsidP="00F77C66">
      <w:pPr>
        <w:keepNext/>
        <w:rPr>
          <w:color w:val="000000"/>
          <w:sz w:val="22"/>
          <w:szCs w:val="22"/>
          <w:u w:val="single"/>
        </w:rPr>
      </w:pPr>
      <w:r w:rsidRPr="006774D3">
        <w:rPr>
          <w:color w:val="000000"/>
          <w:sz w:val="22"/>
          <w:szCs w:val="22"/>
          <w:u w:val="single"/>
        </w:rPr>
        <w:t>Lyfjahvörf hjá börnum</w:t>
      </w:r>
    </w:p>
    <w:p w14:paraId="05B8B55E" w14:textId="77777777" w:rsidR="005F57F3" w:rsidRPr="006774D3" w:rsidRDefault="005F57F3" w:rsidP="00F77C66">
      <w:pPr>
        <w:rPr>
          <w:color w:val="000000"/>
          <w:sz w:val="22"/>
          <w:szCs w:val="22"/>
        </w:rPr>
      </w:pPr>
      <w:r w:rsidRPr="006774D3">
        <w:rPr>
          <w:color w:val="000000"/>
          <w:sz w:val="22"/>
          <w:szCs w:val="22"/>
        </w:rPr>
        <w:t>Eins og hjá fullorðnum sjúklingum frásogaðist imatinib hratt eftir inntöku hjá börnum í bæði I. stigs og II. stigs rannsóknum. Skammtar hjá börnum sem nema 260 og 340 mg/m²/sólarhring náðu svipaðri útsetningu hlutfallslega og 400 mg og 600 mg skammtar handa fullorðnum sjúklingum. Samanburður AUC</w:t>
      </w:r>
      <w:r w:rsidRPr="006774D3">
        <w:rPr>
          <w:color w:val="000000"/>
          <w:sz w:val="22"/>
          <w:szCs w:val="22"/>
          <w:vertAlign w:val="subscript"/>
        </w:rPr>
        <w:t>(0</w:t>
      </w:r>
      <w:r w:rsidRPr="006774D3">
        <w:rPr>
          <w:color w:val="000000"/>
          <w:sz w:val="22"/>
          <w:szCs w:val="22"/>
          <w:vertAlign w:val="subscript"/>
        </w:rPr>
        <w:noBreakHyphen/>
        <w:t>24)</w:t>
      </w:r>
      <w:r w:rsidRPr="006774D3">
        <w:rPr>
          <w:color w:val="000000"/>
          <w:sz w:val="22"/>
          <w:szCs w:val="22"/>
        </w:rPr>
        <w:t xml:space="preserve"> á degi 8 og degi 1 við 340 mg/m²/sólarhring skammta leiddi í ljós 1,7 falda uppsöfnun lyfsins eftir endurtekna skammta einu sinni á dag.</w:t>
      </w:r>
    </w:p>
    <w:p w14:paraId="05B8B55F" w14:textId="77777777" w:rsidR="005F57F3" w:rsidRPr="006774D3" w:rsidRDefault="005F57F3" w:rsidP="00F77C66">
      <w:pPr>
        <w:rPr>
          <w:color w:val="000000"/>
          <w:sz w:val="22"/>
          <w:szCs w:val="22"/>
        </w:rPr>
      </w:pPr>
    </w:p>
    <w:p w14:paraId="05B8B560" w14:textId="77777777" w:rsidR="00767BAE" w:rsidRPr="006774D3" w:rsidRDefault="00C83315" w:rsidP="00F77C66">
      <w:pPr>
        <w:rPr>
          <w:color w:val="000000"/>
          <w:sz w:val="22"/>
          <w:szCs w:val="22"/>
        </w:rPr>
      </w:pPr>
      <w:r w:rsidRPr="006774D3">
        <w:rPr>
          <w:color w:val="000000"/>
          <w:sz w:val="22"/>
          <w:szCs w:val="22"/>
        </w:rPr>
        <w:t>Samkvæmt samantekinni greiningu</w:t>
      </w:r>
      <w:r w:rsidR="00767BAE" w:rsidRPr="006774D3">
        <w:rPr>
          <w:color w:val="000000"/>
          <w:sz w:val="22"/>
          <w:szCs w:val="22"/>
        </w:rPr>
        <w:t xml:space="preserve"> á lyfjahvörfum hjá börnum með </w:t>
      </w:r>
      <w:r w:rsidRPr="006774D3">
        <w:rPr>
          <w:color w:val="000000"/>
          <w:sz w:val="22"/>
          <w:szCs w:val="22"/>
        </w:rPr>
        <w:t xml:space="preserve">blóðsjúkdóma (CML, </w:t>
      </w:r>
      <w:r w:rsidR="00776DFA" w:rsidRPr="006774D3">
        <w:rPr>
          <w:color w:val="000000"/>
          <w:sz w:val="22"/>
          <w:szCs w:val="22"/>
        </w:rPr>
        <w:t>Ph+ </w:t>
      </w:r>
      <w:r w:rsidRPr="006774D3">
        <w:rPr>
          <w:color w:val="000000"/>
          <w:sz w:val="22"/>
          <w:szCs w:val="22"/>
        </w:rPr>
        <w:t>ALL eða aðra blóðsjúkdóma sem meðhöndlaðir eru með imatinibi), eykst úthreinsun imatinibs með auknu líkamsyfirborði. Eftir að leiðrétt hafði verið fyrir áhrif</w:t>
      </w:r>
      <w:r w:rsidR="00776DFA" w:rsidRPr="006774D3">
        <w:rPr>
          <w:color w:val="000000"/>
          <w:sz w:val="22"/>
          <w:szCs w:val="22"/>
        </w:rPr>
        <w:t>u</w:t>
      </w:r>
      <w:r w:rsidRPr="006774D3">
        <w:rPr>
          <w:color w:val="000000"/>
          <w:sz w:val="22"/>
          <w:szCs w:val="22"/>
        </w:rPr>
        <w:t>m líkamsyfirborðs, höfðu aðrir lýðfræðilegir þættir svo sem aldur, líkamsþyngd og líkamsþyngdarstuðull (BMI) ekki klínískt marktæk áhrif á útsetningu fyrir imatinibi. Greiningin staðfesti að útsetning fyrir imatinibi hjá börnum sem fá 260 mg/m</w:t>
      </w:r>
      <w:r w:rsidRPr="006774D3">
        <w:rPr>
          <w:color w:val="000000"/>
          <w:sz w:val="22"/>
          <w:szCs w:val="22"/>
          <w:vertAlign w:val="superscript"/>
        </w:rPr>
        <w:t>2</w:t>
      </w:r>
      <w:r w:rsidRPr="006774D3">
        <w:rPr>
          <w:color w:val="000000"/>
          <w:sz w:val="22"/>
          <w:szCs w:val="22"/>
        </w:rPr>
        <w:t xml:space="preserve"> einu sinni á sólarhring (ekki meira en 400 mg einu sinni á sólarhring) eða 340 mg/m</w:t>
      </w:r>
      <w:r w:rsidRPr="006774D3">
        <w:rPr>
          <w:color w:val="000000"/>
          <w:sz w:val="22"/>
          <w:szCs w:val="22"/>
          <w:vertAlign w:val="superscript"/>
        </w:rPr>
        <w:t>2</w:t>
      </w:r>
      <w:r w:rsidRPr="006774D3">
        <w:rPr>
          <w:color w:val="000000"/>
          <w:sz w:val="22"/>
          <w:szCs w:val="22"/>
        </w:rPr>
        <w:t xml:space="preserve"> einu sinni á sólarhring (ekki meira en 600 mg einu sinni á sólarhring) var svipuð og hjá fullorðnum sjúklingum sem fengu 400 mg eða 600 mg af imatinibi einu sinni á sólarhring.</w:t>
      </w:r>
    </w:p>
    <w:p w14:paraId="05B8B561" w14:textId="77777777" w:rsidR="00767BAE" w:rsidRPr="006774D3" w:rsidRDefault="00767BAE" w:rsidP="00F77C66">
      <w:pPr>
        <w:rPr>
          <w:color w:val="000000"/>
          <w:sz w:val="22"/>
          <w:szCs w:val="22"/>
        </w:rPr>
      </w:pPr>
    </w:p>
    <w:p w14:paraId="05B8B562"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Skert líffærastarfsemi</w:t>
      </w:r>
    </w:p>
    <w:p w14:paraId="05B8B563" w14:textId="77777777" w:rsidR="005F57F3" w:rsidRPr="006774D3" w:rsidRDefault="005F57F3" w:rsidP="00F77C66">
      <w:pPr>
        <w:rPr>
          <w:color w:val="000000"/>
          <w:sz w:val="22"/>
          <w:szCs w:val="22"/>
        </w:rPr>
      </w:pPr>
      <w:r w:rsidRPr="006774D3">
        <w:rPr>
          <w:color w:val="000000"/>
          <w:sz w:val="22"/>
          <w:szCs w:val="22"/>
        </w:rPr>
        <w:t>Imatinib og umbrotsefni þess skiljast ekki út um nýru í magni sem máli skiptir. Svo virðist sem útsetning fyrir imatinibi í plasma sé meiri hjá sjúklingum með vægt og í meðallagi skerta nýrnastarfsemi en hjá þeim sem eru með eðlilega nýrnastarfsemi. Aukningin er um það bil 1,5 til 2</w:t>
      </w:r>
      <w:r w:rsidRPr="006774D3">
        <w:rPr>
          <w:color w:val="000000"/>
          <w:sz w:val="22"/>
          <w:szCs w:val="22"/>
        </w:rPr>
        <w:noBreakHyphen/>
        <w:t>föld, sem jafngildir 1,5</w:t>
      </w:r>
      <w:r w:rsidRPr="006774D3">
        <w:rPr>
          <w:color w:val="000000"/>
          <w:sz w:val="22"/>
          <w:szCs w:val="22"/>
        </w:rPr>
        <w:noBreakHyphen/>
        <w:t xml:space="preserve">faldri hækkun AGP í plasma, en imatinib er mikið bundið AGP. Úthreinsun óbundins imatinibs er líklega svipuð hjá sjúklingum með skerta nýrnastarfsemi og hjá þeim sem eru </w:t>
      </w:r>
      <w:r w:rsidRPr="006774D3">
        <w:rPr>
          <w:color w:val="000000"/>
          <w:sz w:val="22"/>
          <w:szCs w:val="22"/>
        </w:rPr>
        <w:lastRenderedPageBreak/>
        <w:t>með eðlilega nýrnastarfsemi, því útskilnaður um nýru er einungis óverulegur þáttur í brotthvarfi imatinibs (sjá kafla 4.2 og 4.4).</w:t>
      </w:r>
    </w:p>
    <w:p w14:paraId="05B8B564" w14:textId="77777777" w:rsidR="005F57F3" w:rsidRPr="006774D3" w:rsidRDefault="005F57F3" w:rsidP="00F77C66">
      <w:pPr>
        <w:rPr>
          <w:color w:val="000000"/>
          <w:sz w:val="22"/>
          <w:szCs w:val="22"/>
        </w:rPr>
      </w:pPr>
    </w:p>
    <w:p w14:paraId="05B8B565" w14:textId="77777777" w:rsidR="005F57F3" w:rsidRPr="006774D3" w:rsidRDefault="005F57F3" w:rsidP="00F77C66">
      <w:pPr>
        <w:rPr>
          <w:color w:val="000000"/>
          <w:sz w:val="22"/>
          <w:szCs w:val="22"/>
        </w:rPr>
      </w:pPr>
      <w:r w:rsidRPr="006774D3">
        <w:rPr>
          <w:color w:val="000000"/>
          <w:sz w:val="22"/>
          <w:szCs w:val="22"/>
        </w:rPr>
        <w:t>Enda þótt niðurstöður úr greiningu á lyfjahvörfum sýndu umtalsverðan mun frá einum einstaklingi til annars, jókst meðaltals</w:t>
      </w:r>
      <w:r w:rsidRPr="006774D3">
        <w:rPr>
          <w:color w:val="000000"/>
          <w:sz w:val="22"/>
          <w:szCs w:val="22"/>
        </w:rPr>
        <w:softHyphen/>
        <w:t>útsetning fyrir imatinibi ekki við ýmis stig skertrar lifrarstarfsemi, samanborið við sjúklinga með eðlilega lifrarstarfsemi (sjá kafla 4.2, 4.4 og 4.8).</w:t>
      </w:r>
    </w:p>
    <w:p w14:paraId="05B8B566" w14:textId="77777777" w:rsidR="005F57F3" w:rsidRPr="006774D3" w:rsidRDefault="005F57F3" w:rsidP="00F77C66">
      <w:pPr>
        <w:rPr>
          <w:color w:val="000000"/>
          <w:sz w:val="22"/>
          <w:szCs w:val="22"/>
        </w:rPr>
      </w:pPr>
    </w:p>
    <w:p w14:paraId="05B8B567" w14:textId="77777777" w:rsidR="005F57F3" w:rsidRPr="006774D3" w:rsidRDefault="005F57F3" w:rsidP="00F77C66">
      <w:pPr>
        <w:keepNext/>
        <w:rPr>
          <w:color w:val="000000"/>
          <w:sz w:val="22"/>
          <w:szCs w:val="22"/>
        </w:rPr>
      </w:pPr>
      <w:r w:rsidRPr="006774D3">
        <w:rPr>
          <w:b/>
          <w:color w:val="000000"/>
          <w:sz w:val="22"/>
          <w:szCs w:val="22"/>
        </w:rPr>
        <w:t>5.3</w:t>
      </w:r>
      <w:r w:rsidRPr="006774D3">
        <w:rPr>
          <w:b/>
          <w:color w:val="000000"/>
          <w:sz w:val="22"/>
          <w:szCs w:val="22"/>
        </w:rPr>
        <w:tab/>
        <w:t>Forklínískar upplýsingar</w:t>
      </w:r>
    </w:p>
    <w:p w14:paraId="05B8B568" w14:textId="77777777" w:rsidR="005F57F3" w:rsidRPr="006774D3" w:rsidRDefault="005F57F3" w:rsidP="00F77C66">
      <w:pPr>
        <w:keepNext/>
        <w:rPr>
          <w:color w:val="000000"/>
          <w:sz w:val="22"/>
          <w:szCs w:val="22"/>
        </w:rPr>
      </w:pPr>
    </w:p>
    <w:p w14:paraId="05B8B569" w14:textId="77777777" w:rsidR="005F57F3" w:rsidRPr="006774D3" w:rsidRDefault="005F57F3" w:rsidP="00632D98">
      <w:pPr>
        <w:pStyle w:val="EndnoteText"/>
        <w:spacing w:before="0" w:after="0"/>
        <w:ind w:left="0" w:firstLine="0"/>
        <w:rPr>
          <w:color w:val="000000"/>
          <w:sz w:val="22"/>
          <w:szCs w:val="22"/>
          <w:lang w:val="is-IS"/>
        </w:rPr>
      </w:pPr>
      <w:r w:rsidRPr="006774D3">
        <w:rPr>
          <w:color w:val="000000"/>
          <w:sz w:val="22"/>
          <w:szCs w:val="22"/>
          <w:lang w:val="is-IS"/>
        </w:rPr>
        <w:t>Forklínískt öryggi imatinibs var metið hjá rottum, hundum, öpum og kanínum.</w:t>
      </w:r>
    </w:p>
    <w:p w14:paraId="05B8B56A" w14:textId="77777777" w:rsidR="005F57F3" w:rsidRPr="006774D3" w:rsidRDefault="005F57F3" w:rsidP="00F77C66">
      <w:pPr>
        <w:pStyle w:val="EndnoteText"/>
        <w:spacing w:before="0" w:after="0"/>
        <w:ind w:left="0" w:firstLine="0"/>
        <w:rPr>
          <w:color w:val="000000"/>
          <w:sz w:val="22"/>
          <w:szCs w:val="22"/>
          <w:lang w:val="is-IS"/>
        </w:rPr>
      </w:pPr>
    </w:p>
    <w:p w14:paraId="05B8B56B"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Rannsóknir á eiturverkunum eftir endurtekna skammta sýndu litlar til í meðallagi miklar breytingar á blóðmynd hjá rottum, hundum og öpum, sem og breytingar á beinmerg hjá rottum og hundum.</w:t>
      </w:r>
    </w:p>
    <w:p w14:paraId="05B8B56C" w14:textId="77777777" w:rsidR="005F57F3" w:rsidRPr="006774D3" w:rsidRDefault="005F57F3" w:rsidP="00F77C66">
      <w:pPr>
        <w:pStyle w:val="EndnoteText"/>
        <w:spacing w:before="0" w:after="0"/>
        <w:ind w:left="0" w:firstLine="0"/>
        <w:rPr>
          <w:color w:val="000000"/>
          <w:sz w:val="22"/>
          <w:szCs w:val="22"/>
          <w:lang w:val="is-IS"/>
        </w:rPr>
      </w:pPr>
    </w:p>
    <w:p w14:paraId="05B8B56D"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Marklíffærið hjá rottum og hundum var lifrin. Væg til í meðallagi mikil aukning transaminasa og smávægileg lækkun á kólesteróli, þríglýseríðum, heildar próteinum og albumini sáust hjá báðum tegundunum. Engar vefjameinafræðilegar breytingar sáust í rottulifur. Alvarlegar eiturverkanir á lifur komu fram hjá hundum sem fengu 2 vikna meðferð og var um að ræða hækkanir á lifrarensímum, drep í lifrarfrumum, drep í gallrás og vefjaauka í gallrás.</w:t>
      </w:r>
    </w:p>
    <w:p w14:paraId="05B8B56E" w14:textId="77777777" w:rsidR="005F57F3" w:rsidRPr="006774D3" w:rsidRDefault="005F57F3" w:rsidP="00F77C66">
      <w:pPr>
        <w:rPr>
          <w:color w:val="000000"/>
          <w:sz w:val="22"/>
          <w:szCs w:val="22"/>
        </w:rPr>
      </w:pPr>
    </w:p>
    <w:p w14:paraId="05B8B56F" w14:textId="77777777" w:rsidR="005F57F3" w:rsidRPr="006774D3" w:rsidRDefault="005F57F3" w:rsidP="00F77C66">
      <w:pPr>
        <w:pStyle w:val="BodyText"/>
        <w:ind w:right="0"/>
        <w:rPr>
          <w:b w:val="0"/>
          <w:color w:val="000000"/>
          <w:szCs w:val="22"/>
        </w:rPr>
      </w:pPr>
      <w:r w:rsidRPr="006774D3">
        <w:rPr>
          <w:b w:val="0"/>
          <w:color w:val="000000"/>
          <w:szCs w:val="22"/>
        </w:rPr>
        <w:t>Eiturverkanir á nýru sáust hjá öpum sem fengu 2 vikna meðferð og var um að ræða staðbundna steinefna</w:t>
      </w:r>
      <w:r w:rsidRPr="006774D3">
        <w:rPr>
          <w:b w:val="0"/>
          <w:color w:val="000000"/>
          <w:szCs w:val="22"/>
        </w:rPr>
        <w:softHyphen/>
        <w:t>útfellingu og útvíkkun á nýrnapíplum og drep í píplum. Hækkað blóðnitur (BUN) og hækkað kreatinin sást í nokkrum dýranna. Í</w:t>
      </w:r>
      <w:r w:rsidRPr="006774D3">
        <w:rPr>
          <w:color w:val="000000"/>
          <w:szCs w:val="22"/>
        </w:rPr>
        <w:t xml:space="preserve"> </w:t>
      </w:r>
      <w:r w:rsidRPr="006774D3">
        <w:rPr>
          <w:b w:val="0"/>
          <w:color w:val="000000"/>
          <w:szCs w:val="22"/>
        </w:rPr>
        <w:t>13 vikna rannsókn á rottum kom fram ofvöxtur á breytiþekju (transitional epithelium) nýrnavartanna og ofvöxtur í þvagblöðru við skammta ≥ 6 mg/kg án breytinga á sermis- eða þvaggildum. Við langvarandi meðferð með imatinibi sást aukning á tíðni tækifærissýkinga.</w:t>
      </w:r>
    </w:p>
    <w:p w14:paraId="05B8B570" w14:textId="77777777" w:rsidR="005F57F3" w:rsidRPr="006774D3" w:rsidRDefault="005F57F3" w:rsidP="00F77C66">
      <w:pPr>
        <w:pStyle w:val="BodyText"/>
        <w:ind w:right="0"/>
        <w:rPr>
          <w:b w:val="0"/>
          <w:color w:val="000000"/>
          <w:szCs w:val="22"/>
        </w:rPr>
      </w:pPr>
    </w:p>
    <w:p w14:paraId="05B8B571" w14:textId="77777777" w:rsidR="005F57F3" w:rsidRPr="006774D3" w:rsidRDefault="005F57F3" w:rsidP="00F77C66">
      <w:pPr>
        <w:pStyle w:val="BodyText"/>
        <w:ind w:right="0"/>
        <w:rPr>
          <w:b w:val="0"/>
          <w:color w:val="000000"/>
          <w:szCs w:val="22"/>
        </w:rPr>
      </w:pPr>
      <w:r w:rsidRPr="006774D3">
        <w:rPr>
          <w:b w:val="0"/>
          <w:color w:val="000000"/>
          <w:szCs w:val="22"/>
        </w:rPr>
        <w:t>Í 39 vikna rannsókn á öpum var ekkert NOAEL (no observed adverse effect level/mörk þess að engar auka</w:t>
      </w:r>
      <w:r w:rsidRPr="006774D3">
        <w:rPr>
          <w:b w:val="0"/>
          <w:color w:val="000000"/>
          <w:szCs w:val="22"/>
        </w:rPr>
        <w:softHyphen/>
        <w:t>verkanir finnast) staðfest við lægstu skammtana 15 mg/kg, u.þ.b. einn þriðji af 800 mg hámarks</w:t>
      </w:r>
      <w:r w:rsidRPr="006774D3">
        <w:rPr>
          <w:b w:val="0"/>
          <w:color w:val="000000"/>
          <w:szCs w:val="22"/>
        </w:rPr>
        <w:softHyphen/>
        <w:t>skammti handa mönnum, byggt á líkamsyfirborði. Meðferðin leiddi til versnunar á almennt bældum malaríusýkingum hjá þessum dýrum.</w:t>
      </w:r>
    </w:p>
    <w:p w14:paraId="05B8B572" w14:textId="77777777" w:rsidR="005F57F3" w:rsidRPr="006774D3" w:rsidRDefault="005F57F3" w:rsidP="00F77C66">
      <w:pPr>
        <w:pStyle w:val="BodyText"/>
        <w:ind w:right="0"/>
        <w:rPr>
          <w:b w:val="0"/>
          <w:color w:val="000000"/>
          <w:szCs w:val="22"/>
        </w:rPr>
      </w:pPr>
    </w:p>
    <w:p w14:paraId="05B8B573" w14:textId="77777777" w:rsidR="005F57F3" w:rsidRPr="006774D3" w:rsidRDefault="005F57F3" w:rsidP="00F77C66">
      <w:pPr>
        <w:pStyle w:val="BodyText"/>
        <w:ind w:right="0"/>
        <w:rPr>
          <w:b w:val="0"/>
          <w:color w:val="000000"/>
          <w:szCs w:val="22"/>
        </w:rPr>
      </w:pPr>
      <w:r w:rsidRPr="006774D3">
        <w:rPr>
          <w:b w:val="0"/>
          <w:color w:val="000000"/>
          <w:szCs w:val="22"/>
        </w:rPr>
        <w:t xml:space="preserve">Talið var að imatinib hefði ekki eiturverkanir á erfðaefni þegar það var prófað í </w:t>
      </w:r>
      <w:r w:rsidRPr="006774D3">
        <w:rPr>
          <w:b w:val="0"/>
          <w:i/>
          <w:color w:val="000000"/>
          <w:szCs w:val="22"/>
        </w:rPr>
        <w:t>in vitro</w:t>
      </w:r>
      <w:r w:rsidRPr="006774D3">
        <w:rPr>
          <w:b w:val="0"/>
          <w:color w:val="000000"/>
          <w:szCs w:val="22"/>
        </w:rPr>
        <w:t xml:space="preserve"> bakteríufrumuprófi (Ames próf), í </w:t>
      </w:r>
      <w:r w:rsidRPr="006774D3">
        <w:rPr>
          <w:b w:val="0"/>
          <w:i/>
          <w:color w:val="000000"/>
          <w:szCs w:val="22"/>
        </w:rPr>
        <w:t>in vitro</w:t>
      </w:r>
      <w:r w:rsidRPr="006774D3">
        <w:rPr>
          <w:b w:val="0"/>
          <w:color w:val="000000"/>
          <w:szCs w:val="22"/>
        </w:rPr>
        <w:t xml:space="preserve"> spendýrafrumuprófi (eitilfrumuæxli músa) og </w:t>
      </w:r>
      <w:r w:rsidRPr="006774D3">
        <w:rPr>
          <w:b w:val="0"/>
          <w:i/>
          <w:color w:val="000000"/>
          <w:szCs w:val="22"/>
        </w:rPr>
        <w:t>in vivo</w:t>
      </w:r>
      <w:r w:rsidRPr="006774D3">
        <w:rPr>
          <w:b w:val="0"/>
          <w:color w:val="000000"/>
          <w:szCs w:val="22"/>
        </w:rPr>
        <w:t xml:space="preserve"> smákjarnaprófi í rottum. Staðfest var í </w:t>
      </w:r>
      <w:r w:rsidRPr="006774D3">
        <w:rPr>
          <w:b w:val="0"/>
          <w:i/>
          <w:color w:val="000000"/>
          <w:szCs w:val="22"/>
        </w:rPr>
        <w:t>in vitro</w:t>
      </w:r>
      <w:r w:rsidRPr="006774D3">
        <w:rPr>
          <w:b w:val="0"/>
          <w:color w:val="000000"/>
          <w:szCs w:val="22"/>
        </w:rPr>
        <w:t xml:space="preserve"> spendýrafrumuprófi fyrir imatinib að það hefur eiturverkanir á erfðaefni (eggjastokkar kína</w:t>
      </w:r>
      <w:r w:rsidRPr="006774D3">
        <w:rPr>
          <w:b w:val="0"/>
          <w:color w:val="000000"/>
          <w:szCs w:val="22"/>
        </w:rPr>
        <w:softHyphen/>
        <w:t>hamstra) hvað varðar litningaskemmdir við örvuð umbrot (metabolic activation). Tvö milliefni í framleiðslu</w:t>
      </w:r>
      <w:r w:rsidRPr="006774D3">
        <w:rPr>
          <w:b w:val="0"/>
          <w:color w:val="000000"/>
          <w:szCs w:val="22"/>
        </w:rPr>
        <w:softHyphen/>
        <w:t>ferlinu, sem eru einnig til staðar í fullbúnu lyfinu, eru jákvæð í stökkbreytingaprófi Ames. Annað af þessum milliefnum er einnig jákvætt í eitilfrumuæxlaprófi músa.</w:t>
      </w:r>
    </w:p>
    <w:p w14:paraId="05B8B574" w14:textId="77777777" w:rsidR="005F57F3" w:rsidRPr="006774D3" w:rsidRDefault="005F57F3" w:rsidP="00F77C66">
      <w:pPr>
        <w:pStyle w:val="BodyText"/>
        <w:ind w:right="0"/>
        <w:rPr>
          <w:b w:val="0"/>
          <w:color w:val="000000"/>
          <w:szCs w:val="22"/>
        </w:rPr>
      </w:pPr>
    </w:p>
    <w:p w14:paraId="05B8B575" w14:textId="77777777" w:rsidR="005F57F3" w:rsidRPr="006774D3" w:rsidRDefault="005F57F3" w:rsidP="00F77C66">
      <w:pPr>
        <w:pStyle w:val="BodyText"/>
        <w:ind w:right="0"/>
        <w:rPr>
          <w:b w:val="0"/>
          <w:color w:val="000000"/>
          <w:szCs w:val="22"/>
        </w:rPr>
      </w:pPr>
      <w:r w:rsidRPr="006774D3">
        <w:rPr>
          <w:b w:val="0"/>
          <w:color w:val="000000"/>
          <w:szCs w:val="22"/>
        </w:rPr>
        <w:t>Í frjósemirannsókn hjá karlkyns rottum sem fengu lyfið í 70 daga fyrir mökun minnkaði þyngd eistna og eistalyppna og hlutfall hreyfanlegra sáðfrumna þegar gefinn var skammturinn 60 mg/kg, sem er u.þ.b. jafn</w:t>
      </w:r>
      <w:r w:rsidRPr="006774D3">
        <w:rPr>
          <w:b w:val="0"/>
          <w:color w:val="000000"/>
          <w:szCs w:val="22"/>
        </w:rPr>
        <w:softHyphen/>
        <w:t>gilt stærsta ráðlögðum 800 mg/sólarhring skammti, byggt á líkamsyfirborði. Þetta sást ekki við skammta ≤ 20 mg/kg. Lítil til í meðallagi mikil minnkun á sæðismyndun sást einnig hjá hundum við inntöku skammta ≥ 30 mg/kg. Þegar kvenkyns rottur fengu lyfið í 14 daga fyrir mökun og fram að 6. degi meðgöngu sáust engin áhrif á mökun eða fjölda dýra með fangi. Hjá kvenkyns rottum komu fram marktækt fleiri fósturlát eftir hreiðrun og fækkun lifandi fóstra við 60 mg/kg skammta. Þetta sást ekki við skammta ≤ 20 mg/kg.</w:t>
      </w:r>
    </w:p>
    <w:p w14:paraId="05B8B576" w14:textId="77777777" w:rsidR="005F57F3" w:rsidRPr="006774D3" w:rsidRDefault="005F57F3" w:rsidP="00F77C66">
      <w:pPr>
        <w:pStyle w:val="BodyText"/>
        <w:ind w:right="0"/>
        <w:rPr>
          <w:b w:val="0"/>
          <w:color w:val="000000"/>
          <w:szCs w:val="22"/>
        </w:rPr>
      </w:pPr>
    </w:p>
    <w:p w14:paraId="05B8B577" w14:textId="77777777" w:rsidR="005F57F3" w:rsidRPr="006774D3" w:rsidRDefault="005F57F3" w:rsidP="00F77C66">
      <w:pPr>
        <w:pStyle w:val="BodyText"/>
        <w:ind w:right="0"/>
        <w:rPr>
          <w:b w:val="0"/>
          <w:color w:val="000000"/>
          <w:szCs w:val="22"/>
        </w:rPr>
      </w:pPr>
      <w:r w:rsidRPr="006774D3">
        <w:rPr>
          <w:b w:val="0"/>
          <w:color w:val="000000"/>
          <w:szCs w:val="22"/>
        </w:rPr>
        <w:t>Í rannsókn á þroska fyrir og eftir fæðingu hjá rottum þar sem lyfið var gefið til inntöku kom fram rauð útferð frá legi hjá hópnum sem fékk 45 mg/kg/sólarhring á annaðhvort 14. eða 15. degi meðgöngu. Við sama skammt jókst fjöldi unga sem fæddust dauðir, sem og þeirra sem drepast frá 0. til 4. dags eftir fæðingu. Hjá F</w:t>
      </w:r>
      <w:r w:rsidRPr="006774D3">
        <w:rPr>
          <w:b w:val="0"/>
          <w:color w:val="000000"/>
          <w:szCs w:val="22"/>
          <w:vertAlign w:val="subscript"/>
        </w:rPr>
        <w:t>1</w:t>
      </w:r>
      <w:r w:rsidRPr="006774D3">
        <w:rPr>
          <w:b w:val="0"/>
          <w:color w:val="000000"/>
          <w:szCs w:val="22"/>
        </w:rPr>
        <w:t> afkvæmunum, við sama skammt, minnkaði meðaltal líkamsþyngdar frá fæðingu til aflífunar og fjöldi gota sem ná viðmiðum fyrir aðskilnað forhúðar frá slímhúðinni (preputial separation) var lítillega minnkaður. Ekki komu fram áhrif á frjósemi F</w:t>
      </w:r>
      <w:r w:rsidRPr="006774D3">
        <w:rPr>
          <w:b w:val="0"/>
          <w:color w:val="000000"/>
          <w:szCs w:val="22"/>
          <w:vertAlign w:val="subscript"/>
        </w:rPr>
        <w:t>1</w:t>
      </w:r>
      <w:r w:rsidRPr="006774D3">
        <w:rPr>
          <w:b w:val="0"/>
          <w:color w:val="000000"/>
          <w:szCs w:val="22"/>
        </w:rPr>
        <w:t xml:space="preserve"> en fósturvisnun (resorption) jókst og lífvænlegum fóstrum fækkaði við 45 mg/kg/sólarhring. NOEL (no observed effect level/mörk </w:t>
      </w:r>
      <w:r w:rsidRPr="006774D3">
        <w:rPr>
          <w:b w:val="0"/>
          <w:color w:val="000000"/>
          <w:szCs w:val="22"/>
        </w:rPr>
        <w:lastRenderedPageBreak/>
        <w:t>þess að engin verkun sést) fyrir bæði móðurdýrin og F</w:t>
      </w:r>
      <w:r w:rsidRPr="006774D3">
        <w:rPr>
          <w:b w:val="0"/>
          <w:color w:val="000000"/>
          <w:szCs w:val="22"/>
          <w:vertAlign w:val="subscript"/>
        </w:rPr>
        <w:t>1</w:t>
      </w:r>
      <w:r w:rsidRPr="006774D3">
        <w:rPr>
          <w:b w:val="0"/>
          <w:color w:val="000000"/>
          <w:szCs w:val="22"/>
        </w:rPr>
        <w:t> kynslóðina var 15 mg/kg/sólarhring (fjórðungur af 800 mg hámarksskammti fyrir menn).</w:t>
      </w:r>
    </w:p>
    <w:p w14:paraId="05B8B578" w14:textId="77777777" w:rsidR="005F57F3" w:rsidRPr="006774D3" w:rsidRDefault="005F57F3" w:rsidP="00F77C66">
      <w:pPr>
        <w:pStyle w:val="BodyText"/>
        <w:ind w:right="0"/>
        <w:rPr>
          <w:b w:val="0"/>
          <w:color w:val="000000"/>
          <w:szCs w:val="22"/>
        </w:rPr>
      </w:pPr>
    </w:p>
    <w:p w14:paraId="05B8B579" w14:textId="77777777" w:rsidR="005F57F3" w:rsidRPr="006774D3" w:rsidRDefault="005F57F3" w:rsidP="00F77C66">
      <w:pPr>
        <w:pStyle w:val="BodyText"/>
        <w:ind w:right="0"/>
        <w:rPr>
          <w:b w:val="0"/>
          <w:color w:val="000000"/>
          <w:szCs w:val="22"/>
        </w:rPr>
      </w:pPr>
      <w:r w:rsidRPr="006774D3">
        <w:rPr>
          <w:b w:val="0"/>
          <w:color w:val="000000"/>
          <w:szCs w:val="22"/>
        </w:rPr>
        <w:t>Imatinib olli fósturskemmdum þegar það var gefið á tímabili líffæramyndunar hjá rottum við skammta ≥ 100 mg/kg sem er u.þ.b. jafnt stærsta ráðlögðum 800 mg/sólarhring skammti, á grundvelli líkams</w:t>
      </w:r>
      <w:r w:rsidRPr="006774D3">
        <w:rPr>
          <w:b w:val="0"/>
          <w:color w:val="000000"/>
          <w:szCs w:val="22"/>
        </w:rPr>
        <w:softHyphen/>
        <w:t>yfirborðs. Fósturskemmdirnar eru útheili (exencephaly) eða heilahaull, vöntun/minnkun á ennisbeini og vöntun á hvirfilbeini. Þessi áhrif sáust ekki við skammta ≤ 30 mg/kg.</w:t>
      </w:r>
    </w:p>
    <w:p w14:paraId="05B8B57A" w14:textId="77777777" w:rsidR="005F57F3" w:rsidRPr="006774D3" w:rsidRDefault="005F57F3" w:rsidP="00F77C66">
      <w:pPr>
        <w:pStyle w:val="BodyText"/>
        <w:ind w:right="0"/>
        <w:rPr>
          <w:b w:val="0"/>
          <w:color w:val="000000"/>
          <w:szCs w:val="22"/>
        </w:rPr>
      </w:pPr>
    </w:p>
    <w:p w14:paraId="05B8B57B" w14:textId="77777777" w:rsidR="00901592" w:rsidRPr="006774D3" w:rsidRDefault="00901592" w:rsidP="00F77C66">
      <w:pPr>
        <w:pStyle w:val="BodyText"/>
        <w:ind w:right="0"/>
        <w:rPr>
          <w:b w:val="0"/>
          <w:color w:val="000000"/>
          <w:szCs w:val="22"/>
        </w:rPr>
      </w:pPr>
      <w:r w:rsidRPr="006774D3">
        <w:rPr>
          <w:b w:val="0"/>
          <w:color w:val="000000"/>
          <w:szCs w:val="22"/>
        </w:rPr>
        <w:t xml:space="preserve">Engin ný marklíffæri komu fram í rannsókninni á </w:t>
      </w:r>
      <w:r w:rsidR="002018AD" w:rsidRPr="006774D3">
        <w:rPr>
          <w:b w:val="0"/>
          <w:color w:val="000000"/>
          <w:szCs w:val="22"/>
        </w:rPr>
        <w:t xml:space="preserve">eiturverkunum á þroska hjá ungum rottum (dagur 10 til 70 eftir got) með tilliti til þekktra marklíffæra hjá fullorðnum rottum. Í rannsókninni á </w:t>
      </w:r>
      <w:r w:rsidR="00261D58" w:rsidRPr="006774D3">
        <w:rPr>
          <w:b w:val="0"/>
          <w:color w:val="000000"/>
          <w:szCs w:val="22"/>
        </w:rPr>
        <w:t>eiturverkunum</w:t>
      </w:r>
      <w:r w:rsidR="002018AD" w:rsidRPr="006774D3">
        <w:rPr>
          <w:b w:val="0"/>
          <w:color w:val="000000"/>
          <w:szCs w:val="22"/>
        </w:rPr>
        <w:t xml:space="preserve"> hjá ungviði komu fram áhrif á vöxt, seinkun á opnun legganga og seinkun kynþroska (preputial separation) við 0,3 til 2 falda meðalútsetningu hj</w:t>
      </w:r>
      <w:r w:rsidR="00BA5B93" w:rsidRPr="006774D3">
        <w:rPr>
          <w:b w:val="0"/>
          <w:color w:val="000000"/>
          <w:szCs w:val="22"/>
        </w:rPr>
        <w:t>á börnum við hæsta ráðlagðan skammt sem er 340 mg/m</w:t>
      </w:r>
      <w:r w:rsidR="00BA5B93" w:rsidRPr="006774D3">
        <w:rPr>
          <w:b w:val="0"/>
          <w:color w:val="000000"/>
          <w:szCs w:val="22"/>
          <w:vertAlign w:val="superscript"/>
        </w:rPr>
        <w:t>2</w:t>
      </w:r>
      <w:r w:rsidR="00BA5B93" w:rsidRPr="006774D3">
        <w:rPr>
          <w:b w:val="0"/>
          <w:color w:val="000000"/>
          <w:szCs w:val="22"/>
        </w:rPr>
        <w:t xml:space="preserve">. Að auki kom </w:t>
      </w:r>
      <w:r w:rsidR="00261D58" w:rsidRPr="006774D3">
        <w:rPr>
          <w:b w:val="0"/>
          <w:color w:val="000000"/>
          <w:szCs w:val="22"/>
        </w:rPr>
        <w:t xml:space="preserve">fram </w:t>
      </w:r>
      <w:r w:rsidR="00BA5B93" w:rsidRPr="006774D3">
        <w:rPr>
          <w:b w:val="0"/>
          <w:color w:val="000000"/>
          <w:szCs w:val="22"/>
        </w:rPr>
        <w:t>aukin dánartíðni hjá ungum dýrum (í kringum þann tíma sem þau hættu á spena) við um það bil 2 falda meðalútsetningu hjá börnum við hæsta ráðlagðan skammt sem er 340 mg/m</w:t>
      </w:r>
      <w:r w:rsidR="00BA5B93" w:rsidRPr="006774D3">
        <w:rPr>
          <w:b w:val="0"/>
          <w:color w:val="000000"/>
          <w:szCs w:val="22"/>
          <w:vertAlign w:val="superscript"/>
        </w:rPr>
        <w:t>2</w:t>
      </w:r>
      <w:r w:rsidR="00BA5B93" w:rsidRPr="006774D3">
        <w:rPr>
          <w:b w:val="0"/>
          <w:color w:val="000000"/>
          <w:szCs w:val="22"/>
        </w:rPr>
        <w:t>.</w:t>
      </w:r>
    </w:p>
    <w:p w14:paraId="05B8B57C" w14:textId="77777777" w:rsidR="00901592" w:rsidRPr="006774D3" w:rsidRDefault="00901592" w:rsidP="00F77C66">
      <w:pPr>
        <w:pStyle w:val="BodyText"/>
        <w:ind w:right="0"/>
        <w:rPr>
          <w:b w:val="0"/>
          <w:color w:val="000000"/>
          <w:szCs w:val="22"/>
        </w:rPr>
      </w:pPr>
    </w:p>
    <w:p w14:paraId="05B8B57D" w14:textId="77777777" w:rsidR="005F57F3" w:rsidRPr="006774D3" w:rsidRDefault="005F57F3" w:rsidP="00F77C66">
      <w:pPr>
        <w:pStyle w:val="BodyText"/>
        <w:ind w:right="0"/>
        <w:rPr>
          <w:b w:val="0"/>
          <w:color w:val="000000"/>
          <w:szCs w:val="22"/>
        </w:rPr>
      </w:pPr>
      <w:r w:rsidRPr="006774D3">
        <w:rPr>
          <w:b w:val="0"/>
          <w:color w:val="000000"/>
          <w:szCs w:val="22"/>
        </w:rPr>
        <w:t>Í 2 ára rotturannsókn á krabbameinsvaldandi áhrifum leiddi gjöf imatinibs í skömmtunum 15, 30 og 60 mg/kg/dag til tölfræðilega marktækt styttri ævilengdar hjá karldýrum við 60 mg/kg/dag og hjá kven</w:t>
      </w:r>
      <w:r w:rsidRPr="006774D3">
        <w:rPr>
          <w:b w:val="0"/>
          <w:color w:val="000000"/>
          <w:szCs w:val="22"/>
        </w:rPr>
        <w:softHyphen/>
        <w:t>dýrum við ≥ 30 mg/kg/dag. Vefjameinafræðileg skoðun á dauðum dýrum leiddi í ljós að hjartavöðva</w:t>
      </w:r>
      <w:r w:rsidRPr="006774D3">
        <w:rPr>
          <w:b w:val="0"/>
          <w:color w:val="000000"/>
          <w:szCs w:val="22"/>
        </w:rPr>
        <w:softHyphen/>
        <w:t>kvilli (hjá báðum kynjum), langvarandi versnandi nýrnakvilli (kvendýr) og totuæxli í forhúð voru helstu orsakir dauða eða grundvöllur aflífunar. Marklíffæri hvað æxlisbreytingar varðar voru nýru, þvagblaðra, þvagrás, forhúðar- og snípkirtill (preputial and clitoral gland), mjógirni, kalkkirtlar, nýrnahettur og kirtlafrír hluti maga.</w:t>
      </w:r>
    </w:p>
    <w:p w14:paraId="05B8B57E" w14:textId="77777777" w:rsidR="005F57F3" w:rsidRPr="006774D3" w:rsidRDefault="005F57F3" w:rsidP="00F77C66">
      <w:pPr>
        <w:pStyle w:val="BodyText"/>
        <w:ind w:right="0"/>
        <w:rPr>
          <w:b w:val="0"/>
          <w:color w:val="000000"/>
          <w:szCs w:val="22"/>
        </w:rPr>
      </w:pPr>
    </w:p>
    <w:p w14:paraId="05B8B57F" w14:textId="77777777" w:rsidR="005F57F3" w:rsidRPr="006774D3" w:rsidRDefault="005F57F3" w:rsidP="00F77C66">
      <w:pPr>
        <w:pStyle w:val="BodyText"/>
        <w:ind w:right="0"/>
        <w:rPr>
          <w:b w:val="0"/>
          <w:color w:val="000000"/>
          <w:szCs w:val="22"/>
        </w:rPr>
      </w:pPr>
      <w:r w:rsidRPr="006774D3">
        <w:rPr>
          <w:b w:val="0"/>
          <w:color w:val="000000"/>
          <w:szCs w:val="22"/>
        </w:rPr>
        <w:t>Totuæxli/krabbamein í forhúðar-/snípkirtli sáust við skammta sem voru 30 mg/kg/dag eða stærri, sem jafn</w:t>
      </w:r>
      <w:r w:rsidRPr="006774D3">
        <w:rPr>
          <w:b w:val="0"/>
          <w:color w:val="000000"/>
          <w:szCs w:val="22"/>
        </w:rPr>
        <w:softHyphen/>
        <w:t>gildir um það bil 0,5 faldri eða 0,3 faldri daglegri útsetningu hjá mönnum (á grundvelli AUC) við 400 mg/sólar</w:t>
      </w:r>
      <w:r w:rsidRPr="006774D3">
        <w:rPr>
          <w:b w:val="0"/>
          <w:color w:val="000000"/>
          <w:szCs w:val="22"/>
        </w:rPr>
        <w:softHyphen/>
        <w:t>hring eða 800 mg/sólarhring, tilgreint í sömu röð, og 0,4 faldri daglegri útsetningu hjá börnum (á grundvelli AUC) við 340 mg/m²/sólarhring. NOEL (no observed effect level/mörk þess að engin verkun sést) var 15 mg/kg/dag. Kirtilæxli/krabbamein í nýrum, totuæxli í þvagblöðru og þvagrás, kirtilkrabbamein í mjógirni, kirtilæxli í kalkkirtlum, góðkynja og illkynja mergæxli í nýrnahettum og totuæxli/krabbamein í kirtlafríum hluta maga, sáust við 60 mg/kg/dag, sem jafngildir um það bil 1,7 til 1 faldri daglegri útsetningu hjá mönnum (á grundvelli AUC) við 400 mg/sólarhring eða 800 mg/sólarhring, tilgreint í sömu röð og 1,2 faldri daglegri útsetningu hjá börnum (á grundvelli AUC) við 340 mg/m²/sólarhring. NOEL (no observed effect level/mörk þess að engin verkun sést) var 30 mg/kg/dag.</w:t>
      </w:r>
    </w:p>
    <w:p w14:paraId="05B8B580" w14:textId="77777777" w:rsidR="005F57F3" w:rsidRPr="006774D3" w:rsidRDefault="005F57F3" w:rsidP="00F77C66">
      <w:pPr>
        <w:pStyle w:val="BodyText"/>
        <w:ind w:right="0"/>
        <w:rPr>
          <w:b w:val="0"/>
          <w:color w:val="000000"/>
          <w:szCs w:val="22"/>
        </w:rPr>
      </w:pPr>
    </w:p>
    <w:p w14:paraId="05B8B581" w14:textId="77777777" w:rsidR="005F57F3" w:rsidRPr="006774D3" w:rsidRDefault="005F57F3" w:rsidP="00F77C66">
      <w:pPr>
        <w:pStyle w:val="BodyText"/>
        <w:ind w:right="0"/>
        <w:rPr>
          <w:b w:val="0"/>
          <w:color w:val="000000"/>
          <w:szCs w:val="22"/>
        </w:rPr>
      </w:pPr>
      <w:r w:rsidRPr="006774D3">
        <w:rPr>
          <w:b w:val="0"/>
          <w:color w:val="000000"/>
          <w:szCs w:val="22"/>
        </w:rPr>
        <w:t>Ekki hefur enn verið leitt í ljós hver sé orsök þessara niðurstaðna úr rannsóknum á krabbameins</w:t>
      </w:r>
      <w:r w:rsidRPr="006774D3">
        <w:rPr>
          <w:b w:val="0"/>
          <w:color w:val="000000"/>
          <w:szCs w:val="22"/>
        </w:rPr>
        <w:softHyphen/>
        <w:t>valdandi eiginleikum hjá rottum og ekki hefur heldur verið leitt í ljós hvort þær skipta máli fyrir menn.</w:t>
      </w:r>
    </w:p>
    <w:p w14:paraId="05B8B582" w14:textId="77777777" w:rsidR="005F57F3" w:rsidRPr="006774D3" w:rsidRDefault="005F57F3" w:rsidP="00F77C66">
      <w:pPr>
        <w:pStyle w:val="BodyText"/>
        <w:ind w:right="0"/>
        <w:rPr>
          <w:b w:val="0"/>
          <w:color w:val="000000"/>
          <w:szCs w:val="22"/>
        </w:rPr>
      </w:pPr>
    </w:p>
    <w:p w14:paraId="05B8B583" w14:textId="77777777" w:rsidR="005F57F3" w:rsidRPr="006774D3" w:rsidRDefault="005F57F3" w:rsidP="00F77C66">
      <w:pPr>
        <w:pStyle w:val="BodyText"/>
        <w:ind w:right="0"/>
        <w:rPr>
          <w:b w:val="0"/>
          <w:color w:val="000000"/>
          <w:szCs w:val="22"/>
        </w:rPr>
      </w:pPr>
      <w:r w:rsidRPr="006774D3">
        <w:rPr>
          <w:b w:val="0"/>
          <w:color w:val="000000"/>
          <w:szCs w:val="22"/>
        </w:rPr>
        <w:t>Vefjabreytingar, aðrar en æxli, sem ekki höfðu sést í fyrri forklínískum rannsóknum, voru í hjarta og æða</w:t>
      </w:r>
      <w:r w:rsidRPr="006774D3">
        <w:rPr>
          <w:b w:val="0"/>
          <w:color w:val="000000"/>
          <w:szCs w:val="22"/>
        </w:rPr>
        <w:softHyphen/>
        <w:t>kerfi, brisi, innkirtlalíffærum og tönnum. Meðal mikilvægustu breytinganna eru ofstækkun hjarta og hjarta</w:t>
      </w:r>
      <w:r w:rsidRPr="006774D3">
        <w:rPr>
          <w:b w:val="0"/>
          <w:color w:val="000000"/>
          <w:szCs w:val="22"/>
        </w:rPr>
        <w:softHyphen/>
        <w:t>víkkun sem leiðir til einkenna hjartabilunar hjá sumum dýrum.</w:t>
      </w:r>
    </w:p>
    <w:p w14:paraId="05B8B584" w14:textId="77777777" w:rsidR="005F57F3" w:rsidRPr="006774D3" w:rsidRDefault="005F57F3" w:rsidP="00F77C66">
      <w:pPr>
        <w:rPr>
          <w:color w:val="000000"/>
          <w:sz w:val="22"/>
          <w:szCs w:val="22"/>
        </w:rPr>
      </w:pPr>
    </w:p>
    <w:p w14:paraId="05B8B585" w14:textId="77777777" w:rsidR="00AB49E0" w:rsidRPr="006774D3" w:rsidRDefault="00AB49E0" w:rsidP="00F77C66">
      <w:pPr>
        <w:rPr>
          <w:color w:val="000000"/>
          <w:sz w:val="22"/>
          <w:szCs w:val="22"/>
        </w:rPr>
      </w:pPr>
      <w:r w:rsidRPr="006774D3">
        <w:rPr>
          <w:color w:val="000000"/>
          <w:sz w:val="22"/>
          <w:szCs w:val="22"/>
        </w:rPr>
        <w:t>Virka efnið imatinib</w:t>
      </w:r>
      <w:r w:rsidR="00CE177B" w:rsidRPr="006774D3">
        <w:rPr>
          <w:color w:val="000000"/>
          <w:sz w:val="22"/>
          <w:szCs w:val="22"/>
        </w:rPr>
        <w:t xml:space="preserve"> hefur í för með sér áhættu fyrir lífríki lífvera í setlögum (sediment organisms).</w:t>
      </w:r>
    </w:p>
    <w:p w14:paraId="05B8B586" w14:textId="77777777" w:rsidR="00CE177B" w:rsidRPr="006774D3" w:rsidRDefault="00CE177B" w:rsidP="00F77C66">
      <w:pPr>
        <w:rPr>
          <w:color w:val="000000"/>
          <w:sz w:val="22"/>
          <w:szCs w:val="22"/>
        </w:rPr>
      </w:pPr>
    </w:p>
    <w:p w14:paraId="05B8B587" w14:textId="77777777" w:rsidR="005F57F3" w:rsidRPr="006774D3" w:rsidRDefault="005F57F3" w:rsidP="00F77C66">
      <w:pPr>
        <w:rPr>
          <w:bCs/>
          <w:color w:val="000000"/>
          <w:sz w:val="22"/>
          <w:szCs w:val="22"/>
        </w:rPr>
      </w:pPr>
    </w:p>
    <w:p w14:paraId="05B8B588" w14:textId="77777777" w:rsidR="005F57F3" w:rsidRPr="006774D3" w:rsidRDefault="005F57F3" w:rsidP="00F77C66">
      <w:pPr>
        <w:keepNext/>
        <w:rPr>
          <w:caps/>
          <w:color w:val="000000"/>
          <w:sz w:val="22"/>
          <w:szCs w:val="22"/>
        </w:rPr>
      </w:pPr>
      <w:r w:rsidRPr="006774D3">
        <w:rPr>
          <w:b/>
          <w:caps/>
          <w:color w:val="000000"/>
          <w:sz w:val="22"/>
          <w:szCs w:val="22"/>
        </w:rPr>
        <w:t>6.</w:t>
      </w:r>
      <w:r w:rsidRPr="006774D3">
        <w:rPr>
          <w:b/>
          <w:caps/>
          <w:color w:val="000000"/>
          <w:sz w:val="22"/>
          <w:szCs w:val="22"/>
        </w:rPr>
        <w:tab/>
        <w:t>Lyfjagerðarfræðilegar upplýsingar</w:t>
      </w:r>
    </w:p>
    <w:p w14:paraId="05B8B589" w14:textId="77777777" w:rsidR="005F57F3" w:rsidRPr="006774D3" w:rsidRDefault="005F57F3" w:rsidP="00F77C66">
      <w:pPr>
        <w:keepNext/>
        <w:rPr>
          <w:color w:val="000000"/>
          <w:sz w:val="22"/>
          <w:szCs w:val="22"/>
        </w:rPr>
      </w:pPr>
    </w:p>
    <w:p w14:paraId="05B8B58A" w14:textId="77777777" w:rsidR="005F57F3" w:rsidRPr="006774D3" w:rsidRDefault="005F57F3" w:rsidP="00F77C66">
      <w:pPr>
        <w:keepNext/>
        <w:rPr>
          <w:color w:val="000000"/>
          <w:sz w:val="22"/>
          <w:szCs w:val="22"/>
        </w:rPr>
      </w:pPr>
      <w:r w:rsidRPr="006774D3">
        <w:rPr>
          <w:b/>
          <w:color w:val="000000"/>
          <w:sz w:val="22"/>
          <w:szCs w:val="22"/>
        </w:rPr>
        <w:t>6.1</w:t>
      </w:r>
      <w:r w:rsidRPr="006774D3">
        <w:rPr>
          <w:b/>
          <w:color w:val="000000"/>
          <w:sz w:val="22"/>
          <w:szCs w:val="22"/>
        </w:rPr>
        <w:tab/>
        <w:t>Hjálparefni</w:t>
      </w:r>
    </w:p>
    <w:p w14:paraId="05B8B58B" w14:textId="77777777" w:rsidR="005F57F3" w:rsidRPr="006774D3" w:rsidRDefault="005F57F3" w:rsidP="00F77C66">
      <w:pPr>
        <w:keepNext/>
        <w:rPr>
          <w:color w:val="000000"/>
          <w:sz w:val="22"/>
          <w:szCs w:val="22"/>
        </w:rPr>
      </w:pPr>
    </w:p>
    <w:p w14:paraId="05B8B59B" w14:textId="77777777" w:rsidR="00C66547" w:rsidRPr="006774D3" w:rsidRDefault="00C66547" w:rsidP="00F77C66">
      <w:pPr>
        <w:keepNext/>
        <w:tabs>
          <w:tab w:val="left" w:pos="1701"/>
        </w:tabs>
        <w:rPr>
          <w:color w:val="000000"/>
          <w:sz w:val="22"/>
          <w:szCs w:val="22"/>
        </w:rPr>
      </w:pPr>
      <w:r w:rsidRPr="006774D3">
        <w:rPr>
          <w:color w:val="000000"/>
          <w:sz w:val="22"/>
          <w:szCs w:val="22"/>
        </w:rPr>
        <w:t>Innihald hylkis:</w:t>
      </w:r>
      <w:r w:rsidRPr="006774D3">
        <w:rPr>
          <w:color w:val="000000"/>
          <w:sz w:val="22"/>
          <w:szCs w:val="22"/>
        </w:rPr>
        <w:tab/>
        <w:t>Örkristallaður sellulósi</w:t>
      </w:r>
    </w:p>
    <w:p w14:paraId="05B8B59C" w14:textId="77777777" w:rsidR="00C66547" w:rsidRPr="006774D3" w:rsidRDefault="00C66547" w:rsidP="00F77C66">
      <w:pPr>
        <w:keepNext/>
        <w:tabs>
          <w:tab w:val="left" w:pos="1701"/>
        </w:tabs>
        <w:ind w:left="1701"/>
        <w:rPr>
          <w:color w:val="000000"/>
          <w:sz w:val="22"/>
          <w:szCs w:val="22"/>
        </w:rPr>
      </w:pPr>
      <w:r w:rsidRPr="006774D3">
        <w:rPr>
          <w:color w:val="000000"/>
          <w:sz w:val="22"/>
          <w:szCs w:val="22"/>
        </w:rPr>
        <w:t>Crospovidon</w:t>
      </w:r>
    </w:p>
    <w:p w14:paraId="05B8B59D" w14:textId="77777777" w:rsidR="00C66547" w:rsidRPr="006774D3" w:rsidRDefault="00C66547" w:rsidP="00F77C66">
      <w:pPr>
        <w:keepNext/>
        <w:tabs>
          <w:tab w:val="left" w:pos="1701"/>
        </w:tabs>
        <w:ind w:left="1701"/>
        <w:rPr>
          <w:color w:val="000000"/>
          <w:sz w:val="22"/>
          <w:szCs w:val="22"/>
        </w:rPr>
      </w:pPr>
      <w:r w:rsidRPr="006774D3">
        <w:rPr>
          <w:color w:val="000000"/>
          <w:sz w:val="22"/>
          <w:szCs w:val="22"/>
        </w:rPr>
        <w:t>Magnesíumsterat</w:t>
      </w:r>
    </w:p>
    <w:p w14:paraId="05B8B59E" w14:textId="77777777" w:rsidR="00C66547" w:rsidRPr="006774D3" w:rsidRDefault="00C66547" w:rsidP="00F77C66">
      <w:pPr>
        <w:pStyle w:val="Authors"/>
        <w:keepNext w:val="0"/>
        <w:tabs>
          <w:tab w:val="left" w:pos="1701"/>
        </w:tabs>
        <w:spacing w:before="0"/>
        <w:ind w:left="1701"/>
        <w:rPr>
          <w:rFonts w:ascii="Times New Roman" w:hAnsi="Times New Roman"/>
          <w:color w:val="000000"/>
          <w:szCs w:val="22"/>
          <w:lang w:val="is-IS"/>
        </w:rPr>
      </w:pPr>
      <w:r w:rsidRPr="006774D3">
        <w:rPr>
          <w:rFonts w:ascii="Times New Roman" w:hAnsi="Times New Roman"/>
          <w:color w:val="000000"/>
          <w:szCs w:val="22"/>
          <w:lang w:val="is-IS"/>
        </w:rPr>
        <w:t>Kísilkvoða, vatnsfrí</w:t>
      </w:r>
    </w:p>
    <w:p w14:paraId="05B8B59F" w14:textId="77777777" w:rsidR="00C66547" w:rsidRPr="006774D3" w:rsidRDefault="00C66547" w:rsidP="00F77C66">
      <w:pPr>
        <w:rPr>
          <w:color w:val="000000"/>
          <w:sz w:val="22"/>
          <w:szCs w:val="22"/>
        </w:rPr>
      </w:pPr>
    </w:p>
    <w:p w14:paraId="05B8B5A0" w14:textId="77777777" w:rsidR="00C66547" w:rsidRPr="006774D3" w:rsidRDefault="00C66547" w:rsidP="00F77C66">
      <w:pPr>
        <w:keepNext/>
        <w:tabs>
          <w:tab w:val="left" w:pos="1701"/>
        </w:tabs>
        <w:rPr>
          <w:color w:val="000000"/>
          <w:sz w:val="22"/>
          <w:szCs w:val="22"/>
        </w:rPr>
      </w:pPr>
      <w:r w:rsidRPr="006774D3">
        <w:rPr>
          <w:color w:val="000000"/>
          <w:sz w:val="22"/>
          <w:szCs w:val="22"/>
        </w:rPr>
        <w:lastRenderedPageBreak/>
        <w:t>Skel hylkisins:</w:t>
      </w:r>
      <w:r w:rsidRPr="006774D3">
        <w:rPr>
          <w:color w:val="000000"/>
          <w:sz w:val="22"/>
          <w:szCs w:val="22"/>
        </w:rPr>
        <w:tab/>
        <w:t>Gelatína</w:t>
      </w:r>
    </w:p>
    <w:p w14:paraId="05B8B5A1" w14:textId="77777777" w:rsidR="00C66547" w:rsidRPr="006774D3" w:rsidRDefault="00C66547" w:rsidP="00F77C66">
      <w:pPr>
        <w:keepNext/>
        <w:ind w:left="1701"/>
        <w:rPr>
          <w:color w:val="000000"/>
          <w:sz w:val="22"/>
          <w:szCs w:val="22"/>
        </w:rPr>
      </w:pPr>
      <w:r w:rsidRPr="006774D3">
        <w:rPr>
          <w:color w:val="000000"/>
          <w:sz w:val="22"/>
          <w:szCs w:val="22"/>
        </w:rPr>
        <w:t>Járnoxíð, rautt (E172)</w:t>
      </w:r>
    </w:p>
    <w:p w14:paraId="05B8B5A2" w14:textId="77777777" w:rsidR="00C66547" w:rsidRPr="006774D3" w:rsidRDefault="00C66547" w:rsidP="00F77C66">
      <w:pPr>
        <w:keepNext/>
        <w:ind w:left="1701"/>
        <w:rPr>
          <w:color w:val="000000"/>
          <w:sz w:val="22"/>
          <w:szCs w:val="22"/>
        </w:rPr>
      </w:pPr>
      <w:r w:rsidRPr="006774D3">
        <w:rPr>
          <w:color w:val="000000"/>
          <w:sz w:val="22"/>
          <w:szCs w:val="22"/>
        </w:rPr>
        <w:t>Járnoxíð, gult (E172)</w:t>
      </w:r>
    </w:p>
    <w:p w14:paraId="05B8B5A3" w14:textId="77777777" w:rsidR="00C66547" w:rsidRPr="006774D3" w:rsidRDefault="00C66547" w:rsidP="00F77C66">
      <w:pPr>
        <w:ind w:left="1701"/>
        <w:rPr>
          <w:color w:val="000000"/>
          <w:sz w:val="22"/>
          <w:szCs w:val="22"/>
        </w:rPr>
      </w:pPr>
      <w:r w:rsidRPr="006774D3">
        <w:rPr>
          <w:color w:val="000000"/>
          <w:sz w:val="22"/>
          <w:szCs w:val="22"/>
        </w:rPr>
        <w:t>Títantvíoxíð (E171)</w:t>
      </w:r>
    </w:p>
    <w:p w14:paraId="05B8B5A4" w14:textId="77777777" w:rsidR="00C66547" w:rsidRPr="006774D3" w:rsidRDefault="00C66547" w:rsidP="00F77C66">
      <w:pPr>
        <w:rPr>
          <w:color w:val="000000"/>
          <w:sz w:val="22"/>
          <w:szCs w:val="22"/>
        </w:rPr>
      </w:pPr>
    </w:p>
    <w:p w14:paraId="05B8B5A5" w14:textId="77777777" w:rsidR="00C66547" w:rsidRPr="006774D3" w:rsidRDefault="00C66547" w:rsidP="00F77C66">
      <w:pPr>
        <w:keepNext/>
        <w:tabs>
          <w:tab w:val="left" w:pos="1440"/>
        </w:tabs>
        <w:rPr>
          <w:color w:val="000000"/>
          <w:sz w:val="22"/>
          <w:szCs w:val="22"/>
        </w:rPr>
      </w:pPr>
      <w:r w:rsidRPr="006774D3">
        <w:rPr>
          <w:color w:val="000000"/>
          <w:sz w:val="22"/>
          <w:szCs w:val="22"/>
        </w:rPr>
        <w:t>Merkiblek:</w:t>
      </w:r>
      <w:r w:rsidRPr="006774D3">
        <w:rPr>
          <w:color w:val="000000"/>
          <w:sz w:val="22"/>
          <w:szCs w:val="22"/>
        </w:rPr>
        <w:tab/>
        <w:t>Járnoxíð, rautt (E172)</w:t>
      </w:r>
    </w:p>
    <w:p w14:paraId="05B8B5A6" w14:textId="77777777" w:rsidR="00C66547" w:rsidRPr="006774D3" w:rsidRDefault="00C66547" w:rsidP="00F77C66">
      <w:pPr>
        <w:keepNext/>
        <w:ind w:left="1418"/>
        <w:rPr>
          <w:color w:val="000000"/>
          <w:sz w:val="22"/>
          <w:szCs w:val="22"/>
        </w:rPr>
      </w:pPr>
      <w:r w:rsidRPr="006774D3">
        <w:rPr>
          <w:color w:val="000000"/>
          <w:sz w:val="22"/>
          <w:szCs w:val="22"/>
        </w:rPr>
        <w:t>Shellac</w:t>
      </w:r>
    </w:p>
    <w:p w14:paraId="05B8B5A7" w14:textId="77777777" w:rsidR="00C66547" w:rsidRPr="006774D3" w:rsidRDefault="00C66547" w:rsidP="00F77C66">
      <w:pPr>
        <w:rPr>
          <w:color w:val="000000"/>
          <w:sz w:val="22"/>
          <w:szCs w:val="22"/>
        </w:rPr>
      </w:pPr>
    </w:p>
    <w:p w14:paraId="05B8B5A8" w14:textId="77777777" w:rsidR="005F57F3" w:rsidRPr="006774D3" w:rsidRDefault="005F57F3" w:rsidP="00F77C66">
      <w:pPr>
        <w:keepNext/>
        <w:rPr>
          <w:color w:val="000000"/>
          <w:sz w:val="22"/>
          <w:szCs w:val="22"/>
        </w:rPr>
      </w:pPr>
      <w:r w:rsidRPr="006774D3">
        <w:rPr>
          <w:b/>
          <w:color w:val="000000"/>
          <w:sz w:val="22"/>
          <w:szCs w:val="22"/>
        </w:rPr>
        <w:t>6.2</w:t>
      </w:r>
      <w:r w:rsidRPr="006774D3">
        <w:rPr>
          <w:b/>
          <w:color w:val="000000"/>
          <w:sz w:val="22"/>
          <w:szCs w:val="22"/>
        </w:rPr>
        <w:tab/>
        <w:t>Ósamrýmanleiki</w:t>
      </w:r>
    </w:p>
    <w:p w14:paraId="05B8B5A9" w14:textId="77777777" w:rsidR="005F57F3" w:rsidRPr="006774D3" w:rsidRDefault="005F57F3" w:rsidP="00F77C66">
      <w:pPr>
        <w:keepNext/>
        <w:rPr>
          <w:color w:val="000000"/>
          <w:sz w:val="22"/>
          <w:szCs w:val="22"/>
        </w:rPr>
      </w:pPr>
    </w:p>
    <w:p w14:paraId="05B8B5AA" w14:textId="77777777" w:rsidR="005F57F3" w:rsidRPr="006774D3" w:rsidRDefault="005F57F3" w:rsidP="00632D98">
      <w:pPr>
        <w:rPr>
          <w:color w:val="000000"/>
          <w:sz w:val="22"/>
          <w:szCs w:val="22"/>
        </w:rPr>
      </w:pPr>
      <w:r w:rsidRPr="006774D3">
        <w:rPr>
          <w:color w:val="000000"/>
          <w:sz w:val="22"/>
          <w:szCs w:val="22"/>
        </w:rPr>
        <w:t>Á ekki við.</w:t>
      </w:r>
    </w:p>
    <w:p w14:paraId="05B8B5AB" w14:textId="77777777" w:rsidR="005F57F3" w:rsidRPr="006774D3" w:rsidRDefault="005F57F3" w:rsidP="00F77C66">
      <w:pPr>
        <w:rPr>
          <w:color w:val="000000"/>
          <w:sz w:val="22"/>
          <w:szCs w:val="22"/>
        </w:rPr>
      </w:pPr>
    </w:p>
    <w:p w14:paraId="05B8B5AC" w14:textId="77777777" w:rsidR="005F57F3" w:rsidRPr="006774D3" w:rsidRDefault="005F57F3" w:rsidP="00F77C66">
      <w:pPr>
        <w:keepNext/>
        <w:rPr>
          <w:color w:val="000000"/>
          <w:sz w:val="22"/>
          <w:szCs w:val="22"/>
        </w:rPr>
      </w:pPr>
      <w:r w:rsidRPr="006774D3">
        <w:rPr>
          <w:b/>
          <w:color w:val="000000"/>
          <w:sz w:val="22"/>
          <w:szCs w:val="22"/>
        </w:rPr>
        <w:t>6.3</w:t>
      </w:r>
      <w:r w:rsidRPr="006774D3">
        <w:rPr>
          <w:b/>
          <w:color w:val="000000"/>
          <w:sz w:val="22"/>
          <w:szCs w:val="22"/>
        </w:rPr>
        <w:tab/>
        <w:t>Geymsluþol</w:t>
      </w:r>
    </w:p>
    <w:p w14:paraId="05B8B5AD" w14:textId="77777777" w:rsidR="005F57F3" w:rsidRPr="006774D3" w:rsidRDefault="005F57F3" w:rsidP="00F77C66">
      <w:pPr>
        <w:keepNext/>
        <w:rPr>
          <w:color w:val="000000"/>
          <w:sz w:val="22"/>
          <w:szCs w:val="22"/>
        </w:rPr>
      </w:pPr>
    </w:p>
    <w:p w14:paraId="05B8B5AE" w14:textId="77777777" w:rsidR="005F57F3" w:rsidRPr="006774D3" w:rsidRDefault="005F57F3" w:rsidP="00632D98">
      <w:pPr>
        <w:rPr>
          <w:color w:val="000000"/>
          <w:sz w:val="22"/>
          <w:szCs w:val="22"/>
        </w:rPr>
      </w:pPr>
      <w:r w:rsidRPr="006774D3">
        <w:rPr>
          <w:color w:val="000000"/>
          <w:sz w:val="22"/>
          <w:szCs w:val="22"/>
        </w:rPr>
        <w:t>2 ár.</w:t>
      </w:r>
    </w:p>
    <w:p w14:paraId="05B8B5AF" w14:textId="77777777" w:rsidR="005F57F3" w:rsidRPr="006774D3" w:rsidRDefault="005F57F3" w:rsidP="00F77C66">
      <w:pPr>
        <w:rPr>
          <w:color w:val="000000"/>
          <w:sz w:val="22"/>
          <w:szCs w:val="22"/>
        </w:rPr>
      </w:pPr>
    </w:p>
    <w:p w14:paraId="05B8B5B0" w14:textId="77777777" w:rsidR="005F57F3" w:rsidRPr="006774D3" w:rsidRDefault="005F57F3" w:rsidP="00F77C66">
      <w:pPr>
        <w:keepNext/>
        <w:rPr>
          <w:color w:val="000000"/>
          <w:sz w:val="22"/>
          <w:szCs w:val="22"/>
        </w:rPr>
      </w:pPr>
      <w:r w:rsidRPr="006774D3">
        <w:rPr>
          <w:b/>
          <w:color w:val="000000"/>
          <w:sz w:val="22"/>
          <w:szCs w:val="22"/>
        </w:rPr>
        <w:t>6.4</w:t>
      </w:r>
      <w:r w:rsidRPr="006774D3">
        <w:rPr>
          <w:b/>
          <w:color w:val="000000"/>
          <w:sz w:val="22"/>
          <w:szCs w:val="22"/>
        </w:rPr>
        <w:tab/>
        <w:t>Sérstakar varúðarreglur við geymslu</w:t>
      </w:r>
    </w:p>
    <w:p w14:paraId="05B8B5B1" w14:textId="77777777" w:rsidR="005F57F3" w:rsidRPr="006774D3" w:rsidRDefault="005F57F3" w:rsidP="00F77C66">
      <w:pPr>
        <w:keepNext/>
        <w:rPr>
          <w:color w:val="000000"/>
          <w:sz w:val="22"/>
          <w:szCs w:val="22"/>
        </w:rPr>
      </w:pPr>
    </w:p>
    <w:p w14:paraId="05B8B5B2" w14:textId="77777777" w:rsidR="005F57F3" w:rsidRPr="006774D3" w:rsidRDefault="005F57F3" w:rsidP="00F77C66">
      <w:pPr>
        <w:keepNext/>
        <w:rPr>
          <w:color w:val="000000"/>
          <w:sz w:val="22"/>
          <w:szCs w:val="22"/>
        </w:rPr>
      </w:pPr>
      <w:r w:rsidRPr="006774D3">
        <w:rPr>
          <w:color w:val="000000"/>
          <w:sz w:val="22"/>
          <w:szCs w:val="22"/>
        </w:rPr>
        <w:t xml:space="preserve">Geymið við </w:t>
      </w:r>
      <w:r w:rsidR="00C66547" w:rsidRPr="006774D3">
        <w:rPr>
          <w:color w:val="000000"/>
          <w:sz w:val="22"/>
          <w:szCs w:val="22"/>
        </w:rPr>
        <w:t xml:space="preserve">lægri </w:t>
      </w:r>
      <w:r w:rsidRPr="006774D3">
        <w:rPr>
          <w:color w:val="000000"/>
          <w:sz w:val="22"/>
          <w:szCs w:val="22"/>
        </w:rPr>
        <w:t>hita en 30°C.</w:t>
      </w:r>
    </w:p>
    <w:p w14:paraId="05B8B5B3" w14:textId="77777777" w:rsidR="005F57F3" w:rsidRPr="006774D3" w:rsidRDefault="005F57F3" w:rsidP="00F77C66">
      <w:pPr>
        <w:keepNext/>
        <w:rPr>
          <w:color w:val="000000"/>
          <w:sz w:val="22"/>
          <w:szCs w:val="22"/>
        </w:rPr>
      </w:pPr>
    </w:p>
    <w:p w14:paraId="05B8B5B4" w14:textId="77777777" w:rsidR="005F57F3" w:rsidRPr="006774D3" w:rsidRDefault="005F57F3" w:rsidP="00632D98">
      <w:pPr>
        <w:rPr>
          <w:color w:val="000000"/>
          <w:sz w:val="22"/>
          <w:szCs w:val="22"/>
        </w:rPr>
      </w:pPr>
      <w:r w:rsidRPr="006774D3">
        <w:rPr>
          <w:color w:val="000000"/>
          <w:sz w:val="22"/>
          <w:szCs w:val="22"/>
        </w:rPr>
        <w:t>Geymið í upprunalegum umbúðum til varnar gegn raka.</w:t>
      </w:r>
    </w:p>
    <w:p w14:paraId="05B8B5B5" w14:textId="77777777" w:rsidR="005F57F3" w:rsidRPr="006774D3" w:rsidRDefault="005F57F3" w:rsidP="00F77C66">
      <w:pPr>
        <w:rPr>
          <w:color w:val="000000"/>
          <w:sz w:val="22"/>
          <w:szCs w:val="22"/>
        </w:rPr>
      </w:pPr>
    </w:p>
    <w:p w14:paraId="05B8B5B6" w14:textId="77777777" w:rsidR="005F57F3" w:rsidRPr="006774D3" w:rsidRDefault="005F57F3" w:rsidP="00F77C66">
      <w:pPr>
        <w:keepNext/>
        <w:rPr>
          <w:color w:val="000000"/>
          <w:sz w:val="22"/>
          <w:szCs w:val="22"/>
        </w:rPr>
      </w:pPr>
      <w:r w:rsidRPr="006774D3">
        <w:rPr>
          <w:b/>
          <w:color w:val="000000"/>
          <w:sz w:val="22"/>
          <w:szCs w:val="22"/>
        </w:rPr>
        <w:t>6.5</w:t>
      </w:r>
      <w:r w:rsidRPr="006774D3">
        <w:rPr>
          <w:b/>
          <w:color w:val="000000"/>
          <w:sz w:val="22"/>
          <w:szCs w:val="22"/>
        </w:rPr>
        <w:tab/>
        <w:t>Gerð íláts og innihald</w:t>
      </w:r>
    </w:p>
    <w:p w14:paraId="05B8B5B7" w14:textId="77777777" w:rsidR="005F57F3" w:rsidRPr="006774D3" w:rsidRDefault="005F57F3" w:rsidP="00F77C66">
      <w:pPr>
        <w:keepNext/>
        <w:rPr>
          <w:color w:val="000000"/>
          <w:sz w:val="22"/>
          <w:szCs w:val="22"/>
        </w:rPr>
      </w:pPr>
    </w:p>
    <w:p w14:paraId="05B8B5B8" w14:textId="77777777" w:rsidR="005F57F3" w:rsidRPr="006774D3" w:rsidRDefault="005F57F3" w:rsidP="00F77C66">
      <w:pPr>
        <w:keepNext/>
        <w:rPr>
          <w:color w:val="000000"/>
          <w:sz w:val="22"/>
          <w:szCs w:val="22"/>
        </w:rPr>
      </w:pPr>
      <w:r w:rsidRPr="006774D3">
        <w:rPr>
          <w:color w:val="000000"/>
          <w:sz w:val="22"/>
          <w:szCs w:val="22"/>
        </w:rPr>
        <w:t>PVC/álþynnupakkning.</w:t>
      </w:r>
    </w:p>
    <w:p w14:paraId="05B8B5B9" w14:textId="77777777" w:rsidR="005F57F3" w:rsidRPr="006774D3" w:rsidRDefault="005F57F3" w:rsidP="00F77C66">
      <w:pPr>
        <w:keepNext/>
        <w:rPr>
          <w:color w:val="000000"/>
          <w:sz w:val="22"/>
          <w:szCs w:val="22"/>
        </w:rPr>
      </w:pPr>
    </w:p>
    <w:p w14:paraId="05B8B5BE" w14:textId="77777777" w:rsidR="00C66547" w:rsidRPr="006774D3" w:rsidRDefault="00C66547" w:rsidP="00F77C66">
      <w:pPr>
        <w:rPr>
          <w:color w:val="000000"/>
          <w:sz w:val="22"/>
          <w:szCs w:val="22"/>
        </w:rPr>
      </w:pPr>
      <w:r w:rsidRPr="006774D3">
        <w:rPr>
          <w:color w:val="000000"/>
          <w:sz w:val="22"/>
          <w:szCs w:val="22"/>
        </w:rPr>
        <w:t>Pakkningar með 24, 48, 96, 120 og 180 hylkjum.</w:t>
      </w:r>
    </w:p>
    <w:p w14:paraId="05B8B5BF" w14:textId="77777777" w:rsidR="00C66547" w:rsidRPr="006774D3" w:rsidRDefault="00C66547" w:rsidP="00F77C66">
      <w:pPr>
        <w:rPr>
          <w:color w:val="000000"/>
          <w:sz w:val="22"/>
          <w:szCs w:val="22"/>
        </w:rPr>
      </w:pPr>
    </w:p>
    <w:p w14:paraId="05B8B5C0" w14:textId="77777777" w:rsidR="00C66547" w:rsidRPr="006774D3" w:rsidRDefault="00C66547" w:rsidP="00F77C66">
      <w:pPr>
        <w:rPr>
          <w:color w:val="000000"/>
          <w:sz w:val="22"/>
          <w:szCs w:val="22"/>
        </w:rPr>
      </w:pPr>
      <w:r w:rsidRPr="006774D3">
        <w:rPr>
          <w:color w:val="000000"/>
          <w:sz w:val="22"/>
          <w:szCs w:val="22"/>
        </w:rPr>
        <w:t>Ekki er víst að allar pakkningastærðir séu markaðssettar.</w:t>
      </w:r>
    </w:p>
    <w:p w14:paraId="05B8B5C1" w14:textId="77777777" w:rsidR="005F57F3" w:rsidRPr="006774D3" w:rsidRDefault="005F57F3" w:rsidP="00F77C66">
      <w:pPr>
        <w:rPr>
          <w:color w:val="000000"/>
          <w:sz w:val="22"/>
          <w:szCs w:val="22"/>
        </w:rPr>
      </w:pPr>
    </w:p>
    <w:p w14:paraId="05B8B5C2" w14:textId="77777777" w:rsidR="005F57F3" w:rsidRPr="006774D3" w:rsidRDefault="005F57F3" w:rsidP="00F77C66">
      <w:pPr>
        <w:keepNext/>
        <w:rPr>
          <w:color w:val="000000"/>
          <w:sz w:val="22"/>
          <w:szCs w:val="22"/>
        </w:rPr>
      </w:pPr>
      <w:r w:rsidRPr="006774D3">
        <w:rPr>
          <w:b/>
          <w:color w:val="000000"/>
          <w:sz w:val="22"/>
          <w:szCs w:val="22"/>
        </w:rPr>
        <w:t>6.6</w:t>
      </w:r>
      <w:r w:rsidRPr="006774D3">
        <w:rPr>
          <w:b/>
          <w:color w:val="000000"/>
          <w:sz w:val="22"/>
          <w:szCs w:val="22"/>
        </w:rPr>
        <w:tab/>
      </w:r>
      <w:r w:rsidRPr="006774D3">
        <w:rPr>
          <w:b/>
          <w:bCs/>
          <w:color w:val="000000"/>
          <w:sz w:val="22"/>
          <w:szCs w:val="22"/>
        </w:rPr>
        <w:t>Sérstakar varúðarráðstafanir við förgun</w:t>
      </w:r>
    </w:p>
    <w:p w14:paraId="05B8B5C3" w14:textId="77777777" w:rsidR="005F57F3" w:rsidRPr="006774D3" w:rsidRDefault="005F57F3" w:rsidP="00F77C66">
      <w:pPr>
        <w:keepNext/>
        <w:rPr>
          <w:color w:val="000000"/>
          <w:sz w:val="22"/>
          <w:szCs w:val="22"/>
        </w:rPr>
      </w:pPr>
    </w:p>
    <w:p w14:paraId="05B8B5C4" w14:textId="77777777" w:rsidR="005F57F3" w:rsidRPr="006774D3" w:rsidRDefault="00AB49E0" w:rsidP="00632D98">
      <w:pPr>
        <w:rPr>
          <w:color w:val="000000"/>
          <w:sz w:val="22"/>
          <w:szCs w:val="22"/>
        </w:rPr>
      </w:pPr>
      <w:r w:rsidRPr="006774D3">
        <w:rPr>
          <w:color w:val="000000"/>
          <w:sz w:val="22"/>
          <w:szCs w:val="22"/>
        </w:rPr>
        <w:t>Farga skal öllum lyfjaleifum og/eða úrgangi í samræmi við gildandi reglur.</w:t>
      </w:r>
    </w:p>
    <w:p w14:paraId="05B8B5C5" w14:textId="77777777" w:rsidR="005F57F3" w:rsidRPr="006774D3" w:rsidRDefault="005F57F3" w:rsidP="00F77C66">
      <w:pPr>
        <w:rPr>
          <w:color w:val="000000"/>
          <w:sz w:val="22"/>
          <w:szCs w:val="22"/>
        </w:rPr>
      </w:pPr>
    </w:p>
    <w:p w14:paraId="05B8B5C6" w14:textId="77777777" w:rsidR="005F57F3" w:rsidRPr="006774D3" w:rsidRDefault="005F57F3" w:rsidP="00F77C66">
      <w:pPr>
        <w:rPr>
          <w:color w:val="000000"/>
          <w:sz w:val="22"/>
          <w:szCs w:val="22"/>
        </w:rPr>
      </w:pPr>
    </w:p>
    <w:p w14:paraId="05B8B5C7" w14:textId="77777777" w:rsidR="005F57F3" w:rsidRPr="006774D3" w:rsidRDefault="005F57F3" w:rsidP="00F77C66">
      <w:pPr>
        <w:keepNext/>
        <w:rPr>
          <w:color w:val="000000"/>
          <w:sz w:val="22"/>
          <w:szCs w:val="22"/>
        </w:rPr>
      </w:pPr>
      <w:r w:rsidRPr="006774D3">
        <w:rPr>
          <w:b/>
          <w:color w:val="000000"/>
          <w:sz w:val="22"/>
          <w:szCs w:val="22"/>
        </w:rPr>
        <w:t>7.</w:t>
      </w:r>
      <w:r w:rsidRPr="006774D3">
        <w:rPr>
          <w:b/>
          <w:color w:val="000000"/>
          <w:sz w:val="22"/>
          <w:szCs w:val="22"/>
        </w:rPr>
        <w:tab/>
        <w:t>MARKAÐSLEYFIS</w:t>
      </w:r>
      <w:r w:rsidR="007D657B" w:rsidRPr="006774D3">
        <w:rPr>
          <w:b/>
          <w:color w:val="000000"/>
          <w:sz w:val="22"/>
          <w:szCs w:val="22"/>
        </w:rPr>
        <w:t>HAFI</w:t>
      </w:r>
    </w:p>
    <w:p w14:paraId="05B8B5C8" w14:textId="77777777" w:rsidR="005F57F3" w:rsidRPr="006774D3" w:rsidRDefault="005F57F3" w:rsidP="00F77C66">
      <w:pPr>
        <w:keepNext/>
        <w:rPr>
          <w:color w:val="000000"/>
          <w:sz w:val="22"/>
          <w:szCs w:val="22"/>
        </w:rPr>
      </w:pPr>
    </w:p>
    <w:p w14:paraId="05B8B5C9" w14:textId="77777777" w:rsidR="005F57F3" w:rsidRPr="006774D3" w:rsidRDefault="005F57F3" w:rsidP="00F77C66">
      <w:pPr>
        <w:keepNext/>
        <w:rPr>
          <w:color w:val="000000"/>
          <w:sz w:val="22"/>
          <w:szCs w:val="22"/>
        </w:rPr>
      </w:pPr>
      <w:r w:rsidRPr="006774D3">
        <w:rPr>
          <w:color w:val="000000"/>
          <w:sz w:val="22"/>
          <w:szCs w:val="22"/>
        </w:rPr>
        <w:t>Novartis Europharm Limited</w:t>
      </w:r>
    </w:p>
    <w:p w14:paraId="05B8B5CA"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B5CB"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B5CC"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B5CD" w14:textId="77777777" w:rsidR="005F57F3" w:rsidRPr="006774D3" w:rsidRDefault="00B3755B" w:rsidP="00F77C66">
      <w:pPr>
        <w:rPr>
          <w:color w:val="000000"/>
          <w:sz w:val="22"/>
          <w:szCs w:val="22"/>
        </w:rPr>
      </w:pPr>
      <w:r w:rsidRPr="006774D3">
        <w:rPr>
          <w:color w:val="000000"/>
          <w:sz w:val="22"/>
          <w:szCs w:val="22"/>
        </w:rPr>
        <w:t>Írland</w:t>
      </w:r>
    </w:p>
    <w:p w14:paraId="05B8B5CE" w14:textId="77777777" w:rsidR="005F57F3" w:rsidRPr="006774D3" w:rsidRDefault="005F57F3" w:rsidP="00F77C66">
      <w:pPr>
        <w:rPr>
          <w:color w:val="000000"/>
          <w:sz w:val="22"/>
          <w:szCs w:val="22"/>
        </w:rPr>
      </w:pPr>
    </w:p>
    <w:p w14:paraId="05B8B5CF" w14:textId="77777777" w:rsidR="005F57F3" w:rsidRPr="006774D3" w:rsidRDefault="005F57F3" w:rsidP="00F77C66">
      <w:pPr>
        <w:keepNext/>
        <w:rPr>
          <w:b/>
          <w:color w:val="000000"/>
          <w:sz w:val="22"/>
          <w:szCs w:val="22"/>
        </w:rPr>
      </w:pPr>
      <w:r w:rsidRPr="006774D3">
        <w:rPr>
          <w:b/>
          <w:color w:val="000000"/>
          <w:sz w:val="22"/>
          <w:szCs w:val="22"/>
        </w:rPr>
        <w:t>8.</w:t>
      </w:r>
      <w:r w:rsidRPr="006774D3">
        <w:rPr>
          <w:b/>
          <w:color w:val="000000"/>
          <w:sz w:val="22"/>
          <w:szCs w:val="22"/>
        </w:rPr>
        <w:tab/>
        <w:t>MARKAÐSLEYFISNÚMER</w:t>
      </w:r>
    </w:p>
    <w:p w14:paraId="05B8B5D0" w14:textId="77777777" w:rsidR="005F57F3" w:rsidRPr="006774D3" w:rsidRDefault="005F57F3" w:rsidP="00F77C66">
      <w:pPr>
        <w:keepNext/>
        <w:rPr>
          <w:color w:val="000000"/>
          <w:sz w:val="22"/>
          <w:szCs w:val="22"/>
        </w:rPr>
      </w:pPr>
    </w:p>
    <w:p w14:paraId="05B8B5D5" w14:textId="77777777" w:rsidR="00C66547" w:rsidRPr="006774D3" w:rsidRDefault="00C66547" w:rsidP="00F77C66">
      <w:pPr>
        <w:rPr>
          <w:color w:val="000000"/>
          <w:sz w:val="22"/>
          <w:szCs w:val="22"/>
        </w:rPr>
      </w:pPr>
      <w:r w:rsidRPr="006774D3">
        <w:rPr>
          <w:color w:val="000000"/>
          <w:sz w:val="22"/>
          <w:szCs w:val="22"/>
        </w:rPr>
        <w:t>EU/1/01/198/002-006</w:t>
      </w:r>
    </w:p>
    <w:p w14:paraId="05B8B5D6" w14:textId="77777777" w:rsidR="00C66547" w:rsidRPr="006774D3" w:rsidRDefault="00C66547" w:rsidP="00F77C66">
      <w:pPr>
        <w:rPr>
          <w:color w:val="000000"/>
          <w:sz w:val="22"/>
          <w:szCs w:val="22"/>
        </w:rPr>
      </w:pPr>
    </w:p>
    <w:p w14:paraId="05B8B5D7" w14:textId="77777777" w:rsidR="005F57F3" w:rsidRPr="006774D3" w:rsidRDefault="005F57F3" w:rsidP="00F77C66">
      <w:pPr>
        <w:rPr>
          <w:color w:val="000000"/>
          <w:sz w:val="22"/>
          <w:szCs w:val="22"/>
        </w:rPr>
      </w:pPr>
    </w:p>
    <w:p w14:paraId="05B8B5D8" w14:textId="77777777" w:rsidR="005F57F3" w:rsidRPr="006774D3" w:rsidRDefault="005F57F3" w:rsidP="00F77C66">
      <w:pPr>
        <w:pStyle w:val="BodyTextIndent3"/>
        <w:keepNext/>
        <w:rPr>
          <w:color w:val="000000"/>
          <w:szCs w:val="22"/>
          <w:lang w:val="is-IS"/>
        </w:rPr>
      </w:pPr>
      <w:r w:rsidRPr="006774D3">
        <w:rPr>
          <w:color w:val="000000"/>
          <w:szCs w:val="22"/>
          <w:lang w:val="is-IS"/>
        </w:rPr>
        <w:t>9.</w:t>
      </w:r>
      <w:r w:rsidRPr="006774D3">
        <w:rPr>
          <w:color w:val="000000"/>
          <w:szCs w:val="22"/>
          <w:lang w:val="is-IS"/>
        </w:rPr>
        <w:tab/>
        <w:t>DAGSETNING FYRSTU ÚTGÁFU MARKAÐSLEYFIS/ENDURNÝJUNAR MARKAÐSLEYFIS</w:t>
      </w:r>
    </w:p>
    <w:p w14:paraId="05B8B5D9" w14:textId="77777777" w:rsidR="005F57F3" w:rsidRPr="006774D3" w:rsidRDefault="005F57F3" w:rsidP="00F77C66">
      <w:pPr>
        <w:keepNext/>
        <w:rPr>
          <w:color w:val="000000"/>
          <w:sz w:val="22"/>
          <w:szCs w:val="22"/>
        </w:rPr>
      </w:pPr>
    </w:p>
    <w:p w14:paraId="05B8B5DA" w14:textId="77777777" w:rsidR="005F57F3" w:rsidRPr="006774D3" w:rsidRDefault="005F57F3" w:rsidP="00F77C66">
      <w:pPr>
        <w:keepNext/>
        <w:rPr>
          <w:color w:val="000000"/>
          <w:sz w:val="22"/>
          <w:szCs w:val="22"/>
        </w:rPr>
      </w:pPr>
      <w:r w:rsidRPr="006774D3">
        <w:rPr>
          <w:color w:val="000000"/>
          <w:sz w:val="22"/>
          <w:szCs w:val="22"/>
        </w:rPr>
        <w:t>Dagsetning fyrstu útgáfu markaðsleyfis: 7. nóvember 2001.</w:t>
      </w:r>
    </w:p>
    <w:p w14:paraId="05B8B5DB" w14:textId="77777777" w:rsidR="005F57F3" w:rsidRPr="006774D3" w:rsidRDefault="00553DF5" w:rsidP="00632D98">
      <w:pPr>
        <w:rPr>
          <w:color w:val="000000"/>
          <w:sz w:val="22"/>
          <w:szCs w:val="22"/>
        </w:rPr>
      </w:pPr>
      <w:r w:rsidRPr="006774D3">
        <w:rPr>
          <w:color w:val="000000"/>
          <w:sz w:val="22"/>
          <w:szCs w:val="22"/>
        </w:rPr>
        <w:t>Nýjasta d</w:t>
      </w:r>
      <w:r w:rsidR="005F57F3" w:rsidRPr="006774D3">
        <w:rPr>
          <w:color w:val="000000"/>
          <w:sz w:val="22"/>
          <w:szCs w:val="22"/>
        </w:rPr>
        <w:t>agsetning endurnýjunar markaðsleyfis: 7. nóvember 2006.</w:t>
      </w:r>
    </w:p>
    <w:p w14:paraId="05B8B5DC" w14:textId="77777777" w:rsidR="005F57F3" w:rsidRPr="006774D3" w:rsidRDefault="005F57F3" w:rsidP="00F77C66">
      <w:pPr>
        <w:rPr>
          <w:color w:val="000000"/>
          <w:sz w:val="22"/>
          <w:szCs w:val="22"/>
        </w:rPr>
      </w:pPr>
    </w:p>
    <w:p w14:paraId="05B8B5DD" w14:textId="77777777" w:rsidR="005F57F3" w:rsidRPr="006774D3" w:rsidRDefault="005F57F3" w:rsidP="00F77C66">
      <w:pPr>
        <w:rPr>
          <w:color w:val="000000"/>
          <w:sz w:val="22"/>
          <w:szCs w:val="22"/>
        </w:rPr>
      </w:pPr>
    </w:p>
    <w:p w14:paraId="05B8B5DE" w14:textId="77777777" w:rsidR="005F57F3" w:rsidRPr="006774D3" w:rsidRDefault="005F57F3" w:rsidP="00F77C66">
      <w:pPr>
        <w:keepNext/>
        <w:rPr>
          <w:color w:val="000000"/>
          <w:sz w:val="22"/>
          <w:szCs w:val="22"/>
        </w:rPr>
      </w:pPr>
      <w:r w:rsidRPr="006774D3">
        <w:rPr>
          <w:b/>
          <w:color w:val="000000"/>
          <w:sz w:val="22"/>
          <w:szCs w:val="22"/>
        </w:rPr>
        <w:lastRenderedPageBreak/>
        <w:t>10.</w:t>
      </w:r>
      <w:r w:rsidRPr="006774D3">
        <w:rPr>
          <w:b/>
          <w:color w:val="000000"/>
          <w:sz w:val="22"/>
          <w:szCs w:val="22"/>
        </w:rPr>
        <w:tab/>
        <w:t>DAGSETNING ENDURSKOÐUNAR TEXTANS</w:t>
      </w:r>
    </w:p>
    <w:p w14:paraId="05B8B5DF" w14:textId="77777777" w:rsidR="005F57F3" w:rsidRPr="006774D3" w:rsidRDefault="005F57F3" w:rsidP="00F77C66">
      <w:pPr>
        <w:keepNext/>
        <w:rPr>
          <w:color w:val="000000"/>
          <w:sz w:val="22"/>
          <w:szCs w:val="22"/>
        </w:rPr>
      </w:pPr>
    </w:p>
    <w:p w14:paraId="05B8B5E0" w14:textId="77777777" w:rsidR="005F57F3" w:rsidRPr="006774D3" w:rsidRDefault="005F57F3" w:rsidP="00F77C66">
      <w:pPr>
        <w:rPr>
          <w:color w:val="000000"/>
          <w:sz w:val="22"/>
          <w:szCs w:val="22"/>
        </w:rPr>
      </w:pPr>
    </w:p>
    <w:p w14:paraId="05B8B5E1" w14:textId="77777777" w:rsidR="002E1E3D" w:rsidRPr="006774D3" w:rsidRDefault="002E1E3D" w:rsidP="00F77C66">
      <w:pPr>
        <w:rPr>
          <w:bCs/>
          <w:color w:val="000000"/>
          <w:sz w:val="22"/>
          <w:szCs w:val="22"/>
        </w:rPr>
      </w:pPr>
      <w:r w:rsidRPr="006774D3">
        <w:rPr>
          <w:bCs/>
          <w:color w:val="000000"/>
          <w:sz w:val="22"/>
          <w:szCs w:val="22"/>
        </w:rPr>
        <w:t>Ítarlegar upplýsingar um lyf</w:t>
      </w:r>
      <w:r w:rsidR="00553DF5" w:rsidRPr="006774D3">
        <w:rPr>
          <w:bCs/>
          <w:color w:val="000000"/>
          <w:sz w:val="22"/>
          <w:szCs w:val="22"/>
        </w:rPr>
        <w:t>ið</w:t>
      </w:r>
      <w:r w:rsidRPr="006774D3">
        <w:rPr>
          <w:bCs/>
          <w:color w:val="000000"/>
          <w:sz w:val="22"/>
          <w:szCs w:val="22"/>
        </w:rPr>
        <w:t xml:space="preserve"> eru birtar á </w:t>
      </w:r>
      <w:r w:rsidR="00553DF5" w:rsidRPr="006774D3">
        <w:rPr>
          <w:bCs/>
          <w:color w:val="000000"/>
          <w:sz w:val="22"/>
          <w:szCs w:val="22"/>
        </w:rPr>
        <w:t xml:space="preserve">vef </w:t>
      </w:r>
      <w:r w:rsidRPr="006774D3">
        <w:rPr>
          <w:bCs/>
          <w:color w:val="000000"/>
          <w:sz w:val="22"/>
          <w:szCs w:val="22"/>
        </w:rPr>
        <w:t xml:space="preserve">Lyfjastofnunar Evrópu </w:t>
      </w:r>
      <w:r w:rsidRPr="006774D3">
        <w:rPr>
          <w:color w:val="000000"/>
          <w:sz w:val="22"/>
          <w:szCs w:val="22"/>
        </w:rPr>
        <w:t>http://www.ema.europa.eu</w:t>
      </w:r>
    </w:p>
    <w:p w14:paraId="05B8B5E2" w14:textId="77777777" w:rsidR="00F40B8C" w:rsidRPr="006774D3" w:rsidRDefault="005F57F3" w:rsidP="00F77C66">
      <w:pPr>
        <w:rPr>
          <w:sz w:val="22"/>
          <w:szCs w:val="22"/>
        </w:rPr>
      </w:pPr>
      <w:r w:rsidRPr="006774D3">
        <w:rPr>
          <w:bCs/>
          <w:color w:val="000000"/>
          <w:sz w:val="22"/>
          <w:szCs w:val="22"/>
        </w:rPr>
        <w:br w:type="page"/>
      </w:r>
      <w:r w:rsidR="00EA2A58" w:rsidRPr="006774D3">
        <w:rPr>
          <w:noProof/>
          <w:sz w:val="22"/>
          <w:szCs w:val="20"/>
          <w:lang w:eastAsia="en-GB"/>
        </w:rPr>
        <w:lastRenderedPageBreak/>
        <w:drawing>
          <wp:inline distT="0" distB="0" distL="0" distR="0" wp14:anchorId="05B8C4BE" wp14:editId="05B8C4BF">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40B8C" w:rsidRPr="006774D3">
        <w:rPr>
          <w:sz w:val="22"/>
          <w:szCs w:val="22"/>
        </w:rPr>
        <w:t>Þetta lyf er undir sérstöku eftirliti til að nýjar upplýsingar um öryggi lyfsins komist fljótt og örugglega til skila. Heilbrigðisstarfsmenn eru hvattir til að tilkynna allar aukaverkanir sem grunur er um að tengist lyfinu. Í kafla 4.8 eru upplýsingar um hvernig tilkynna á aukaverkanir.</w:t>
      </w:r>
    </w:p>
    <w:p w14:paraId="05B8B5E3" w14:textId="77777777" w:rsidR="00F40B8C" w:rsidRPr="006774D3" w:rsidRDefault="00F40B8C" w:rsidP="00F77C66">
      <w:pPr>
        <w:tabs>
          <w:tab w:val="left" w:pos="5062"/>
        </w:tabs>
        <w:rPr>
          <w:sz w:val="22"/>
          <w:szCs w:val="22"/>
        </w:rPr>
      </w:pPr>
    </w:p>
    <w:p w14:paraId="05B8B5E4" w14:textId="77777777" w:rsidR="00F40B8C" w:rsidRPr="006774D3" w:rsidRDefault="00F40B8C" w:rsidP="00F77C66">
      <w:pPr>
        <w:rPr>
          <w:sz w:val="22"/>
          <w:szCs w:val="22"/>
        </w:rPr>
      </w:pPr>
    </w:p>
    <w:p w14:paraId="05B8B5E5" w14:textId="77777777" w:rsidR="005F57F3" w:rsidRPr="006774D3" w:rsidRDefault="005F57F3" w:rsidP="00F77C66">
      <w:pPr>
        <w:outlineLvl w:val="0"/>
        <w:rPr>
          <w:b/>
          <w:color w:val="000000"/>
          <w:sz w:val="22"/>
          <w:szCs w:val="22"/>
        </w:rPr>
      </w:pPr>
      <w:r w:rsidRPr="006774D3">
        <w:rPr>
          <w:b/>
          <w:color w:val="000000"/>
          <w:sz w:val="22"/>
          <w:szCs w:val="22"/>
        </w:rPr>
        <w:t>1.</w:t>
      </w:r>
      <w:r w:rsidRPr="006774D3">
        <w:rPr>
          <w:b/>
          <w:color w:val="000000"/>
          <w:sz w:val="22"/>
          <w:szCs w:val="22"/>
        </w:rPr>
        <w:tab/>
        <w:t>HEITI LYFS</w:t>
      </w:r>
    </w:p>
    <w:p w14:paraId="05B8B5E6" w14:textId="77777777" w:rsidR="005F57F3" w:rsidRPr="006774D3" w:rsidRDefault="005F57F3" w:rsidP="00F77C66">
      <w:pPr>
        <w:rPr>
          <w:color w:val="000000"/>
          <w:sz w:val="22"/>
          <w:szCs w:val="22"/>
        </w:rPr>
      </w:pPr>
    </w:p>
    <w:p w14:paraId="05B8B5E7" w14:textId="77777777" w:rsidR="005F57F3" w:rsidRPr="006774D3" w:rsidRDefault="005F57F3" w:rsidP="00F77C66">
      <w:pPr>
        <w:rPr>
          <w:color w:val="000000"/>
          <w:sz w:val="22"/>
          <w:szCs w:val="22"/>
        </w:rPr>
      </w:pPr>
      <w:r w:rsidRPr="006774D3">
        <w:rPr>
          <w:color w:val="000000"/>
          <w:sz w:val="22"/>
          <w:szCs w:val="22"/>
        </w:rPr>
        <w:t>Glivec 100 mg filmuhúðaðar töflur</w:t>
      </w:r>
    </w:p>
    <w:p w14:paraId="05B8B5E8" w14:textId="77777777" w:rsidR="00721534" w:rsidRPr="006774D3" w:rsidRDefault="00721534" w:rsidP="00F77C66">
      <w:pPr>
        <w:rPr>
          <w:color w:val="000000"/>
          <w:sz w:val="22"/>
          <w:szCs w:val="22"/>
        </w:rPr>
      </w:pPr>
      <w:r w:rsidRPr="006774D3">
        <w:rPr>
          <w:color w:val="000000"/>
          <w:sz w:val="22"/>
          <w:szCs w:val="22"/>
        </w:rPr>
        <w:t>Glivec 400 mg filmuhúðaðar töflur</w:t>
      </w:r>
    </w:p>
    <w:p w14:paraId="05B8B5E9" w14:textId="77777777" w:rsidR="005F57F3" w:rsidRPr="006774D3" w:rsidRDefault="005F57F3" w:rsidP="00F77C66">
      <w:pPr>
        <w:rPr>
          <w:color w:val="000000"/>
          <w:sz w:val="22"/>
          <w:szCs w:val="22"/>
        </w:rPr>
      </w:pPr>
    </w:p>
    <w:p w14:paraId="05B8B5EA" w14:textId="77777777" w:rsidR="005F57F3" w:rsidRPr="006774D3" w:rsidRDefault="005F57F3" w:rsidP="00F77C66">
      <w:pPr>
        <w:rPr>
          <w:color w:val="000000"/>
          <w:sz w:val="22"/>
          <w:szCs w:val="22"/>
        </w:rPr>
      </w:pPr>
    </w:p>
    <w:p w14:paraId="05B8B5EB" w14:textId="77777777" w:rsidR="005F57F3" w:rsidRPr="006774D3" w:rsidRDefault="005F57F3" w:rsidP="00632D98">
      <w:pPr>
        <w:keepNext/>
        <w:rPr>
          <w:color w:val="000000"/>
          <w:sz w:val="22"/>
          <w:szCs w:val="22"/>
        </w:rPr>
      </w:pPr>
      <w:r w:rsidRPr="006774D3">
        <w:rPr>
          <w:b/>
          <w:color w:val="000000"/>
          <w:sz w:val="22"/>
          <w:szCs w:val="22"/>
        </w:rPr>
        <w:t>2.</w:t>
      </w:r>
      <w:r w:rsidRPr="006774D3">
        <w:rPr>
          <w:b/>
          <w:color w:val="000000"/>
          <w:sz w:val="22"/>
          <w:szCs w:val="22"/>
        </w:rPr>
        <w:tab/>
      </w:r>
      <w:r w:rsidR="005A25D7" w:rsidRPr="006774D3">
        <w:rPr>
          <w:b/>
          <w:color w:val="000000"/>
          <w:sz w:val="22"/>
          <w:szCs w:val="22"/>
        </w:rPr>
        <w:t>INNIHALDSLÝSING</w:t>
      </w:r>
    </w:p>
    <w:p w14:paraId="05B8B5EC" w14:textId="77777777" w:rsidR="005F57F3" w:rsidRPr="006774D3" w:rsidRDefault="005F57F3" w:rsidP="00632D98">
      <w:pPr>
        <w:keepNext/>
        <w:outlineLvl w:val="0"/>
        <w:rPr>
          <w:color w:val="000000"/>
          <w:sz w:val="22"/>
          <w:szCs w:val="22"/>
        </w:rPr>
      </w:pPr>
    </w:p>
    <w:p w14:paraId="05B8B5ED" w14:textId="77777777" w:rsidR="00721534" w:rsidRPr="006774D3" w:rsidRDefault="00721534" w:rsidP="00F77C66">
      <w:pPr>
        <w:keepNext/>
        <w:outlineLvl w:val="0"/>
        <w:rPr>
          <w:color w:val="000000"/>
          <w:sz w:val="22"/>
          <w:szCs w:val="22"/>
          <w:u w:val="single"/>
        </w:rPr>
      </w:pPr>
      <w:r w:rsidRPr="006774D3">
        <w:rPr>
          <w:color w:val="000000"/>
          <w:sz w:val="22"/>
          <w:szCs w:val="22"/>
          <w:u w:val="single"/>
        </w:rPr>
        <w:t>Glivec 100 mg filmuhúðaðar töflur</w:t>
      </w:r>
    </w:p>
    <w:p w14:paraId="05B8B5EE" w14:textId="77777777" w:rsidR="005F57F3" w:rsidRPr="006774D3" w:rsidRDefault="005F57F3" w:rsidP="00F77C66">
      <w:pPr>
        <w:outlineLvl w:val="0"/>
        <w:rPr>
          <w:color w:val="000000"/>
          <w:sz w:val="22"/>
          <w:szCs w:val="22"/>
        </w:rPr>
      </w:pPr>
      <w:r w:rsidRPr="006774D3">
        <w:rPr>
          <w:color w:val="000000"/>
          <w:sz w:val="22"/>
          <w:szCs w:val="22"/>
        </w:rPr>
        <w:t>Hver filmuhúðuð tafla inniheldur imatinib 100 mg (sem mesilat).</w:t>
      </w:r>
    </w:p>
    <w:p w14:paraId="05B8B5EF" w14:textId="77777777" w:rsidR="005F57F3" w:rsidRPr="006774D3" w:rsidRDefault="005F57F3" w:rsidP="00F77C66">
      <w:pPr>
        <w:outlineLvl w:val="0"/>
        <w:rPr>
          <w:color w:val="000000"/>
          <w:sz w:val="22"/>
          <w:szCs w:val="22"/>
        </w:rPr>
      </w:pPr>
    </w:p>
    <w:p w14:paraId="05B8B5F0" w14:textId="77777777" w:rsidR="00554F87" w:rsidRPr="006774D3" w:rsidRDefault="00554F87" w:rsidP="00F77C66">
      <w:pPr>
        <w:keepNext/>
        <w:outlineLvl w:val="0"/>
        <w:rPr>
          <w:color w:val="000000"/>
          <w:sz w:val="22"/>
          <w:szCs w:val="22"/>
          <w:u w:val="single"/>
        </w:rPr>
      </w:pPr>
      <w:r w:rsidRPr="006774D3">
        <w:rPr>
          <w:color w:val="000000"/>
          <w:sz w:val="22"/>
          <w:szCs w:val="22"/>
          <w:u w:val="single"/>
        </w:rPr>
        <w:t>Glivec 400 mg filmuhúðaðar töflur</w:t>
      </w:r>
    </w:p>
    <w:p w14:paraId="05B8B5F1" w14:textId="77777777" w:rsidR="00554F87" w:rsidRPr="006774D3" w:rsidRDefault="00554F87" w:rsidP="00F77C66">
      <w:pPr>
        <w:outlineLvl w:val="0"/>
        <w:rPr>
          <w:color w:val="000000"/>
          <w:sz w:val="22"/>
          <w:szCs w:val="22"/>
        </w:rPr>
      </w:pPr>
      <w:r w:rsidRPr="006774D3">
        <w:rPr>
          <w:color w:val="000000"/>
          <w:sz w:val="22"/>
          <w:szCs w:val="22"/>
        </w:rPr>
        <w:t>Hver filmuhúðuð tafla inniheldur imatinib 400 mg (sem mesilat).</w:t>
      </w:r>
    </w:p>
    <w:p w14:paraId="05B8B5F2" w14:textId="77777777" w:rsidR="00554F87" w:rsidRPr="006774D3" w:rsidRDefault="00554F87" w:rsidP="00F77C66">
      <w:pPr>
        <w:outlineLvl w:val="0"/>
        <w:rPr>
          <w:color w:val="000000"/>
          <w:sz w:val="22"/>
          <w:szCs w:val="22"/>
        </w:rPr>
      </w:pPr>
    </w:p>
    <w:p w14:paraId="05B8B5F3" w14:textId="77777777" w:rsidR="005F57F3" w:rsidRPr="006774D3" w:rsidRDefault="005F57F3" w:rsidP="00F77C66">
      <w:pPr>
        <w:rPr>
          <w:color w:val="000000"/>
          <w:sz w:val="22"/>
          <w:szCs w:val="22"/>
        </w:rPr>
      </w:pPr>
      <w:r w:rsidRPr="006774D3">
        <w:rPr>
          <w:color w:val="000000"/>
          <w:sz w:val="22"/>
          <w:szCs w:val="22"/>
        </w:rPr>
        <w:t>Sjá lista yfir öll hjálparefni í kafla 6.1.</w:t>
      </w:r>
    </w:p>
    <w:p w14:paraId="05B8B5F4" w14:textId="77777777" w:rsidR="005F57F3" w:rsidRPr="006774D3" w:rsidRDefault="005F57F3" w:rsidP="00F77C66">
      <w:pPr>
        <w:rPr>
          <w:color w:val="000000"/>
          <w:sz w:val="22"/>
          <w:szCs w:val="22"/>
        </w:rPr>
      </w:pPr>
    </w:p>
    <w:p w14:paraId="05B8B5F5" w14:textId="77777777" w:rsidR="005F57F3" w:rsidRPr="006774D3" w:rsidRDefault="005F57F3" w:rsidP="00F77C66">
      <w:pPr>
        <w:rPr>
          <w:color w:val="000000"/>
          <w:sz w:val="22"/>
          <w:szCs w:val="22"/>
        </w:rPr>
      </w:pPr>
    </w:p>
    <w:p w14:paraId="05B8B5F6" w14:textId="77777777" w:rsidR="005F57F3" w:rsidRPr="006774D3" w:rsidRDefault="005F57F3" w:rsidP="00632D98">
      <w:pPr>
        <w:keepNext/>
        <w:rPr>
          <w:color w:val="000000"/>
          <w:sz w:val="22"/>
          <w:szCs w:val="22"/>
        </w:rPr>
      </w:pPr>
      <w:r w:rsidRPr="006774D3">
        <w:rPr>
          <w:b/>
          <w:color w:val="000000"/>
          <w:sz w:val="22"/>
          <w:szCs w:val="22"/>
        </w:rPr>
        <w:t>3.</w:t>
      </w:r>
      <w:r w:rsidRPr="006774D3">
        <w:rPr>
          <w:b/>
          <w:color w:val="000000"/>
          <w:sz w:val="22"/>
          <w:szCs w:val="22"/>
        </w:rPr>
        <w:tab/>
        <w:t>LYFJAFORM</w:t>
      </w:r>
    </w:p>
    <w:p w14:paraId="05B8B5F7" w14:textId="77777777" w:rsidR="005F57F3" w:rsidRPr="006774D3" w:rsidRDefault="005F57F3" w:rsidP="00632D98">
      <w:pPr>
        <w:keepNext/>
        <w:rPr>
          <w:color w:val="000000"/>
          <w:sz w:val="22"/>
          <w:szCs w:val="22"/>
        </w:rPr>
      </w:pPr>
    </w:p>
    <w:p w14:paraId="05B8B5F8" w14:textId="77777777" w:rsidR="005F57F3" w:rsidRPr="006774D3" w:rsidRDefault="005F57F3" w:rsidP="00632D98">
      <w:pPr>
        <w:keepNext/>
        <w:rPr>
          <w:color w:val="000000"/>
          <w:sz w:val="22"/>
          <w:szCs w:val="22"/>
        </w:rPr>
      </w:pPr>
      <w:r w:rsidRPr="006774D3">
        <w:rPr>
          <w:color w:val="000000"/>
          <w:sz w:val="22"/>
          <w:szCs w:val="22"/>
        </w:rPr>
        <w:t>Filmuhúðuð tafla.</w:t>
      </w:r>
    </w:p>
    <w:p w14:paraId="05B8B5F9" w14:textId="77777777" w:rsidR="005F57F3" w:rsidRPr="006774D3" w:rsidRDefault="005F57F3" w:rsidP="00632D98">
      <w:pPr>
        <w:keepNext/>
        <w:rPr>
          <w:color w:val="000000"/>
          <w:sz w:val="22"/>
          <w:szCs w:val="22"/>
        </w:rPr>
      </w:pPr>
    </w:p>
    <w:p w14:paraId="05B8B5FA" w14:textId="77777777" w:rsidR="00554F87" w:rsidRPr="006774D3" w:rsidRDefault="00554F87" w:rsidP="00F77C66">
      <w:pPr>
        <w:keepNext/>
        <w:outlineLvl w:val="0"/>
        <w:rPr>
          <w:color w:val="000000"/>
          <w:sz w:val="22"/>
          <w:szCs w:val="22"/>
          <w:u w:val="single"/>
        </w:rPr>
      </w:pPr>
      <w:r w:rsidRPr="006774D3">
        <w:rPr>
          <w:color w:val="000000"/>
          <w:sz w:val="22"/>
          <w:szCs w:val="22"/>
          <w:u w:val="single"/>
        </w:rPr>
        <w:t>Glivec 100 mg filmuhúðaðar töflur</w:t>
      </w:r>
    </w:p>
    <w:p w14:paraId="05B8B5FB" w14:textId="77777777" w:rsidR="005F57F3" w:rsidRPr="006774D3" w:rsidRDefault="005F57F3" w:rsidP="00F77C66">
      <w:pPr>
        <w:rPr>
          <w:color w:val="000000"/>
          <w:sz w:val="22"/>
          <w:szCs w:val="22"/>
        </w:rPr>
      </w:pPr>
      <w:r w:rsidRPr="006774D3">
        <w:rPr>
          <w:color w:val="000000"/>
          <w:sz w:val="22"/>
          <w:szCs w:val="22"/>
        </w:rPr>
        <w:t>Dökkgul til brúnleit</w:t>
      </w:r>
      <w:r w:rsidRPr="006774D3">
        <w:rPr>
          <w:color w:val="000000"/>
          <w:sz w:val="22"/>
          <w:szCs w:val="22"/>
        </w:rPr>
        <w:noBreakHyphen/>
        <w:t>appelsínugul, kringlótt, filmuhúðuð tafla, með „NVR“ á annarri hliðinni og „SA“ og deiliskoru á hinni hliðinni.</w:t>
      </w:r>
    </w:p>
    <w:p w14:paraId="05B8B5FC" w14:textId="77777777" w:rsidR="005F57F3" w:rsidRPr="006774D3" w:rsidRDefault="005F57F3" w:rsidP="00F77C66">
      <w:pPr>
        <w:rPr>
          <w:color w:val="000000"/>
          <w:sz w:val="22"/>
          <w:szCs w:val="22"/>
        </w:rPr>
      </w:pPr>
    </w:p>
    <w:p w14:paraId="05B8B5FD" w14:textId="77777777" w:rsidR="00554F87" w:rsidRPr="006774D3" w:rsidRDefault="00554F87" w:rsidP="00F77C66">
      <w:pPr>
        <w:keepNext/>
        <w:outlineLvl w:val="0"/>
        <w:rPr>
          <w:color w:val="000000"/>
          <w:sz w:val="22"/>
          <w:szCs w:val="22"/>
          <w:u w:val="single"/>
        </w:rPr>
      </w:pPr>
      <w:r w:rsidRPr="006774D3">
        <w:rPr>
          <w:color w:val="000000"/>
          <w:sz w:val="22"/>
          <w:szCs w:val="22"/>
          <w:u w:val="single"/>
        </w:rPr>
        <w:t>Glivec 400 mg filmuhúðaðar töflur</w:t>
      </w:r>
    </w:p>
    <w:p w14:paraId="05B8B5FE" w14:textId="77777777" w:rsidR="00554F87" w:rsidRPr="006774D3" w:rsidRDefault="00996A06" w:rsidP="00F77C66">
      <w:pPr>
        <w:rPr>
          <w:color w:val="000000"/>
          <w:sz w:val="22"/>
          <w:szCs w:val="22"/>
        </w:rPr>
      </w:pPr>
      <w:r w:rsidRPr="006774D3">
        <w:rPr>
          <w:color w:val="000000"/>
          <w:sz w:val="22"/>
          <w:szCs w:val="22"/>
        </w:rPr>
        <w:t>Mjög d</w:t>
      </w:r>
      <w:r w:rsidR="00554F87" w:rsidRPr="006774D3">
        <w:rPr>
          <w:color w:val="000000"/>
          <w:sz w:val="22"/>
          <w:szCs w:val="22"/>
        </w:rPr>
        <w:t>ökkgul til brúnleit</w:t>
      </w:r>
      <w:r w:rsidR="00554F87" w:rsidRPr="006774D3">
        <w:rPr>
          <w:color w:val="000000"/>
          <w:sz w:val="22"/>
          <w:szCs w:val="22"/>
        </w:rPr>
        <w:noBreakHyphen/>
        <w:t>appelsínugul, sporöskjulaga, filmuhúðuð tafla með sniðbrún og kúpt á báðum hliðum, með „glivec“ á annarri hliðinni.</w:t>
      </w:r>
    </w:p>
    <w:p w14:paraId="05B8B5FF" w14:textId="77777777" w:rsidR="00554F87" w:rsidRPr="006774D3" w:rsidRDefault="00554F87" w:rsidP="00F77C66">
      <w:pPr>
        <w:rPr>
          <w:color w:val="000000"/>
          <w:sz w:val="22"/>
          <w:szCs w:val="22"/>
        </w:rPr>
      </w:pPr>
    </w:p>
    <w:p w14:paraId="05B8B600" w14:textId="77777777" w:rsidR="005F57F3" w:rsidRPr="006774D3" w:rsidRDefault="005F57F3" w:rsidP="00F77C66">
      <w:pPr>
        <w:rPr>
          <w:color w:val="000000"/>
          <w:sz w:val="22"/>
          <w:szCs w:val="22"/>
        </w:rPr>
      </w:pPr>
    </w:p>
    <w:p w14:paraId="05B8B601" w14:textId="77777777" w:rsidR="0066719E" w:rsidRPr="006774D3" w:rsidRDefault="0066719E" w:rsidP="00F77C66">
      <w:pPr>
        <w:keepNext/>
        <w:rPr>
          <w:color w:val="000000"/>
          <w:sz w:val="22"/>
          <w:szCs w:val="22"/>
        </w:rPr>
      </w:pPr>
      <w:r w:rsidRPr="006774D3">
        <w:rPr>
          <w:b/>
          <w:color w:val="000000"/>
          <w:sz w:val="22"/>
          <w:szCs w:val="22"/>
        </w:rPr>
        <w:t>4.</w:t>
      </w:r>
      <w:r w:rsidRPr="006774D3">
        <w:rPr>
          <w:b/>
          <w:color w:val="000000"/>
          <w:sz w:val="22"/>
          <w:szCs w:val="22"/>
        </w:rPr>
        <w:tab/>
        <w:t>KLÍNÍSKAR UPPLÝSINGAR</w:t>
      </w:r>
    </w:p>
    <w:p w14:paraId="05B8B602" w14:textId="77777777" w:rsidR="0066719E" w:rsidRPr="006774D3" w:rsidRDefault="0066719E" w:rsidP="00F77C66">
      <w:pPr>
        <w:keepNext/>
        <w:rPr>
          <w:color w:val="000000"/>
          <w:sz w:val="22"/>
          <w:szCs w:val="22"/>
        </w:rPr>
      </w:pPr>
    </w:p>
    <w:p w14:paraId="05B8B603" w14:textId="77777777" w:rsidR="0066719E" w:rsidRPr="006774D3" w:rsidRDefault="0066719E" w:rsidP="00F77C66">
      <w:pPr>
        <w:keepNext/>
        <w:rPr>
          <w:color w:val="000000"/>
          <w:sz w:val="22"/>
          <w:szCs w:val="22"/>
        </w:rPr>
      </w:pPr>
      <w:r w:rsidRPr="006774D3">
        <w:rPr>
          <w:b/>
          <w:color w:val="000000"/>
          <w:sz w:val="22"/>
          <w:szCs w:val="22"/>
        </w:rPr>
        <w:t>4.1</w:t>
      </w:r>
      <w:r w:rsidRPr="006774D3">
        <w:rPr>
          <w:b/>
          <w:color w:val="000000"/>
          <w:sz w:val="22"/>
          <w:szCs w:val="22"/>
        </w:rPr>
        <w:tab/>
        <w:t>Ábendingar</w:t>
      </w:r>
    </w:p>
    <w:p w14:paraId="05B8B604" w14:textId="77777777" w:rsidR="0066719E" w:rsidRPr="006774D3" w:rsidRDefault="0066719E" w:rsidP="00F77C66">
      <w:pPr>
        <w:keepNext/>
        <w:rPr>
          <w:color w:val="000000"/>
          <w:sz w:val="22"/>
          <w:szCs w:val="22"/>
        </w:rPr>
      </w:pPr>
    </w:p>
    <w:p w14:paraId="05B8B605" w14:textId="77777777" w:rsidR="0066719E" w:rsidRPr="006774D3" w:rsidRDefault="0066719E" w:rsidP="00F77C66">
      <w:pPr>
        <w:pStyle w:val="EndnoteText"/>
        <w:keepNext/>
        <w:spacing w:before="0" w:after="0"/>
        <w:ind w:left="0" w:firstLine="0"/>
        <w:rPr>
          <w:color w:val="000000"/>
          <w:sz w:val="22"/>
          <w:szCs w:val="22"/>
          <w:lang w:val="is-IS"/>
        </w:rPr>
      </w:pPr>
      <w:r w:rsidRPr="006774D3">
        <w:rPr>
          <w:color w:val="000000"/>
          <w:sz w:val="22"/>
          <w:szCs w:val="22"/>
          <w:lang w:val="is-IS"/>
        </w:rPr>
        <w:t>Glivec er ætlað til meðferðar hjá</w:t>
      </w:r>
    </w:p>
    <w:p w14:paraId="05B8B606"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og börnum með nýlega greint Fíladelfíulitnings (bcr</w:t>
      </w:r>
      <w:r w:rsidRPr="006774D3">
        <w:rPr>
          <w:color w:val="000000"/>
          <w:sz w:val="22"/>
          <w:szCs w:val="22"/>
          <w:lang w:val="is-IS"/>
        </w:rPr>
        <w:noBreakHyphen/>
        <w:t>abl) jákvætt (Ph+) langvarandi kyrningahvítblæði (chronic myeloid leukaemia [CML]), þar sem beinmergsskipti eru ekki talin eiga við sem fyrsta meðferð.</w:t>
      </w:r>
    </w:p>
    <w:p w14:paraId="05B8B607"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og börnum með Ph+ CML í stöðugum (chronic) fasa eftir að meðferð með interferon</w:t>
      </w:r>
      <w:r w:rsidRPr="006774D3">
        <w:rPr>
          <w:color w:val="000000"/>
          <w:sz w:val="22"/>
          <w:szCs w:val="22"/>
          <w:lang w:val="is-IS"/>
        </w:rPr>
        <w:noBreakHyphen/>
        <w:t>alfa hefur ekki borið árangur, eða í hröðunarfasa (accelerated phase) eða bráðafasa (blast crisis).</w:t>
      </w:r>
    </w:p>
    <w:p w14:paraId="05B8B608"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 xml:space="preserve">fullorðnum </w:t>
      </w:r>
      <w:r w:rsidR="009D0392" w:rsidRPr="006774D3">
        <w:rPr>
          <w:color w:val="000000"/>
          <w:sz w:val="22"/>
          <w:szCs w:val="22"/>
          <w:lang w:val="is-IS"/>
        </w:rPr>
        <w:t>og börnum</w:t>
      </w:r>
      <w:r w:rsidRPr="006774D3">
        <w:rPr>
          <w:color w:val="000000"/>
          <w:sz w:val="22"/>
          <w:szCs w:val="22"/>
          <w:lang w:val="is-IS"/>
        </w:rPr>
        <w:t xml:space="preserve"> með nýlega greint Fíladelfíulitnings jákvætt brátt eitilfrumuhvít</w:t>
      </w:r>
      <w:r w:rsidRPr="006774D3">
        <w:rPr>
          <w:color w:val="000000"/>
          <w:sz w:val="22"/>
          <w:szCs w:val="22"/>
          <w:lang w:val="is-IS"/>
        </w:rPr>
        <w:softHyphen/>
        <w:t>blæði (acute lymphoblastic leukaemia) (Ph+ ALL) í tengslum við krabbameinslyfjameðferð.</w:t>
      </w:r>
    </w:p>
    <w:p w14:paraId="05B8B609"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endurkomið eða þrálátt Ph+ ALL, sem einlyfjameðferð.</w:t>
      </w:r>
    </w:p>
    <w:p w14:paraId="05B8B60A"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mergrangvaxtarsjúkdóma/mergfrumnafjölgunarsjúkdóma (myelodys</w:t>
      </w:r>
      <w:r w:rsidRPr="006774D3">
        <w:rPr>
          <w:color w:val="000000"/>
          <w:sz w:val="22"/>
          <w:szCs w:val="22"/>
          <w:lang w:val="is-IS"/>
        </w:rPr>
        <w:softHyphen/>
        <w:t>plastic/myeloproliferative diseases [MDS/MPD]) í tengslum við PDGFR (platelet-derived growth factor receptor) endurröðun erfðavísa.</w:t>
      </w:r>
    </w:p>
    <w:p w14:paraId="05B8B60B"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fullorðnum sjúklingum með langt gengið rauðkyrningagersheilkenni (hypereosinophilic syndrome [HES]) og/eða langvarandi rauðkyrningahvítblæði (chronic eosinophilic leukaemia [CEL]) með FIP1L1</w:t>
      </w:r>
      <w:r w:rsidRPr="006774D3">
        <w:rPr>
          <w:color w:val="000000"/>
          <w:sz w:val="22"/>
          <w:szCs w:val="22"/>
          <w:lang w:val="is-IS"/>
        </w:rPr>
        <w:noBreakHyphen/>
        <w:t>PDGFRα endurröðun.</w:t>
      </w:r>
    </w:p>
    <w:p w14:paraId="05B8B60C" w14:textId="77777777" w:rsidR="0066719E" w:rsidRPr="006774D3" w:rsidRDefault="0066719E" w:rsidP="00F77C66">
      <w:pPr>
        <w:pStyle w:val="EndnoteText"/>
        <w:spacing w:before="0" w:after="0"/>
        <w:ind w:left="0" w:firstLine="0"/>
        <w:rPr>
          <w:color w:val="000000"/>
          <w:sz w:val="22"/>
          <w:szCs w:val="22"/>
          <w:lang w:val="is-IS"/>
        </w:rPr>
      </w:pPr>
    </w:p>
    <w:p w14:paraId="05B8B60D" w14:textId="77777777" w:rsidR="0066719E" w:rsidRPr="006774D3" w:rsidRDefault="0066719E" w:rsidP="00F77C66">
      <w:pPr>
        <w:pStyle w:val="EndnoteText"/>
        <w:spacing w:before="0" w:after="0"/>
        <w:ind w:left="0" w:firstLine="0"/>
        <w:rPr>
          <w:color w:val="000000"/>
          <w:sz w:val="22"/>
          <w:szCs w:val="22"/>
          <w:lang w:val="is-IS"/>
        </w:rPr>
      </w:pPr>
      <w:r w:rsidRPr="006774D3">
        <w:rPr>
          <w:color w:val="000000"/>
          <w:sz w:val="22"/>
          <w:szCs w:val="22"/>
          <w:lang w:val="is-IS"/>
        </w:rPr>
        <w:t>Áhrif Glivec á niðurstöðu beinmergsskipta hafa ekki verið staðfest.</w:t>
      </w:r>
    </w:p>
    <w:p w14:paraId="05B8B60E" w14:textId="77777777" w:rsidR="0066719E" w:rsidRPr="006774D3" w:rsidRDefault="0066719E" w:rsidP="00F77C66">
      <w:pPr>
        <w:pStyle w:val="EndnoteText"/>
        <w:spacing w:before="0" w:after="0"/>
        <w:ind w:left="0" w:firstLine="0"/>
        <w:rPr>
          <w:color w:val="000000"/>
          <w:sz w:val="22"/>
          <w:szCs w:val="22"/>
          <w:lang w:val="is-IS"/>
        </w:rPr>
      </w:pPr>
    </w:p>
    <w:p w14:paraId="05B8B60F" w14:textId="77777777" w:rsidR="0066719E" w:rsidRPr="006774D3" w:rsidRDefault="0066719E" w:rsidP="00632D98">
      <w:pPr>
        <w:pStyle w:val="EndnoteText"/>
        <w:keepNext/>
        <w:spacing w:before="0" w:after="0"/>
        <w:ind w:left="0" w:firstLine="0"/>
        <w:rPr>
          <w:color w:val="000000"/>
          <w:sz w:val="22"/>
          <w:szCs w:val="22"/>
          <w:lang w:val="is-IS"/>
        </w:rPr>
      </w:pPr>
      <w:r w:rsidRPr="006774D3">
        <w:rPr>
          <w:color w:val="000000"/>
          <w:sz w:val="22"/>
          <w:szCs w:val="22"/>
          <w:lang w:val="is-IS"/>
        </w:rPr>
        <w:t>Glivec er ætlað til</w:t>
      </w:r>
    </w:p>
    <w:p w14:paraId="05B8B610" w14:textId="77777777" w:rsidR="0066719E" w:rsidRPr="006774D3" w:rsidRDefault="0066719E" w:rsidP="00632D98">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meðferðar hjá fullorðnum sjúklingum með Kit (CD 117) jákvæð, óskurðtæk og/eða illkynja æxli í stoðvef maga og þarma með meinvörpum (gastrointestinal stromal tumours [GIST]).</w:t>
      </w:r>
    </w:p>
    <w:p w14:paraId="05B8B611" w14:textId="77777777" w:rsidR="0066719E" w:rsidRPr="006774D3" w:rsidRDefault="0066719E" w:rsidP="00632D98">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viðbótarmeðferðar (adjuvant treatment) hjá fullorðnum sjúklingum, sem eru í verulegri hættu á endurkomu æxlis, eftir brottnám (resection) Kit (CD 117)</w:t>
      </w:r>
      <w:r w:rsidRPr="006774D3">
        <w:rPr>
          <w:color w:val="000000"/>
          <w:sz w:val="22"/>
          <w:szCs w:val="22"/>
          <w:lang w:val="is-IS"/>
        </w:rPr>
        <w:noBreakHyphen/>
        <w:t>jákvæðs GIST. Sjúklingar sem eru í lítilli eða mjög lítilli hættu á endurkomu æxlis ættu ekki að fá viðbótarmeðferð.</w:t>
      </w:r>
    </w:p>
    <w:p w14:paraId="05B8B612" w14:textId="77777777" w:rsidR="0066719E" w:rsidRPr="006774D3" w:rsidRDefault="0066719E"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meðferðar hjá fullorðnum sjúklingum með óskurðtækt gnúpahúðbandvefssarkmein (dermatofibro</w:t>
      </w:r>
      <w:r w:rsidRPr="006774D3">
        <w:rPr>
          <w:color w:val="000000"/>
          <w:sz w:val="22"/>
          <w:szCs w:val="22"/>
          <w:lang w:val="is-IS"/>
        </w:rPr>
        <w:softHyphen/>
        <w:t>sarcoma protuberans [DFSP]) og fullorðnum sjúklingum með endurkomið DFSP og/eða DFSP með mein</w:t>
      </w:r>
      <w:r w:rsidRPr="006774D3">
        <w:rPr>
          <w:color w:val="000000"/>
          <w:sz w:val="22"/>
          <w:szCs w:val="22"/>
          <w:lang w:val="is-IS"/>
        </w:rPr>
        <w:softHyphen/>
        <w:t>vörpum, ef skurðaðgerð á ekki við.</w:t>
      </w:r>
    </w:p>
    <w:p w14:paraId="05B8B613" w14:textId="77777777" w:rsidR="0066719E" w:rsidRPr="006774D3" w:rsidRDefault="0066719E" w:rsidP="00F77C66">
      <w:pPr>
        <w:pStyle w:val="EndnoteText"/>
        <w:spacing w:before="0" w:after="0"/>
        <w:ind w:left="0" w:firstLine="0"/>
        <w:rPr>
          <w:color w:val="000000"/>
          <w:sz w:val="22"/>
          <w:szCs w:val="22"/>
          <w:lang w:val="is-IS"/>
        </w:rPr>
      </w:pPr>
    </w:p>
    <w:p w14:paraId="05B8B614" w14:textId="77777777" w:rsidR="0066719E" w:rsidRPr="006774D3" w:rsidRDefault="0066719E" w:rsidP="00F77C66">
      <w:pPr>
        <w:pStyle w:val="EndnoteText"/>
        <w:spacing w:before="0" w:after="0"/>
        <w:ind w:left="0" w:firstLine="0"/>
        <w:rPr>
          <w:color w:val="000000"/>
          <w:sz w:val="22"/>
          <w:szCs w:val="22"/>
          <w:lang w:val="is-IS"/>
        </w:rPr>
      </w:pPr>
      <w:r w:rsidRPr="006774D3">
        <w:rPr>
          <w:color w:val="000000"/>
          <w:sz w:val="22"/>
          <w:szCs w:val="22"/>
          <w:lang w:val="is-IS"/>
        </w:rPr>
        <w:t>Hjá fullorðnum sjúklingum og börnum er verkun Glivec byggð á heildar blóðgildasvörun (overall hematological response) og litningasvörun (cytogenetic response) og lifun án versnunar þegar um er að ræða CML, blóðgildasvörun og litningasvörun þegar um er að ræða Ph+ ALL, MDS/MPD, blóðgildasvörun þegar um er að ræða HES/CEL og á hlutlægri svörun hjá fullorðnum sjúklingum með óskurðtækt GIST og/eða GIST með meinvörpum og DFSP og lifun án endurkomu þegar um er að ræða viðbótarmeðferð við GIST. Reynsla af notkun Glivec handa sjúklingum með MDS/MPD í tengslum við PDGFR endurröðun erfðavísa er mjög takmörkuð (sjá kafla 5.1). Engar samanburðarrannsóknir hafa verið gerðar sem sýna fram á klínískan ávinning eða lengda lifun fyrir þessa sjúkdóma, nema hvað varðar nýgreint CML í stöðugum fasa.</w:t>
      </w:r>
    </w:p>
    <w:p w14:paraId="05B8B615" w14:textId="77777777" w:rsidR="0066719E" w:rsidRPr="006774D3" w:rsidRDefault="0066719E" w:rsidP="00F77C66">
      <w:pPr>
        <w:pStyle w:val="EndnoteText"/>
        <w:spacing w:before="0" w:after="0"/>
        <w:ind w:left="0" w:firstLine="0"/>
        <w:rPr>
          <w:color w:val="000000"/>
          <w:sz w:val="22"/>
          <w:szCs w:val="22"/>
          <w:lang w:val="is-IS"/>
        </w:rPr>
      </w:pPr>
    </w:p>
    <w:p w14:paraId="05B8B616" w14:textId="77777777" w:rsidR="0066719E" w:rsidRPr="006774D3" w:rsidRDefault="0066719E" w:rsidP="00F77C66">
      <w:pPr>
        <w:keepNext/>
        <w:rPr>
          <w:color w:val="000000"/>
          <w:sz w:val="22"/>
          <w:szCs w:val="22"/>
        </w:rPr>
      </w:pPr>
      <w:r w:rsidRPr="006774D3">
        <w:rPr>
          <w:b/>
          <w:color w:val="000000"/>
          <w:sz w:val="22"/>
          <w:szCs w:val="22"/>
        </w:rPr>
        <w:t>4.2</w:t>
      </w:r>
      <w:r w:rsidRPr="006774D3">
        <w:rPr>
          <w:b/>
          <w:color w:val="000000"/>
          <w:sz w:val="22"/>
          <w:szCs w:val="22"/>
        </w:rPr>
        <w:tab/>
        <w:t>Skammtar og lyfjagjöf</w:t>
      </w:r>
    </w:p>
    <w:p w14:paraId="05B8B617" w14:textId="77777777" w:rsidR="0066719E" w:rsidRPr="006774D3" w:rsidRDefault="0066719E" w:rsidP="00F77C66">
      <w:pPr>
        <w:pStyle w:val="Authors"/>
        <w:spacing w:before="0"/>
        <w:rPr>
          <w:rFonts w:ascii="Times New Roman" w:hAnsi="Times New Roman"/>
          <w:color w:val="000000"/>
          <w:szCs w:val="22"/>
          <w:lang w:val="is-IS"/>
        </w:rPr>
      </w:pPr>
    </w:p>
    <w:p w14:paraId="05B8B618" w14:textId="77777777" w:rsidR="005F57F3" w:rsidRPr="006774D3" w:rsidRDefault="005F57F3" w:rsidP="00632D98">
      <w:pPr>
        <w:rPr>
          <w:color w:val="000000"/>
          <w:sz w:val="22"/>
          <w:szCs w:val="22"/>
        </w:rPr>
      </w:pPr>
      <w:r w:rsidRPr="006774D3">
        <w:rPr>
          <w:color w:val="000000"/>
          <w:sz w:val="22"/>
          <w:szCs w:val="22"/>
        </w:rPr>
        <w:t>Læknir með reynslu í meðferð sjúklinga með illkynja blóðsjúkdóma eða illkynja sarkmein, eftir því sem við á, á að hefja meðferðina.</w:t>
      </w:r>
    </w:p>
    <w:p w14:paraId="05B8B619" w14:textId="77777777" w:rsidR="005F57F3" w:rsidRPr="006774D3" w:rsidRDefault="005F57F3" w:rsidP="00F77C66">
      <w:pPr>
        <w:rPr>
          <w:color w:val="000000"/>
          <w:sz w:val="22"/>
          <w:szCs w:val="22"/>
        </w:rPr>
      </w:pPr>
    </w:p>
    <w:p w14:paraId="05B8B61A" w14:textId="77777777" w:rsidR="00996A06" w:rsidRPr="006774D3" w:rsidRDefault="00996A06" w:rsidP="00F77C66">
      <w:pPr>
        <w:rPr>
          <w:color w:val="000000"/>
          <w:sz w:val="22"/>
          <w:szCs w:val="22"/>
        </w:rPr>
      </w:pPr>
      <w:r w:rsidRPr="006774D3">
        <w:rPr>
          <w:color w:val="000000"/>
          <w:sz w:val="22"/>
          <w:szCs w:val="22"/>
        </w:rPr>
        <w:t>Fyrir aðra skammta en 400 mg eða 800 mg (sjá skammtaráðleggingar hér á eftir) er fáanleg 100 mg tafla með deiliskoru.</w:t>
      </w:r>
    </w:p>
    <w:p w14:paraId="05B8B61B" w14:textId="77777777" w:rsidR="005F57F3" w:rsidRPr="006774D3" w:rsidRDefault="005F57F3" w:rsidP="00F77C66">
      <w:pPr>
        <w:rPr>
          <w:color w:val="000000"/>
          <w:sz w:val="22"/>
          <w:szCs w:val="22"/>
        </w:rPr>
      </w:pPr>
      <w:r w:rsidRPr="006774D3">
        <w:rPr>
          <w:color w:val="000000"/>
          <w:sz w:val="22"/>
          <w:szCs w:val="22"/>
        </w:rPr>
        <w:t>Fyrir skammta sem eru 400 mg eða stærri (sjá skammtaráðleggingar hér á eftir) er fáanleg 400 mg tafla (sem ekki er hægt að skipta).</w:t>
      </w:r>
    </w:p>
    <w:p w14:paraId="05B8B61C" w14:textId="77777777" w:rsidR="005F57F3" w:rsidRPr="006774D3" w:rsidRDefault="005F57F3" w:rsidP="00F77C66">
      <w:pPr>
        <w:rPr>
          <w:color w:val="000000"/>
          <w:sz w:val="22"/>
          <w:szCs w:val="22"/>
        </w:rPr>
      </w:pPr>
    </w:p>
    <w:p w14:paraId="05B8B61D" w14:textId="77777777" w:rsidR="005F57F3" w:rsidRPr="006774D3" w:rsidRDefault="005F57F3" w:rsidP="00F77C66">
      <w:pPr>
        <w:rPr>
          <w:color w:val="000000"/>
          <w:sz w:val="22"/>
          <w:szCs w:val="22"/>
        </w:rPr>
      </w:pPr>
      <w:r w:rsidRPr="006774D3">
        <w:rPr>
          <w:color w:val="000000"/>
          <w:sz w:val="22"/>
          <w:szCs w:val="22"/>
        </w:rPr>
        <w:t>Taka á þann skammt sem við á inn með máltíð og stóru glasi af vatni til að draga úr hættu á ertingu í meltingarvegi. 400 mg og 600 mg skammta skal gefa einu sinni á sólarhring en ef sólarhrings</w:t>
      </w:r>
      <w:r w:rsidRPr="006774D3">
        <w:rPr>
          <w:color w:val="000000"/>
          <w:sz w:val="22"/>
          <w:szCs w:val="22"/>
        </w:rPr>
        <w:softHyphen/>
        <w:t>skammturinn er 800 mg skal gefa hann sem 400 mg tvisvar sinnum á sólarhring, að morgni og að kvöldi.</w:t>
      </w:r>
    </w:p>
    <w:p w14:paraId="05B8B61E" w14:textId="77777777" w:rsidR="005F57F3" w:rsidRPr="006774D3" w:rsidRDefault="005F57F3" w:rsidP="00F77C66">
      <w:pPr>
        <w:rPr>
          <w:color w:val="000000"/>
          <w:sz w:val="22"/>
          <w:szCs w:val="22"/>
        </w:rPr>
      </w:pPr>
    </w:p>
    <w:p w14:paraId="05B8B61F" w14:textId="77777777" w:rsidR="005F57F3" w:rsidRPr="006774D3" w:rsidRDefault="005F57F3" w:rsidP="00F77C66">
      <w:pPr>
        <w:rPr>
          <w:color w:val="000000"/>
          <w:sz w:val="22"/>
          <w:szCs w:val="22"/>
        </w:rPr>
      </w:pPr>
      <w:r w:rsidRPr="006774D3">
        <w:rPr>
          <w:color w:val="000000"/>
          <w:sz w:val="22"/>
          <w:szCs w:val="22"/>
        </w:rPr>
        <w:t>Fyrir sjúklinga sem ekki geta gleypt filmuhúðuðu töflurnar, má leysa töflurnar upp í</w:t>
      </w:r>
      <w:r w:rsidR="004D468F" w:rsidRPr="006774D3">
        <w:rPr>
          <w:b/>
          <w:color w:val="000000"/>
          <w:sz w:val="22"/>
          <w:szCs w:val="22"/>
        </w:rPr>
        <w:t xml:space="preserve"> </w:t>
      </w:r>
      <w:r w:rsidR="004D468F" w:rsidRPr="006774D3">
        <w:rPr>
          <w:color w:val="000000"/>
          <w:sz w:val="22"/>
          <w:szCs w:val="22"/>
        </w:rPr>
        <w:t>venjulegu vatni</w:t>
      </w:r>
      <w:r w:rsidR="004D468F" w:rsidRPr="006774D3">
        <w:rPr>
          <w:b/>
          <w:color w:val="000000"/>
          <w:sz w:val="22"/>
          <w:szCs w:val="22"/>
        </w:rPr>
        <w:t xml:space="preserve"> </w:t>
      </w:r>
      <w:r w:rsidRPr="006774D3">
        <w:rPr>
          <w:color w:val="000000"/>
          <w:sz w:val="22"/>
          <w:szCs w:val="22"/>
        </w:rPr>
        <w:t>eða eplasafa. Setja skal þann fjölda af töflum sem þarf í viðeigandi magn af vökva (um 50 ml fyrir 100 mg töflu og 200 ml fyrir 400 mg töflu) og hræra í með skeið. Drekka á dreifuna strax eftir að taflan/töflurnar hafa losnað að fullu í sundur.</w:t>
      </w:r>
    </w:p>
    <w:p w14:paraId="05B8B620" w14:textId="77777777" w:rsidR="005F57F3" w:rsidRPr="006774D3" w:rsidRDefault="005F57F3" w:rsidP="00F77C66">
      <w:pPr>
        <w:rPr>
          <w:color w:val="000000"/>
          <w:sz w:val="22"/>
          <w:szCs w:val="22"/>
        </w:rPr>
      </w:pPr>
    </w:p>
    <w:p w14:paraId="05B8B621" w14:textId="77777777" w:rsidR="0066719E" w:rsidRPr="006774D3" w:rsidRDefault="0066719E" w:rsidP="00F77C66">
      <w:pPr>
        <w:pStyle w:val="Heading3"/>
        <w:rPr>
          <w:color w:val="000000"/>
          <w:szCs w:val="22"/>
        </w:rPr>
      </w:pPr>
      <w:r w:rsidRPr="006774D3">
        <w:rPr>
          <w:color w:val="000000"/>
          <w:szCs w:val="22"/>
        </w:rPr>
        <w:t>Skammtar við CML hjá fullorðnum sjúklingum</w:t>
      </w:r>
    </w:p>
    <w:p w14:paraId="05B8B622" w14:textId="77777777" w:rsidR="0066719E" w:rsidRPr="006774D3" w:rsidRDefault="0066719E" w:rsidP="00F77C66">
      <w:pPr>
        <w:rPr>
          <w:color w:val="000000"/>
          <w:sz w:val="22"/>
          <w:szCs w:val="22"/>
        </w:rPr>
      </w:pPr>
      <w:r w:rsidRPr="006774D3">
        <w:rPr>
          <w:color w:val="000000"/>
          <w:sz w:val="22"/>
          <w:szCs w:val="22"/>
        </w:rPr>
        <w:t xml:space="preserve">Ráðlagður skammtur af Glivec er 400 mg/sólarhring fyrir </w:t>
      </w:r>
      <w:r w:rsidR="007708B0" w:rsidRPr="006774D3">
        <w:rPr>
          <w:color w:val="000000"/>
          <w:sz w:val="22"/>
          <w:szCs w:val="22"/>
        </w:rPr>
        <w:t xml:space="preserve">fullorðna </w:t>
      </w:r>
      <w:r w:rsidRPr="006774D3">
        <w:rPr>
          <w:color w:val="000000"/>
          <w:sz w:val="22"/>
          <w:szCs w:val="22"/>
        </w:rPr>
        <w:t>sjúklinga með CML í stöðugum fasa. Skilgreining á CML í stöðugum fasa er þegar öll eftirfarandi skilmerki eru fyrirliggjandi: Kímfrumur (blasts) &lt; 15% í blóði og beinmerg, blákyrningar (basophils) í blóði &lt; 20%, blóðflögur &gt; 100 x 10</w:t>
      </w:r>
      <w:r w:rsidRPr="006774D3">
        <w:rPr>
          <w:color w:val="000000"/>
          <w:sz w:val="22"/>
          <w:szCs w:val="22"/>
          <w:vertAlign w:val="superscript"/>
        </w:rPr>
        <w:t>9</w:t>
      </w:r>
      <w:r w:rsidRPr="006774D3">
        <w:rPr>
          <w:color w:val="000000"/>
          <w:sz w:val="22"/>
          <w:szCs w:val="22"/>
        </w:rPr>
        <w:t>/l.</w:t>
      </w:r>
    </w:p>
    <w:p w14:paraId="05B8B623" w14:textId="77777777" w:rsidR="0066719E" w:rsidRPr="006774D3" w:rsidRDefault="0066719E" w:rsidP="00F77C66">
      <w:pPr>
        <w:rPr>
          <w:color w:val="000000"/>
          <w:sz w:val="22"/>
          <w:szCs w:val="22"/>
        </w:rPr>
      </w:pPr>
    </w:p>
    <w:p w14:paraId="05B8B624" w14:textId="77777777" w:rsidR="0066719E" w:rsidRPr="006774D3" w:rsidRDefault="0066719E" w:rsidP="00F77C66">
      <w:pPr>
        <w:rPr>
          <w:color w:val="000000"/>
          <w:sz w:val="22"/>
          <w:szCs w:val="22"/>
        </w:rPr>
      </w:pPr>
      <w:r w:rsidRPr="006774D3">
        <w:rPr>
          <w:color w:val="000000"/>
          <w:sz w:val="22"/>
          <w:szCs w:val="22"/>
        </w:rPr>
        <w:t xml:space="preserve">Ráðlagður skammtur af Glivec er 600 mg/sólarhring fyrir </w:t>
      </w:r>
      <w:r w:rsidR="007708B0" w:rsidRPr="006774D3">
        <w:rPr>
          <w:color w:val="000000"/>
          <w:sz w:val="22"/>
          <w:szCs w:val="22"/>
        </w:rPr>
        <w:t xml:space="preserve">fullorðna </w:t>
      </w:r>
      <w:r w:rsidRPr="006774D3">
        <w:rPr>
          <w:color w:val="000000"/>
          <w:sz w:val="22"/>
          <w:szCs w:val="22"/>
        </w:rPr>
        <w:t>sjúklinga í hröðunarfasa. Skilgreining á hröðunar</w:t>
      </w:r>
      <w:r w:rsidRPr="006774D3">
        <w:rPr>
          <w:color w:val="000000"/>
          <w:sz w:val="22"/>
          <w:szCs w:val="22"/>
        </w:rPr>
        <w:softHyphen/>
        <w:t>fasa er þegar eitthvað af eftirfarandi er til staðar: Kímfrumur (blasts) ≥ 15% en &lt; 30% í blóði eða beinmerg, kímfrumur (blasts) ásamt formerglingum (promyelocytes) ≥ 30% í blóði eða beinmerg (að því gefnu að kím</w:t>
      </w:r>
      <w:r w:rsidRPr="006774D3">
        <w:rPr>
          <w:color w:val="000000"/>
          <w:sz w:val="22"/>
          <w:szCs w:val="22"/>
        </w:rPr>
        <w:softHyphen/>
        <w:t>frumur (blasts) &lt; 30%), blákyrningar (basophils) í blóði ≥ 20%, blóðflögur &lt; 100 x 10</w:t>
      </w:r>
      <w:r w:rsidRPr="006774D3">
        <w:rPr>
          <w:color w:val="000000"/>
          <w:sz w:val="22"/>
          <w:szCs w:val="22"/>
          <w:vertAlign w:val="superscript"/>
        </w:rPr>
        <w:t>9</w:t>
      </w:r>
      <w:r w:rsidRPr="006774D3">
        <w:rPr>
          <w:color w:val="000000"/>
          <w:sz w:val="22"/>
          <w:szCs w:val="22"/>
        </w:rPr>
        <w:t>/l ótengt meðferð.</w:t>
      </w:r>
    </w:p>
    <w:p w14:paraId="05B8B625" w14:textId="77777777" w:rsidR="0066719E" w:rsidRPr="006774D3" w:rsidRDefault="0066719E" w:rsidP="00F77C66">
      <w:pPr>
        <w:rPr>
          <w:color w:val="000000"/>
          <w:sz w:val="22"/>
          <w:szCs w:val="22"/>
        </w:rPr>
      </w:pPr>
    </w:p>
    <w:p w14:paraId="05B8B626" w14:textId="77777777" w:rsidR="0066719E" w:rsidRPr="006774D3" w:rsidRDefault="0066719E" w:rsidP="00F77C66">
      <w:pPr>
        <w:rPr>
          <w:color w:val="000000"/>
          <w:sz w:val="22"/>
          <w:szCs w:val="22"/>
        </w:rPr>
      </w:pPr>
      <w:r w:rsidRPr="006774D3">
        <w:rPr>
          <w:color w:val="000000"/>
          <w:sz w:val="22"/>
          <w:szCs w:val="22"/>
        </w:rPr>
        <w:t xml:space="preserve">Ráðlagður skammtur af Glivec er 600 mg/sólarhring fyrir </w:t>
      </w:r>
      <w:r w:rsidR="007708B0" w:rsidRPr="006774D3">
        <w:rPr>
          <w:color w:val="000000"/>
          <w:sz w:val="22"/>
          <w:szCs w:val="22"/>
        </w:rPr>
        <w:t xml:space="preserve">fullorðna </w:t>
      </w:r>
      <w:r w:rsidRPr="006774D3">
        <w:rPr>
          <w:color w:val="000000"/>
          <w:sz w:val="22"/>
          <w:szCs w:val="22"/>
        </w:rPr>
        <w:t>sjúklinga í bráðafasa (blast crisis). Skilgreining á bráðafasa er kímfrumur (blasts) ≥ 30% í blóði eða beinmerg eða sjúkdómur utan beinmergs, annar en lifrar- og miltisstækkun.</w:t>
      </w:r>
    </w:p>
    <w:p w14:paraId="05B8B627" w14:textId="77777777" w:rsidR="0066719E" w:rsidRPr="006774D3" w:rsidRDefault="0066719E" w:rsidP="00F77C66">
      <w:pPr>
        <w:rPr>
          <w:color w:val="000000"/>
          <w:sz w:val="22"/>
          <w:szCs w:val="22"/>
        </w:rPr>
      </w:pPr>
    </w:p>
    <w:p w14:paraId="05B8B628" w14:textId="77777777" w:rsidR="0066719E" w:rsidRPr="006774D3" w:rsidRDefault="0066719E" w:rsidP="00F77C66">
      <w:pPr>
        <w:rPr>
          <w:color w:val="000000"/>
          <w:sz w:val="22"/>
          <w:szCs w:val="22"/>
        </w:rPr>
      </w:pPr>
      <w:r w:rsidRPr="006774D3">
        <w:rPr>
          <w:color w:val="000000"/>
          <w:sz w:val="22"/>
          <w:szCs w:val="22"/>
        </w:rPr>
        <w:lastRenderedPageBreak/>
        <w:t>Meðferðarlengd: Í klínískum rannsóknum var meðferð með Glivec haldið áfram þar til sjúkdómurinn tók að versna. Ekki hefur verið rannsakað hvaða áhrif það hefur að stöðva meðferð eftir að full</w:t>
      </w:r>
      <w:r w:rsidR="003C5A06" w:rsidRPr="006774D3">
        <w:rPr>
          <w:color w:val="000000"/>
          <w:sz w:val="22"/>
          <w:szCs w:val="22"/>
        </w:rPr>
        <w:t xml:space="preserve">ri </w:t>
      </w:r>
      <w:r w:rsidRPr="006774D3">
        <w:rPr>
          <w:color w:val="000000"/>
          <w:sz w:val="22"/>
          <w:szCs w:val="22"/>
        </w:rPr>
        <w:t>litningasvörun er náð.</w:t>
      </w:r>
    </w:p>
    <w:p w14:paraId="05B8B629" w14:textId="77777777" w:rsidR="0066719E" w:rsidRPr="006774D3" w:rsidRDefault="0066719E" w:rsidP="00F77C66">
      <w:pPr>
        <w:rPr>
          <w:color w:val="000000"/>
          <w:sz w:val="22"/>
          <w:szCs w:val="22"/>
        </w:rPr>
      </w:pPr>
    </w:p>
    <w:p w14:paraId="05B8B62A" w14:textId="77777777" w:rsidR="0066719E" w:rsidRPr="006774D3" w:rsidRDefault="0066719E" w:rsidP="00F77C66">
      <w:pPr>
        <w:rPr>
          <w:color w:val="000000"/>
          <w:sz w:val="22"/>
          <w:szCs w:val="22"/>
        </w:rPr>
      </w:pPr>
      <w:r w:rsidRPr="006774D3">
        <w:rPr>
          <w:color w:val="000000"/>
          <w:sz w:val="22"/>
          <w:szCs w:val="22"/>
        </w:rPr>
        <w:t>Íhuga má aukningu skammta úr 400 mg í 600 mg eða 800 mg hjá sjúklingum með sjúkdóminn í stöðugum fasa, eða úr 600 mg í mest 800 mg (gefið sem 400 mg tvisvar sinnum á sólarhring) hjá sjúklingum í hröðunarfasa eða í bráðafasa, ef ekki koma fram alvarlegar aukaverkanir og ekki alvarleg daufkyrningafæð (neutropenia) eða blóðflagnafæð sem ekki tengjast hvítblæðinu, við eftirfarandi aðstæður: Versnun sjúkdóms (hvenær sem er); viðunandi blóðsvörun næst ekki þótt meðferð hafi staðið í a.m.k. 3 mánuði; litningasvörun hefur ekki náðst eftir 12 mánaða meðferð; eða tap á blóðsvörun og/eða litningasvörun sem áður hafði áunnist. Fylgjast skal vandlega með sjúklingum eftir að skammtar hafa verið auknir vegna þess að hugsanlegt er að tíðni aukaverkana sé meiri við stærri skammta.</w:t>
      </w:r>
    </w:p>
    <w:p w14:paraId="05B8B62B" w14:textId="77777777" w:rsidR="0066719E" w:rsidRPr="006774D3" w:rsidRDefault="0066719E" w:rsidP="00F77C66">
      <w:pPr>
        <w:rPr>
          <w:color w:val="000000"/>
          <w:sz w:val="22"/>
          <w:szCs w:val="22"/>
        </w:rPr>
      </w:pPr>
    </w:p>
    <w:p w14:paraId="05B8B62C" w14:textId="77777777" w:rsidR="0066719E" w:rsidRPr="006774D3" w:rsidRDefault="0066719E" w:rsidP="00F77C66">
      <w:pPr>
        <w:keepNext/>
        <w:rPr>
          <w:color w:val="000000"/>
          <w:sz w:val="22"/>
          <w:szCs w:val="22"/>
          <w:u w:val="single"/>
        </w:rPr>
      </w:pPr>
      <w:r w:rsidRPr="006774D3">
        <w:rPr>
          <w:color w:val="000000"/>
          <w:sz w:val="22"/>
          <w:szCs w:val="22"/>
          <w:u w:val="single"/>
        </w:rPr>
        <w:t>Skammtar við CML hjá börnum</w:t>
      </w:r>
    </w:p>
    <w:p w14:paraId="05B8B62D" w14:textId="77777777" w:rsidR="0066719E" w:rsidRPr="006774D3" w:rsidRDefault="0066719E" w:rsidP="00F77C66">
      <w:pPr>
        <w:rPr>
          <w:color w:val="000000"/>
          <w:sz w:val="22"/>
          <w:szCs w:val="22"/>
        </w:rPr>
      </w:pPr>
      <w:r w:rsidRPr="006774D3">
        <w:rPr>
          <w:color w:val="000000"/>
          <w:sz w:val="22"/>
          <w:szCs w:val="22"/>
        </w:rPr>
        <w:t>Skammtar handa börnum eiga að grundvallast á líkamsyfirborði (mg/m²). Mælt er með skammtinum 340 mg/m² á sólarhring handa börnum með CML í stöðugum fasa og í langt gengnum fasa (ekki má nota stærri skammt en 800 mg á sólarhring). Gefa má lyfið í einum skammti á dag eða skipta sólarhringsskammtinum í tvennt, einn skammt að morgni og einn skammt að kvöldi. Skammta</w:t>
      </w:r>
      <w:r w:rsidRPr="006774D3">
        <w:rPr>
          <w:color w:val="000000"/>
          <w:sz w:val="22"/>
          <w:szCs w:val="22"/>
        </w:rPr>
        <w:softHyphen/>
        <w:t>ráðleggingarnar eru þessa stundina byggðar á fáum börnum (sjá kafla 5.1 og 5.2). Engin reynsla er af notkun lyfsins handa börnum undir 2 ára aldri.</w:t>
      </w:r>
    </w:p>
    <w:p w14:paraId="05B8B62E" w14:textId="77777777" w:rsidR="0066719E" w:rsidRPr="006774D3" w:rsidRDefault="0066719E" w:rsidP="00F77C66">
      <w:pPr>
        <w:rPr>
          <w:color w:val="000000"/>
          <w:sz w:val="22"/>
          <w:szCs w:val="22"/>
        </w:rPr>
      </w:pPr>
    </w:p>
    <w:p w14:paraId="05B8B62F" w14:textId="77777777" w:rsidR="0066719E" w:rsidRPr="006774D3" w:rsidRDefault="0066719E" w:rsidP="00F77C66">
      <w:pPr>
        <w:rPr>
          <w:color w:val="000000"/>
          <w:sz w:val="22"/>
          <w:szCs w:val="22"/>
        </w:rPr>
      </w:pPr>
      <w:r w:rsidRPr="006774D3">
        <w:rPr>
          <w:color w:val="000000"/>
          <w:sz w:val="22"/>
          <w:szCs w:val="22"/>
        </w:rPr>
        <w:t>Íhuga má aukningu skammta úr 340 mg/m² daglega í 570 mg/m² daglega (þó má ekki fara yfir heildar</w:t>
      </w:r>
      <w:r w:rsidRPr="006774D3">
        <w:rPr>
          <w:color w:val="000000"/>
          <w:sz w:val="22"/>
          <w:szCs w:val="22"/>
        </w:rPr>
        <w:softHyphen/>
        <w:t>skammtinn 800 mg) hjá börnum ef ekki koma fram alvarlegar aukaverkanir og ekki alvarleg daufkyrninga</w:t>
      </w:r>
      <w:r w:rsidRPr="006774D3">
        <w:rPr>
          <w:color w:val="000000"/>
          <w:sz w:val="22"/>
          <w:szCs w:val="22"/>
        </w:rPr>
        <w:softHyphen/>
        <w:t>fæð (neutropenia) eða blóðflagnafæð sem ekki tengjast hvítblæðinu, við eftirfarandi aðstæður: Versnun sjúkdóms (hvenær sem er); viðunandi blóðsvörun næst ekki þótt meðferð hafi staðið í a.m.k. 3 mánuði; litninga</w:t>
      </w:r>
      <w:r w:rsidRPr="006774D3">
        <w:rPr>
          <w:color w:val="000000"/>
          <w:sz w:val="22"/>
          <w:szCs w:val="22"/>
        </w:rPr>
        <w:softHyphen/>
        <w:t>svörun hefur ekki náðst eftir 12 mánaða meðferð; eða tap á blóðsvörun og/eða litningasvörun sem áður hafði áunnist. Fylgjast skal vandlega með sjúklingum eftir að skammtar hafa verið auknir vegna þess að hugsanlegt er að tíðni aukaverkana sé meiri við stærri skammta.</w:t>
      </w:r>
    </w:p>
    <w:p w14:paraId="05B8B630" w14:textId="77777777" w:rsidR="0066719E" w:rsidRPr="006774D3" w:rsidRDefault="0066719E" w:rsidP="00F77C66">
      <w:pPr>
        <w:rPr>
          <w:color w:val="000000"/>
          <w:sz w:val="22"/>
          <w:szCs w:val="22"/>
        </w:rPr>
      </w:pPr>
    </w:p>
    <w:p w14:paraId="05B8B631" w14:textId="77777777" w:rsidR="0066719E" w:rsidRPr="006774D3" w:rsidRDefault="0066719E" w:rsidP="00F77C66">
      <w:pPr>
        <w:keepNext/>
        <w:rPr>
          <w:color w:val="000000"/>
          <w:sz w:val="22"/>
          <w:szCs w:val="22"/>
          <w:u w:val="single"/>
        </w:rPr>
      </w:pPr>
      <w:r w:rsidRPr="006774D3">
        <w:rPr>
          <w:color w:val="000000"/>
          <w:sz w:val="22"/>
          <w:szCs w:val="22"/>
          <w:u w:val="single"/>
        </w:rPr>
        <w:t>Skammtar við Ph+ ALL</w:t>
      </w:r>
      <w:r w:rsidR="009D0392" w:rsidRPr="006774D3">
        <w:rPr>
          <w:color w:val="000000"/>
          <w:sz w:val="22"/>
          <w:szCs w:val="22"/>
          <w:u w:val="single"/>
        </w:rPr>
        <w:t xml:space="preserve"> hjá fullorðnum sjúklingum</w:t>
      </w:r>
    </w:p>
    <w:p w14:paraId="05B8B632" w14:textId="77777777" w:rsidR="0066719E" w:rsidRPr="006774D3" w:rsidRDefault="0066719E" w:rsidP="00F77C66">
      <w:pPr>
        <w:rPr>
          <w:color w:val="000000"/>
          <w:sz w:val="22"/>
          <w:szCs w:val="22"/>
        </w:rPr>
      </w:pPr>
      <w:r w:rsidRPr="006774D3">
        <w:rPr>
          <w:color w:val="000000"/>
          <w:sz w:val="22"/>
          <w:szCs w:val="22"/>
        </w:rPr>
        <w:t xml:space="preserve">Ráðlagður skammtur af Glivec er 600 mg/sólarhring fyrir </w:t>
      </w:r>
      <w:r w:rsidR="007708B0" w:rsidRPr="006774D3">
        <w:rPr>
          <w:color w:val="000000"/>
          <w:sz w:val="22"/>
          <w:szCs w:val="22"/>
        </w:rPr>
        <w:t xml:space="preserve">fullorðna </w:t>
      </w:r>
      <w:r w:rsidRPr="006774D3">
        <w:rPr>
          <w:color w:val="000000"/>
          <w:sz w:val="22"/>
          <w:szCs w:val="22"/>
        </w:rPr>
        <w:t>sjúklinga með Ph+ ALL. Blóðsjúkdómafræðingar með sérþekkingu á meðferð við þessum sjúkdómi eiga að hafa yfirumsjón með öllum köflum meðferðarinnar.</w:t>
      </w:r>
    </w:p>
    <w:p w14:paraId="05B8B633" w14:textId="77777777" w:rsidR="0066719E" w:rsidRPr="006774D3" w:rsidRDefault="0066719E" w:rsidP="00F77C66">
      <w:pPr>
        <w:rPr>
          <w:color w:val="000000"/>
          <w:sz w:val="22"/>
          <w:szCs w:val="22"/>
        </w:rPr>
      </w:pPr>
    </w:p>
    <w:p w14:paraId="05B8B634" w14:textId="77777777" w:rsidR="0066719E" w:rsidRPr="006774D3" w:rsidRDefault="0066719E" w:rsidP="00F77C66">
      <w:pPr>
        <w:rPr>
          <w:color w:val="000000"/>
          <w:sz w:val="22"/>
          <w:szCs w:val="22"/>
        </w:rPr>
      </w:pPr>
      <w:r w:rsidRPr="006774D3">
        <w:rPr>
          <w:color w:val="000000"/>
          <w:sz w:val="22"/>
          <w:szCs w:val="22"/>
        </w:rPr>
        <w:t>Meðferðaráætlun: Á grundvelli fyrirliggjandi upplýsinga hefur verið sýnt fram á verkun og öryggi Glivec í skammtinum 600 mg/sólarhring samhliða innleiðslukafla meðferðar sem byggist á krabba</w:t>
      </w:r>
      <w:r w:rsidRPr="006774D3">
        <w:rPr>
          <w:color w:val="000000"/>
          <w:sz w:val="22"/>
          <w:szCs w:val="22"/>
        </w:rPr>
        <w:softHyphen/>
        <w:t>meins</w:t>
      </w:r>
      <w:r w:rsidRPr="006774D3">
        <w:rPr>
          <w:color w:val="000000"/>
          <w:sz w:val="22"/>
          <w:szCs w:val="22"/>
        </w:rPr>
        <w:softHyphen/>
        <w:t>lyfjum (induction phase), upprætingarkafla krabbameinslyfjameðferðar (consolidation chemotherapy) og viðhalds</w:t>
      </w:r>
      <w:r w:rsidRPr="006774D3">
        <w:rPr>
          <w:color w:val="000000"/>
          <w:sz w:val="22"/>
          <w:szCs w:val="22"/>
        </w:rPr>
        <w:softHyphen/>
        <w:t>kafla krabbameinslyfjameðferðar (sjá kafla 5.1), hjá fullorðnum sjúklingum með nýlega greint Ph+ ALL. Lengd meðferðar með Glivec getur verið breytileg eftir meðferðar</w:t>
      </w:r>
      <w:r w:rsidRPr="006774D3">
        <w:rPr>
          <w:color w:val="000000"/>
          <w:sz w:val="22"/>
          <w:szCs w:val="22"/>
        </w:rPr>
        <w:softHyphen/>
        <w:t>áætluninni sem valin er, en almennt gildir að lengri notkun Glivec hefur skilað betri árangri.</w:t>
      </w:r>
    </w:p>
    <w:p w14:paraId="05B8B635" w14:textId="77777777" w:rsidR="0066719E" w:rsidRPr="006774D3" w:rsidRDefault="0066719E" w:rsidP="00F77C66">
      <w:pPr>
        <w:rPr>
          <w:color w:val="000000"/>
          <w:sz w:val="22"/>
          <w:szCs w:val="22"/>
        </w:rPr>
      </w:pPr>
    </w:p>
    <w:p w14:paraId="05B8B636" w14:textId="77777777" w:rsidR="0066719E" w:rsidRPr="006774D3" w:rsidRDefault="0066719E" w:rsidP="00F77C66">
      <w:pPr>
        <w:rPr>
          <w:color w:val="000000"/>
          <w:sz w:val="22"/>
          <w:szCs w:val="22"/>
        </w:rPr>
      </w:pPr>
      <w:r w:rsidRPr="006774D3">
        <w:rPr>
          <w:color w:val="000000"/>
          <w:sz w:val="22"/>
          <w:szCs w:val="22"/>
        </w:rPr>
        <w:t>Um fullorðna sjúklinga með endurkomið eða þrálátt Ph+ ALL gildir að meðferð með Glivec einu sér, í skammtinum 600 mg/sólarhring, er örugg og virk og nota má lyfið þar til sjúkdómurinn tekur að versna.</w:t>
      </w:r>
    </w:p>
    <w:p w14:paraId="05B8B637" w14:textId="77777777" w:rsidR="009D0392" w:rsidRPr="006774D3" w:rsidRDefault="009D0392" w:rsidP="00F77C66">
      <w:pPr>
        <w:rPr>
          <w:color w:val="000000"/>
          <w:sz w:val="22"/>
          <w:szCs w:val="22"/>
        </w:rPr>
      </w:pPr>
    </w:p>
    <w:p w14:paraId="05B8B638" w14:textId="77777777" w:rsidR="009D0392" w:rsidRPr="006774D3" w:rsidRDefault="009D0392" w:rsidP="00F77C66">
      <w:pPr>
        <w:keepNext/>
        <w:rPr>
          <w:color w:val="000000"/>
          <w:sz w:val="22"/>
          <w:szCs w:val="22"/>
          <w:u w:val="single"/>
        </w:rPr>
      </w:pPr>
      <w:r w:rsidRPr="006774D3">
        <w:rPr>
          <w:color w:val="000000"/>
          <w:sz w:val="22"/>
          <w:szCs w:val="22"/>
          <w:u w:val="single"/>
        </w:rPr>
        <w:t>Skammtar við Ph+ ALL hjá börnum</w:t>
      </w:r>
    </w:p>
    <w:p w14:paraId="05B8B639" w14:textId="77777777" w:rsidR="009D0392" w:rsidRPr="006774D3" w:rsidRDefault="009D0392" w:rsidP="00F77C66">
      <w:pPr>
        <w:rPr>
          <w:color w:val="000000"/>
          <w:sz w:val="22"/>
          <w:szCs w:val="22"/>
        </w:rPr>
      </w:pPr>
      <w:r w:rsidRPr="006774D3">
        <w:rPr>
          <w:color w:val="000000"/>
          <w:sz w:val="22"/>
          <w:szCs w:val="22"/>
        </w:rPr>
        <w:t>Skammtar handa börnum eiga að grundvallast á líkamsyfirborði (mg/m²). Mælt er með skammtinum 340 mg/m² á sólarhring handa börnum með Ph+ ALL (ekki má nota stærri skammt en 600 mg á sólarhring).</w:t>
      </w:r>
    </w:p>
    <w:p w14:paraId="05B8B63A" w14:textId="77777777" w:rsidR="0066719E" w:rsidRPr="006774D3" w:rsidRDefault="0066719E" w:rsidP="00F77C66">
      <w:pPr>
        <w:rPr>
          <w:color w:val="000000"/>
          <w:sz w:val="22"/>
          <w:szCs w:val="22"/>
        </w:rPr>
      </w:pPr>
    </w:p>
    <w:p w14:paraId="05B8B63B" w14:textId="77777777" w:rsidR="0066719E" w:rsidRPr="006774D3" w:rsidRDefault="0066719E" w:rsidP="00F77C66">
      <w:pPr>
        <w:keepNext/>
        <w:rPr>
          <w:color w:val="000000"/>
          <w:sz w:val="22"/>
          <w:szCs w:val="22"/>
          <w:u w:val="single"/>
        </w:rPr>
      </w:pPr>
      <w:r w:rsidRPr="006774D3">
        <w:rPr>
          <w:color w:val="000000"/>
          <w:sz w:val="22"/>
          <w:szCs w:val="22"/>
          <w:u w:val="single"/>
        </w:rPr>
        <w:t>Skammtar við MDS/MPD</w:t>
      </w:r>
    </w:p>
    <w:p w14:paraId="05B8B63C" w14:textId="77777777" w:rsidR="0066719E" w:rsidRPr="006774D3" w:rsidRDefault="0066719E" w:rsidP="00F77C66">
      <w:pPr>
        <w:rPr>
          <w:color w:val="000000"/>
          <w:sz w:val="22"/>
          <w:szCs w:val="22"/>
        </w:rPr>
      </w:pPr>
      <w:r w:rsidRPr="006774D3">
        <w:rPr>
          <w:color w:val="000000"/>
          <w:sz w:val="22"/>
          <w:szCs w:val="22"/>
        </w:rPr>
        <w:t xml:space="preserve">Ráðlagður skammtur af Glivec er 400 mg/sólarhring fyrir </w:t>
      </w:r>
      <w:r w:rsidR="007708B0" w:rsidRPr="006774D3">
        <w:rPr>
          <w:color w:val="000000"/>
          <w:sz w:val="22"/>
          <w:szCs w:val="22"/>
        </w:rPr>
        <w:t xml:space="preserve">fullorðna </w:t>
      </w:r>
      <w:r w:rsidRPr="006774D3">
        <w:rPr>
          <w:color w:val="000000"/>
          <w:sz w:val="22"/>
          <w:szCs w:val="22"/>
        </w:rPr>
        <w:t>sjúklinga með MDS/MPD.</w:t>
      </w:r>
    </w:p>
    <w:p w14:paraId="05B8B63D" w14:textId="77777777" w:rsidR="0066719E" w:rsidRPr="006774D3" w:rsidRDefault="0066719E" w:rsidP="00F77C66">
      <w:pPr>
        <w:rPr>
          <w:color w:val="000000"/>
          <w:sz w:val="22"/>
          <w:szCs w:val="22"/>
        </w:rPr>
      </w:pPr>
    </w:p>
    <w:p w14:paraId="05B8B63E" w14:textId="77777777" w:rsidR="0066719E" w:rsidRPr="006774D3" w:rsidRDefault="0066719E" w:rsidP="00F77C66">
      <w:pPr>
        <w:rPr>
          <w:color w:val="000000"/>
          <w:sz w:val="22"/>
          <w:szCs w:val="22"/>
        </w:rPr>
      </w:pPr>
      <w:r w:rsidRPr="006774D3">
        <w:rPr>
          <w:color w:val="000000"/>
          <w:sz w:val="22"/>
          <w:szCs w:val="22"/>
        </w:rPr>
        <w:lastRenderedPageBreak/>
        <w:t>Meðferðarlengd: Í einu klínísku rannsókninni sem gerð hefur verið hingað til var meðferð með Glivec haldið áfram þar til sjúkdómurinn tók að versna (sjá kafla 5.1). Þegar greining upplýsinga fór fram var miðgildi meðferðarlengdar 47 mánuðir (24 dagar </w:t>
      </w:r>
      <w:r w:rsidRPr="006774D3">
        <w:rPr>
          <w:color w:val="000000"/>
          <w:sz w:val="22"/>
          <w:szCs w:val="22"/>
        </w:rPr>
        <w:noBreakHyphen/>
        <w:t> 60 mánuðir).</w:t>
      </w:r>
    </w:p>
    <w:p w14:paraId="05B8B63F" w14:textId="77777777" w:rsidR="0066719E" w:rsidRPr="006774D3" w:rsidRDefault="0066719E" w:rsidP="00F77C66">
      <w:pPr>
        <w:rPr>
          <w:color w:val="000000"/>
          <w:sz w:val="22"/>
          <w:szCs w:val="22"/>
        </w:rPr>
      </w:pPr>
    </w:p>
    <w:p w14:paraId="05B8B640" w14:textId="77777777" w:rsidR="0066719E" w:rsidRPr="006774D3" w:rsidRDefault="0066719E" w:rsidP="00F77C66">
      <w:pPr>
        <w:keepNext/>
        <w:rPr>
          <w:color w:val="000000"/>
          <w:sz w:val="22"/>
          <w:szCs w:val="22"/>
          <w:u w:val="single"/>
        </w:rPr>
      </w:pPr>
      <w:r w:rsidRPr="006774D3">
        <w:rPr>
          <w:color w:val="000000"/>
          <w:sz w:val="22"/>
          <w:szCs w:val="22"/>
          <w:u w:val="single"/>
        </w:rPr>
        <w:t>Skammtar við HES/CEL</w:t>
      </w:r>
    </w:p>
    <w:p w14:paraId="05B8B641" w14:textId="77777777" w:rsidR="0066719E" w:rsidRPr="006774D3" w:rsidRDefault="0066719E" w:rsidP="00F77C66">
      <w:pPr>
        <w:rPr>
          <w:color w:val="000000"/>
          <w:sz w:val="22"/>
          <w:szCs w:val="22"/>
        </w:rPr>
      </w:pPr>
      <w:r w:rsidRPr="006774D3">
        <w:rPr>
          <w:color w:val="000000"/>
          <w:sz w:val="22"/>
          <w:szCs w:val="22"/>
        </w:rPr>
        <w:t xml:space="preserve">Ráðlagður skammtur af Glivec er 100 mg/sólarhring handa </w:t>
      </w:r>
      <w:r w:rsidR="007708B0" w:rsidRPr="006774D3">
        <w:rPr>
          <w:color w:val="000000"/>
          <w:sz w:val="22"/>
          <w:szCs w:val="22"/>
        </w:rPr>
        <w:t xml:space="preserve">fullorðnum </w:t>
      </w:r>
      <w:r w:rsidRPr="006774D3">
        <w:rPr>
          <w:color w:val="000000"/>
          <w:sz w:val="22"/>
          <w:szCs w:val="22"/>
        </w:rPr>
        <w:t>sjúklingum með HES/CEL.</w:t>
      </w:r>
    </w:p>
    <w:p w14:paraId="05B8B642" w14:textId="77777777" w:rsidR="0066719E" w:rsidRPr="006774D3" w:rsidRDefault="0066719E" w:rsidP="00F77C66">
      <w:pPr>
        <w:rPr>
          <w:color w:val="000000"/>
          <w:sz w:val="22"/>
          <w:szCs w:val="22"/>
        </w:rPr>
      </w:pPr>
    </w:p>
    <w:p w14:paraId="05B8B643" w14:textId="77777777" w:rsidR="0066719E" w:rsidRPr="006774D3" w:rsidRDefault="0066719E" w:rsidP="00F77C66">
      <w:pPr>
        <w:rPr>
          <w:color w:val="000000"/>
          <w:sz w:val="22"/>
          <w:szCs w:val="22"/>
        </w:rPr>
      </w:pPr>
      <w:r w:rsidRPr="006774D3">
        <w:rPr>
          <w:color w:val="000000"/>
          <w:sz w:val="22"/>
          <w:szCs w:val="22"/>
        </w:rPr>
        <w:t>Íhuga má að stækka skammtinn úr 100 mg í 400 mg hafi ekki komið fram aukaverkanir, ef mat á sjúklingunum leiðir í ljós ófullnægjandi svörun við meðferðinni.</w:t>
      </w:r>
    </w:p>
    <w:p w14:paraId="05B8B644" w14:textId="77777777" w:rsidR="0066719E" w:rsidRPr="006774D3" w:rsidRDefault="0066719E" w:rsidP="00F77C66">
      <w:pPr>
        <w:rPr>
          <w:color w:val="000000"/>
          <w:sz w:val="22"/>
          <w:szCs w:val="22"/>
        </w:rPr>
      </w:pPr>
    </w:p>
    <w:p w14:paraId="05B8B645" w14:textId="77777777" w:rsidR="0066719E" w:rsidRPr="006774D3" w:rsidRDefault="0066719E" w:rsidP="00F77C66">
      <w:pPr>
        <w:rPr>
          <w:color w:val="000000"/>
          <w:sz w:val="22"/>
          <w:szCs w:val="22"/>
        </w:rPr>
      </w:pPr>
      <w:r w:rsidRPr="006774D3">
        <w:rPr>
          <w:color w:val="000000"/>
          <w:sz w:val="22"/>
          <w:szCs w:val="22"/>
        </w:rPr>
        <w:t>Halda skal meðferð áfram svo lengi sem sjúklingur hefur ávinning af henni.</w:t>
      </w:r>
    </w:p>
    <w:p w14:paraId="05B8B646" w14:textId="77777777" w:rsidR="0066719E" w:rsidRPr="006774D3" w:rsidRDefault="0066719E" w:rsidP="00F77C66">
      <w:pPr>
        <w:rPr>
          <w:color w:val="000000"/>
          <w:sz w:val="22"/>
          <w:szCs w:val="22"/>
        </w:rPr>
      </w:pPr>
    </w:p>
    <w:p w14:paraId="05B8B647" w14:textId="77777777" w:rsidR="0066719E" w:rsidRPr="006774D3" w:rsidRDefault="0066719E" w:rsidP="00F77C66">
      <w:pPr>
        <w:pStyle w:val="Heading3"/>
        <w:rPr>
          <w:color w:val="000000"/>
          <w:szCs w:val="22"/>
        </w:rPr>
      </w:pPr>
      <w:r w:rsidRPr="006774D3">
        <w:rPr>
          <w:color w:val="000000"/>
          <w:szCs w:val="22"/>
        </w:rPr>
        <w:t>Skammtar við GIST</w:t>
      </w:r>
    </w:p>
    <w:p w14:paraId="05B8B648" w14:textId="77777777" w:rsidR="0066719E" w:rsidRPr="006774D3" w:rsidRDefault="0066719E" w:rsidP="00F77C66">
      <w:pPr>
        <w:rPr>
          <w:color w:val="000000"/>
          <w:sz w:val="22"/>
          <w:szCs w:val="22"/>
        </w:rPr>
      </w:pPr>
      <w:r w:rsidRPr="006774D3">
        <w:rPr>
          <w:color w:val="000000"/>
          <w:sz w:val="22"/>
          <w:szCs w:val="22"/>
        </w:rPr>
        <w:t xml:space="preserve">Ráðlagður skammtur af Glivec er 400 mg/sólarhring handa </w:t>
      </w:r>
      <w:r w:rsidR="007708B0" w:rsidRPr="006774D3">
        <w:rPr>
          <w:color w:val="000000"/>
          <w:sz w:val="22"/>
          <w:szCs w:val="22"/>
        </w:rPr>
        <w:t xml:space="preserve">fullorðnum </w:t>
      </w:r>
      <w:r w:rsidRPr="006774D3">
        <w:rPr>
          <w:color w:val="000000"/>
          <w:sz w:val="22"/>
          <w:szCs w:val="22"/>
        </w:rPr>
        <w:t>sjúklingum með óskurðtæk og/eða illkynja GIST með meinvörpum.</w:t>
      </w:r>
    </w:p>
    <w:p w14:paraId="05B8B649" w14:textId="77777777" w:rsidR="0066719E" w:rsidRPr="006774D3" w:rsidRDefault="0066719E" w:rsidP="00F77C66">
      <w:pPr>
        <w:rPr>
          <w:color w:val="000000"/>
          <w:sz w:val="22"/>
          <w:szCs w:val="22"/>
        </w:rPr>
      </w:pPr>
    </w:p>
    <w:p w14:paraId="05B8B64A" w14:textId="77777777" w:rsidR="0066719E" w:rsidRPr="006774D3" w:rsidRDefault="0066719E" w:rsidP="00F77C66">
      <w:pPr>
        <w:rPr>
          <w:color w:val="000000"/>
          <w:sz w:val="22"/>
          <w:szCs w:val="22"/>
        </w:rPr>
      </w:pPr>
      <w:r w:rsidRPr="006774D3">
        <w:rPr>
          <w:color w:val="000000"/>
          <w:sz w:val="22"/>
          <w:szCs w:val="22"/>
        </w:rPr>
        <w:t>Takmarkaðar upplýsingar liggja fyrir um aukningu skammta úr 400 mg í 600 mg eða 800 mg hjá sjúklingum þar sem sjúkdómurinn hefur farið versnandi við minni skammta (sjá kafla 5.1).</w:t>
      </w:r>
    </w:p>
    <w:p w14:paraId="05B8B64B" w14:textId="77777777" w:rsidR="0066719E" w:rsidRPr="006774D3" w:rsidRDefault="0066719E" w:rsidP="00F77C66">
      <w:pPr>
        <w:rPr>
          <w:color w:val="000000"/>
          <w:sz w:val="22"/>
          <w:szCs w:val="22"/>
        </w:rPr>
      </w:pPr>
    </w:p>
    <w:p w14:paraId="05B8B64C" w14:textId="77777777" w:rsidR="0066719E" w:rsidRPr="006774D3" w:rsidRDefault="0066719E"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Meðferðarlengd: Í klínískum rannsóknum hjá GIST sjúklingum var meðferð með Glivec haldið áfram þar til sjúkdómurinn tók að versna. Þegar greining á upplýsingum fór fram var miðgildi meðferðar</w:t>
      </w:r>
      <w:r w:rsidRPr="006774D3">
        <w:rPr>
          <w:rFonts w:ascii="Times New Roman" w:hAnsi="Times New Roman"/>
          <w:color w:val="000000"/>
          <w:szCs w:val="22"/>
          <w:lang w:val="is-IS"/>
        </w:rPr>
        <w:softHyphen/>
        <w:t>lengdar 7 mánuðir (7 dagar til 13 mánuðir). Áhrif þess að stöðva meðferð eftir að svörun hefur fengist hafa ekki verið rannsökuð.</w:t>
      </w:r>
    </w:p>
    <w:p w14:paraId="05B8B64D" w14:textId="77777777" w:rsidR="0066719E" w:rsidRPr="006774D3" w:rsidRDefault="0066719E" w:rsidP="00F77C66">
      <w:pPr>
        <w:rPr>
          <w:color w:val="000000"/>
          <w:sz w:val="22"/>
          <w:szCs w:val="22"/>
        </w:rPr>
      </w:pPr>
    </w:p>
    <w:p w14:paraId="05B8B64E" w14:textId="77777777" w:rsidR="0066719E" w:rsidRPr="006774D3" w:rsidRDefault="0066719E" w:rsidP="00F77C66">
      <w:pPr>
        <w:rPr>
          <w:color w:val="000000"/>
          <w:sz w:val="22"/>
          <w:szCs w:val="22"/>
        </w:rPr>
      </w:pPr>
      <w:r w:rsidRPr="006774D3">
        <w:rPr>
          <w:color w:val="000000"/>
          <w:sz w:val="22"/>
          <w:szCs w:val="22"/>
        </w:rPr>
        <w:t xml:space="preserve">Ráðlagður skammtur af Glivec er 400 mg/sólarhring í viðbótarmeðferð hjá fullorðnum sjúklingum eftir brottnám GIST. Æskilegasta meðferðarlengd hefur ekki enn verið ákvörðuð. Lengd meðferðar í klínísku rannsókninni sem styður þessa ábendingu var </w:t>
      </w:r>
      <w:r w:rsidR="00CB7126" w:rsidRPr="006774D3">
        <w:rPr>
          <w:color w:val="000000"/>
          <w:sz w:val="22"/>
          <w:szCs w:val="22"/>
        </w:rPr>
        <w:t>36 </w:t>
      </w:r>
      <w:r w:rsidRPr="006774D3">
        <w:rPr>
          <w:color w:val="000000"/>
          <w:sz w:val="22"/>
          <w:szCs w:val="22"/>
        </w:rPr>
        <w:t>mánuðir</w:t>
      </w:r>
      <w:r w:rsidR="00CB7126" w:rsidRPr="006774D3">
        <w:rPr>
          <w:color w:val="000000"/>
          <w:sz w:val="22"/>
          <w:szCs w:val="22"/>
        </w:rPr>
        <w:t xml:space="preserve"> (sjá kafla 5.1)</w:t>
      </w:r>
      <w:r w:rsidRPr="006774D3">
        <w:rPr>
          <w:color w:val="000000"/>
          <w:sz w:val="22"/>
          <w:szCs w:val="22"/>
        </w:rPr>
        <w:t>.</w:t>
      </w:r>
    </w:p>
    <w:p w14:paraId="05B8B64F" w14:textId="77777777" w:rsidR="0066719E" w:rsidRPr="006774D3" w:rsidRDefault="0066719E" w:rsidP="00F77C66">
      <w:pPr>
        <w:rPr>
          <w:color w:val="000000"/>
          <w:sz w:val="22"/>
          <w:szCs w:val="22"/>
        </w:rPr>
      </w:pPr>
    </w:p>
    <w:p w14:paraId="05B8B650" w14:textId="77777777" w:rsidR="0066719E" w:rsidRPr="006774D3" w:rsidRDefault="0066719E" w:rsidP="00F77C66">
      <w:pPr>
        <w:keepNext/>
        <w:rPr>
          <w:color w:val="000000"/>
          <w:sz w:val="22"/>
          <w:szCs w:val="22"/>
          <w:u w:val="single"/>
        </w:rPr>
      </w:pPr>
      <w:r w:rsidRPr="006774D3">
        <w:rPr>
          <w:color w:val="000000"/>
          <w:sz w:val="22"/>
          <w:szCs w:val="22"/>
          <w:u w:val="single"/>
        </w:rPr>
        <w:t>Skammtar við DFSP</w:t>
      </w:r>
    </w:p>
    <w:p w14:paraId="05B8B651" w14:textId="77777777" w:rsidR="0066719E" w:rsidRPr="006774D3" w:rsidRDefault="0066719E" w:rsidP="00F77C66">
      <w:pPr>
        <w:rPr>
          <w:color w:val="000000"/>
          <w:sz w:val="22"/>
          <w:szCs w:val="22"/>
        </w:rPr>
      </w:pPr>
      <w:r w:rsidRPr="006774D3">
        <w:rPr>
          <w:color w:val="000000"/>
          <w:sz w:val="22"/>
          <w:szCs w:val="22"/>
        </w:rPr>
        <w:t xml:space="preserve">Ráðlagður skammtur af Glivec er 800 mg/sólarhring fyrir </w:t>
      </w:r>
      <w:r w:rsidR="007708B0" w:rsidRPr="006774D3">
        <w:rPr>
          <w:color w:val="000000"/>
          <w:sz w:val="22"/>
          <w:szCs w:val="22"/>
        </w:rPr>
        <w:t xml:space="preserve">fullorðna </w:t>
      </w:r>
      <w:r w:rsidRPr="006774D3">
        <w:rPr>
          <w:color w:val="000000"/>
          <w:sz w:val="22"/>
          <w:szCs w:val="22"/>
        </w:rPr>
        <w:t>sjúklinga með DFSP.</w:t>
      </w:r>
    </w:p>
    <w:p w14:paraId="05B8B652" w14:textId="77777777" w:rsidR="0066719E" w:rsidRPr="006774D3" w:rsidRDefault="0066719E" w:rsidP="00F77C66">
      <w:pPr>
        <w:rPr>
          <w:color w:val="000000"/>
          <w:sz w:val="22"/>
          <w:szCs w:val="22"/>
        </w:rPr>
      </w:pPr>
    </w:p>
    <w:p w14:paraId="05B8B653" w14:textId="77777777" w:rsidR="0066719E" w:rsidRPr="006774D3" w:rsidRDefault="0066719E" w:rsidP="00F77C66">
      <w:pPr>
        <w:pStyle w:val="Heading3"/>
        <w:rPr>
          <w:color w:val="000000"/>
          <w:szCs w:val="22"/>
        </w:rPr>
      </w:pPr>
      <w:r w:rsidRPr="006774D3">
        <w:rPr>
          <w:color w:val="000000"/>
          <w:szCs w:val="22"/>
        </w:rPr>
        <w:t>Skammtabreytingar vegna aukaverkana</w:t>
      </w:r>
    </w:p>
    <w:p w14:paraId="05B8B654" w14:textId="77777777" w:rsidR="0066719E" w:rsidRPr="006774D3" w:rsidRDefault="0066719E" w:rsidP="00F77C66">
      <w:pPr>
        <w:pStyle w:val="Heading5"/>
        <w:keepLines w:val="0"/>
        <w:spacing w:before="0"/>
        <w:rPr>
          <w:rFonts w:ascii="Times New Roman" w:hAnsi="Times New Roman"/>
          <w:i/>
          <w:color w:val="000000"/>
          <w:szCs w:val="22"/>
          <w:lang w:val="is-IS"/>
        </w:rPr>
      </w:pPr>
      <w:r w:rsidRPr="006774D3">
        <w:rPr>
          <w:rFonts w:ascii="Times New Roman" w:hAnsi="Times New Roman"/>
          <w:i/>
          <w:color w:val="000000"/>
          <w:szCs w:val="22"/>
          <w:lang w:val="is-IS"/>
        </w:rPr>
        <w:t>Aukaverkanir sem ekki tengjast blóðmynd</w:t>
      </w:r>
    </w:p>
    <w:p w14:paraId="05B8B655" w14:textId="77777777" w:rsidR="0066719E" w:rsidRPr="006774D3" w:rsidRDefault="0066719E" w:rsidP="00F77C66">
      <w:pPr>
        <w:rPr>
          <w:color w:val="000000"/>
          <w:sz w:val="22"/>
          <w:szCs w:val="22"/>
        </w:rPr>
      </w:pPr>
      <w:r w:rsidRPr="006774D3">
        <w:rPr>
          <w:color w:val="000000"/>
          <w:sz w:val="22"/>
          <w:szCs w:val="22"/>
        </w:rPr>
        <w:t>Ef fram kemur alvarleg aukaverkun við notkun Glivec sem ekki tengist blóði, verður að bíða með meðferð þar til búið er að yfirvinna aukaverkunina. Þá má hefja meðferð að nýju, eins og þurfa þykir, eftir því hversu alvarleg aukaverkunin var í upphafi.</w:t>
      </w:r>
    </w:p>
    <w:p w14:paraId="05B8B656" w14:textId="77777777" w:rsidR="0066719E" w:rsidRPr="006774D3" w:rsidRDefault="0066719E" w:rsidP="00F77C66">
      <w:pPr>
        <w:rPr>
          <w:color w:val="000000"/>
          <w:sz w:val="22"/>
          <w:szCs w:val="22"/>
        </w:rPr>
      </w:pPr>
    </w:p>
    <w:p w14:paraId="05B8B657" w14:textId="77777777" w:rsidR="0066719E" w:rsidRPr="006774D3" w:rsidRDefault="0066719E" w:rsidP="00F77C66">
      <w:pPr>
        <w:rPr>
          <w:color w:val="000000"/>
          <w:sz w:val="22"/>
          <w:szCs w:val="22"/>
        </w:rPr>
      </w:pPr>
      <w:r w:rsidRPr="006774D3">
        <w:rPr>
          <w:color w:val="000000"/>
          <w:sz w:val="22"/>
          <w:szCs w:val="22"/>
        </w:rPr>
        <w:t>Ef bilirubin hækkar &gt; 3 x eðlileg efri mörk (IULN) eða ef lifrartransaminasar hækka &gt; 5 x IULN á að bíða með Glivec þar til gildi bilirubins eru orðin &lt; 1,5 x IULN og gildi transaminasa eru orðin &lt; 2,5 x IULN. Þá má halda meðferð með Glivec áfram með minni sólarhringsskömmtum. Hjá fullorðnum ætti að minnka skammtana úr 400 mg í 300 mg eða úr 600 mg í 400 mg, eða úr 800 mg í 600 mg og hjá börnum úr 340 í 260 mg/m²/sólarhring.</w:t>
      </w:r>
    </w:p>
    <w:p w14:paraId="05B8B658" w14:textId="77777777" w:rsidR="0066719E" w:rsidRPr="006774D3" w:rsidRDefault="0066719E" w:rsidP="00F77C66">
      <w:pPr>
        <w:rPr>
          <w:color w:val="000000"/>
          <w:sz w:val="22"/>
          <w:szCs w:val="22"/>
        </w:rPr>
      </w:pPr>
    </w:p>
    <w:p w14:paraId="05B8B659" w14:textId="77777777" w:rsidR="0066719E" w:rsidRPr="006774D3" w:rsidRDefault="0066719E" w:rsidP="00F77C66">
      <w:pPr>
        <w:pStyle w:val="Heading5"/>
        <w:keepLines w:val="0"/>
        <w:spacing w:before="0"/>
        <w:rPr>
          <w:rFonts w:ascii="Times New Roman" w:hAnsi="Times New Roman"/>
          <w:i/>
          <w:color w:val="000000"/>
          <w:szCs w:val="22"/>
          <w:lang w:val="is-IS"/>
        </w:rPr>
      </w:pPr>
      <w:r w:rsidRPr="006774D3">
        <w:rPr>
          <w:rFonts w:ascii="Times New Roman" w:hAnsi="Times New Roman"/>
          <w:i/>
          <w:color w:val="000000"/>
          <w:szCs w:val="22"/>
          <w:lang w:val="is-IS"/>
        </w:rPr>
        <w:t>Aukaverkanir sem tengjast blóðmynd</w:t>
      </w:r>
    </w:p>
    <w:p w14:paraId="05B8B65A" w14:textId="77777777" w:rsidR="0066719E" w:rsidRPr="006774D3" w:rsidRDefault="0066719E" w:rsidP="00F77C66">
      <w:pPr>
        <w:rPr>
          <w:color w:val="000000"/>
          <w:sz w:val="22"/>
          <w:szCs w:val="22"/>
        </w:rPr>
      </w:pPr>
      <w:r w:rsidRPr="006774D3">
        <w:rPr>
          <w:color w:val="000000"/>
          <w:sz w:val="22"/>
          <w:szCs w:val="22"/>
        </w:rPr>
        <w:t>Mælt er með minnkun skammta eða meðferðarrofi vegna alvarlegrar daufkyrningafæðar og blóð</w:t>
      </w:r>
      <w:r w:rsidRPr="006774D3">
        <w:rPr>
          <w:color w:val="000000"/>
          <w:sz w:val="22"/>
          <w:szCs w:val="22"/>
        </w:rPr>
        <w:softHyphen/>
        <w:t>flagnafæðar, sbr. eftirfarandi töflu.</w:t>
      </w:r>
    </w:p>
    <w:p w14:paraId="05B8B65B" w14:textId="77777777" w:rsidR="0066719E" w:rsidRPr="006774D3" w:rsidRDefault="0066719E" w:rsidP="00F77C66">
      <w:pPr>
        <w:rPr>
          <w:color w:val="000000"/>
          <w:sz w:val="22"/>
          <w:szCs w:val="22"/>
        </w:rPr>
      </w:pPr>
    </w:p>
    <w:p w14:paraId="05B8B65C" w14:textId="77777777" w:rsidR="0066719E" w:rsidRPr="006774D3" w:rsidRDefault="0066719E" w:rsidP="00F77C66">
      <w:pPr>
        <w:pStyle w:val="Heading2"/>
        <w:keepLines w:val="0"/>
        <w:overflowPunct w:val="0"/>
        <w:autoSpaceDE w:val="0"/>
        <w:autoSpaceDN w:val="0"/>
        <w:adjustRightInd w:val="0"/>
        <w:spacing w:before="0"/>
        <w:ind w:left="0" w:firstLine="0"/>
        <w:textAlignment w:val="baseline"/>
        <w:rPr>
          <w:rFonts w:ascii="Times New Roman" w:hAnsi="Times New Roman"/>
          <w:b w:val="0"/>
          <w:color w:val="000000"/>
          <w:sz w:val="22"/>
          <w:szCs w:val="22"/>
          <w:lang w:val="is-IS"/>
        </w:rPr>
      </w:pPr>
      <w:r w:rsidRPr="006774D3">
        <w:rPr>
          <w:rFonts w:ascii="Times New Roman" w:hAnsi="Times New Roman"/>
          <w:b w:val="0"/>
          <w:color w:val="000000"/>
          <w:sz w:val="22"/>
          <w:szCs w:val="22"/>
          <w:lang w:val="is-IS"/>
        </w:rPr>
        <w:lastRenderedPageBreak/>
        <w:t>Skammtabreytingar við daufkyrningafæð og blóðflagnafæð:</w:t>
      </w:r>
    </w:p>
    <w:p w14:paraId="05B8B65D" w14:textId="77777777" w:rsidR="0066719E" w:rsidRPr="006774D3" w:rsidRDefault="0066719E" w:rsidP="00F77C66">
      <w:pPr>
        <w:pStyle w:val="Text"/>
        <w:keepNext/>
        <w:spacing w:before="0"/>
        <w:rPr>
          <w:color w:val="000000"/>
          <w:sz w:val="22"/>
          <w:szCs w:val="22"/>
          <w:lang w:val="is-I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340"/>
        <w:gridCol w:w="5074"/>
      </w:tblGrid>
      <w:tr w:rsidR="0066719E" w:rsidRPr="006774D3" w14:paraId="05B8B664" w14:textId="77777777" w:rsidTr="00364D11">
        <w:trPr>
          <w:cantSplit/>
        </w:trPr>
        <w:tc>
          <w:tcPr>
            <w:tcW w:w="1908" w:type="dxa"/>
          </w:tcPr>
          <w:p w14:paraId="05B8B65E" w14:textId="77777777" w:rsidR="0066719E" w:rsidRPr="006774D3" w:rsidRDefault="0066719E" w:rsidP="00F77C66">
            <w:pPr>
              <w:keepNext/>
              <w:rPr>
                <w:color w:val="000000"/>
                <w:sz w:val="22"/>
                <w:szCs w:val="22"/>
              </w:rPr>
            </w:pPr>
            <w:r w:rsidRPr="006774D3">
              <w:rPr>
                <w:color w:val="000000"/>
                <w:sz w:val="22"/>
                <w:szCs w:val="22"/>
              </w:rPr>
              <w:t>HES/CEL (upp</w:t>
            </w:r>
            <w:r w:rsidRPr="006774D3">
              <w:rPr>
                <w:color w:val="000000"/>
                <w:sz w:val="22"/>
                <w:szCs w:val="22"/>
              </w:rPr>
              <w:softHyphen/>
              <w:t>hafs</w:t>
            </w:r>
            <w:r w:rsidRPr="006774D3">
              <w:rPr>
                <w:color w:val="000000"/>
                <w:sz w:val="22"/>
                <w:szCs w:val="22"/>
              </w:rPr>
              <w:softHyphen/>
              <w:t>skammtur 100 mg)</w:t>
            </w:r>
          </w:p>
        </w:tc>
        <w:tc>
          <w:tcPr>
            <w:tcW w:w="2340" w:type="dxa"/>
          </w:tcPr>
          <w:p w14:paraId="05B8B65F" w14:textId="77777777" w:rsidR="0066719E" w:rsidRPr="006774D3" w:rsidRDefault="0066719E"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660" w14:textId="77777777" w:rsidR="0066719E" w:rsidRPr="006774D3" w:rsidRDefault="0066719E" w:rsidP="00F77C66">
            <w:pPr>
              <w:keepNext/>
              <w:rPr>
                <w:color w:val="000000"/>
                <w:sz w:val="22"/>
                <w:szCs w:val="22"/>
              </w:rPr>
            </w:pPr>
            <w:r w:rsidRPr="006774D3">
              <w:rPr>
                <w:color w:val="000000"/>
                <w:sz w:val="22"/>
                <w:szCs w:val="22"/>
              </w:rPr>
              <w:t>og/eða</w:t>
            </w:r>
          </w:p>
          <w:p w14:paraId="05B8B661" w14:textId="77777777" w:rsidR="0066719E" w:rsidRPr="006774D3" w:rsidRDefault="0066719E" w:rsidP="00F77C66">
            <w:pPr>
              <w:keepNext/>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Pr>
          <w:p w14:paraId="05B8B662" w14:textId="77777777" w:rsidR="0066719E" w:rsidRPr="006774D3" w:rsidRDefault="0066719E"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663" w14:textId="77777777" w:rsidR="0066719E" w:rsidRPr="006774D3" w:rsidRDefault="0066719E"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tc>
      </w:tr>
      <w:tr w:rsidR="0066719E" w:rsidRPr="006774D3" w14:paraId="05B8B66D" w14:textId="77777777" w:rsidTr="00364D11">
        <w:trPr>
          <w:cantSplit/>
        </w:trPr>
        <w:tc>
          <w:tcPr>
            <w:tcW w:w="1908" w:type="dxa"/>
          </w:tcPr>
          <w:p w14:paraId="05B8B665" w14:textId="77777777" w:rsidR="0066719E" w:rsidRPr="006774D3" w:rsidRDefault="0066719E" w:rsidP="00F77C66">
            <w:pPr>
              <w:keepNext/>
              <w:rPr>
                <w:color w:val="000000"/>
                <w:sz w:val="22"/>
                <w:szCs w:val="22"/>
              </w:rPr>
            </w:pPr>
            <w:r w:rsidRPr="006774D3">
              <w:rPr>
                <w:color w:val="000000"/>
                <w:sz w:val="22"/>
                <w:szCs w:val="22"/>
              </w:rPr>
              <w:t>Stöðugur fasi CML, MDS/MPD og GIST (upphafs</w:t>
            </w:r>
            <w:r w:rsidRPr="006774D3">
              <w:rPr>
                <w:color w:val="000000"/>
                <w:sz w:val="22"/>
                <w:szCs w:val="22"/>
              </w:rPr>
              <w:softHyphen/>
              <w:t>skammtur 400 mg)</w:t>
            </w:r>
          </w:p>
          <w:p w14:paraId="05B8B666" w14:textId="77777777" w:rsidR="0066719E" w:rsidRPr="006774D3" w:rsidRDefault="0066719E" w:rsidP="00F77C66">
            <w:pPr>
              <w:keepNext/>
              <w:rPr>
                <w:color w:val="000000"/>
                <w:sz w:val="22"/>
                <w:szCs w:val="22"/>
              </w:rPr>
            </w:pPr>
            <w:r w:rsidRPr="006774D3">
              <w:rPr>
                <w:color w:val="000000"/>
                <w:sz w:val="22"/>
                <w:szCs w:val="22"/>
              </w:rPr>
              <w:t>HES/CEL (við 400 mg skammt)</w:t>
            </w:r>
          </w:p>
        </w:tc>
        <w:tc>
          <w:tcPr>
            <w:tcW w:w="2340" w:type="dxa"/>
          </w:tcPr>
          <w:p w14:paraId="05B8B667" w14:textId="77777777" w:rsidR="0066719E" w:rsidRPr="006774D3" w:rsidRDefault="0066719E"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668" w14:textId="77777777" w:rsidR="0066719E" w:rsidRPr="006774D3" w:rsidRDefault="0066719E" w:rsidP="00F77C66">
            <w:pPr>
              <w:keepNext/>
              <w:rPr>
                <w:color w:val="000000"/>
                <w:sz w:val="22"/>
                <w:szCs w:val="22"/>
              </w:rPr>
            </w:pPr>
            <w:r w:rsidRPr="006774D3">
              <w:rPr>
                <w:color w:val="000000"/>
                <w:sz w:val="22"/>
                <w:szCs w:val="22"/>
              </w:rPr>
              <w:t>og/eða</w:t>
            </w:r>
          </w:p>
          <w:p w14:paraId="05B8B669" w14:textId="77777777" w:rsidR="0066719E" w:rsidRPr="006774D3" w:rsidRDefault="0066719E" w:rsidP="00F77C66">
            <w:pPr>
              <w:keepNext/>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Pr>
          <w:p w14:paraId="05B8B66A" w14:textId="77777777" w:rsidR="0066719E" w:rsidRPr="006774D3" w:rsidRDefault="0066719E"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66B" w14:textId="77777777" w:rsidR="0066719E" w:rsidRPr="006774D3" w:rsidRDefault="0066719E"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p w14:paraId="05B8B66C" w14:textId="77777777" w:rsidR="0066719E" w:rsidRPr="006774D3" w:rsidRDefault="0066719E" w:rsidP="00F77C66">
            <w:pPr>
              <w:keepNext/>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300 mg.</w:t>
            </w:r>
          </w:p>
        </w:tc>
      </w:tr>
      <w:tr w:rsidR="0066719E" w:rsidRPr="006774D3" w14:paraId="05B8B675" w14:textId="77777777" w:rsidTr="00364D11">
        <w:trPr>
          <w:cantSplit/>
        </w:trPr>
        <w:tc>
          <w:tcPr>
            <w:tcW w:w="1908" w:type="dxa"/>
            <w:tcBorders>
              <w:bottom w:val="nil"/>
            </w:tcBorders>
          </w:tcPr>
          <w:p w14:paraId="05B8B66E" w14:textId="77777777" w:rsidR="0066719E" w:rsidRPr="006774D3" w:rsidRDefault="0066719E" w:rsidP="00F77C66">
            <w:pPr>
              <w:rPr>
                <w:color w:val="000000"/>
                <w:sz w:val="22"/>
                <w:szCs w:val="22"/>
              </w:rPr>
            </w:pPr>
            <w:r w:rsidRPr="006774D3">
              <w:rPr>
                <w:color w:val="000000"/>
                <w:sz w:val="22"/>
                <w:szCs w:val="22"/>
              </w:rPr>
              <w:t>Stöðugur fasi CML hjá börnum (við skammtinn 340 mg/m²)</w:t>
            </w:r>
          </w:p>
        </w:tc>
        <w:tc>
          <w:tcPr>
            <w:tcW w:w="2340" w:type="dxa"/>
            <w:tcBorders>
              <w:bottom w:val="nil"/>
            </w:tcBorders>
          </w:tcPr>
          <w:p w14:paraId="05B8B66F" w14:textId="77777777" w:rsidR="0066719E" w:rsidRPr="006774D3" w:rsidRDefault="0066719E" w:rsidP="00F77C66">
            <w:pPr>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670" w14:textId="77777777" w:rsidR="0066719E" w:rsidRPr="006774D3" w:rsidRDefault="0066719E" w:rsidP="00F77C66">
            <w:pPr>
              <w:rPr>
                <w:color w:val="000000"/>
                <w:sz w:val="22"/>
                <w:szCs w:val="22"/>
              </w:rPr>
            </w:pPr>
            <w:r w:rsidRPr="006774D3">
              <w:rPr>
                <w:color w:val="000000"/>
                <w:sz w:val="22"/>
                <w:szCs w:val="22"/>
              </w:rPr>
              <w:t>og/eða</w:t>
            </w:r>
          </w:p>
          <w:p w14:paraId="05B8B671" w14:textId="77777777" w:rsidR="0066719E" w:rsidRPr="006774D3" w:rsidRDefault="0066719E" w:rsidP="00F77C66">
            <w:pPr>
              <w:rPr>
                <w:color w:val="000000"/>
                <w:sz w:val="22"/>
                <w:szCs w:val="22"/>
                <w:vertAlign w:val="superscript"/>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Borders>
              <w:bottom w:val="nil"/>
            </w:tcBorders>
          </w:tcPr>
          <w:p w14:paraId="05B8B672" w14:textId="77777777" w:rsidR="0066719E" w:rsidRPr="006774D3" w:rsidRDefault="0066719E" w:rsidP="00F77C66">
            <w:pPr>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673" w14:textId="77777777" w:rsidR="0066719E" w:rsidRPr="006774D3" w:rsidRDefault="0066719E" w:rsidP="00F77C66">
            <w:pPr>
              <w:ind w:left="252" w:hanging="252"/>
              <w:rPr>
                <w:color w:val="000000"/>
                <w:sz w:val="22"/>
                <w:szCs w:val="22"/>
              </w:rPr>
            </w:pPr>
            <w:r w:rsidRPr="006774D3">
              <w:rPr>
                <w:color w:val="000000"/>
                <w:sz w:val="22"/>
                <w:szCs w:val="22"/>
              </w:rPr>
              <w:t>2.</w:t>
            </w:r>
            <w:r w:rsidRPr="006774D3">
              <w:rPr>
                <w:color w:val="000000"/>
                <w:sz w:val="22"/>
                <w:szCs w:val="22"/>
              </w:rPr>
              <w:tab/>
              <w:t>Hefjið meðferð að nýju með fyrri skammti af Glivec (þ.e. þeim skammti sem notaður var áður en alvarleg aukaverkun kom fram).</w:t>
            </w:r>
          </w:p>
          <w:p w14:paraId="05B8B674" w14:textId="77777777" w:rsidR="0066719E" w:rsidRPr="006774D3" w:rsidRDefault="0066719E" w:rsidP="00F77C66">
            <w:pPr>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260 mg</w:t>
            </w:r>
            <w:r w:rsidRPr="006774D3">
              <w:rPr>
                <w:color w:val="000000"/>
                <w:sz w:val="22"/>
                <w:szCs w:val="22"/>
                <w:vertAlign w:val="superscript"/>
              </w:rPr>
              <w:t>2</w:t>
            </w:r>
            <w:r w:rsidRPr="006774D3">
              <w:rPr>
                <w:color w:val="000000"/>
                <w:sz w:val="22"/>
                <w:szCs w:val="22"/>
              </w:rPr>
              <w:t>.</w:t>
            </w:r>
          </w:p>
        </w:tc>
      </w:tr>
      <w:tr w:rsidR="0066719E" w:rsidRPr="006774D3" w14:paraId="05B8B67E" w14:textId="77777777" w:rsidTr="00364D11">
        <w:trPr>
          <w:cantSplit/>
        </w:trPr>
        <w:tc>
          <w:tcPr>
            <w:tcW w:w="1908" w:type="dxa"/>
            <w:tcBorders>
              <w:bottom w:val="nil"/>
            </w:tcBorders>
          </w:tcPr>
          <w:p w14:paraId="05B8B676" w14:textId="77777777" w:rsidR="0066719E" w:rsidRPr="006774D3" w:rsidRDefault="0066719E" w:rsidP="00F77C66">
            <w:pPr>
              <w:rPr>
                <w:color w:val="000000"/>
                <w:sz w:val="22"/>
                <w:szCs w:val="22"/>
              </w:rPr>
            </w:pPr>
            <w:r w:rsidRPr="006774D3">
              <w:rPr>
                <w:color w:val="000000"/>
                <w:sz w:val="22"/>
                <w:szCs w:val="22"/>
              </w:rPr>
              <w:t>Hröðunarfasi CML og bráðafasi og Ph+ ALL (upphafsskammtur 600 mg)</w:t>
            </w:r>
          </w:p>
        </w:tc>
        <w:tc>
          <w:tcPr>
            <w:tcW w:w="2340" w:type="dxa"/>
            <w:tcBorders>
              <w:bottom w:val="nil"/>
            </w:tcBorders>
          </w:tcPr>
          <w:p w14:paraId="05B8B677" w14:textId="77777777" w:rsidR="0066719E" w:rsidRPr="006774D3" w:rsidRDefault="0066719E" w:rsidP="00F77C66">
            <w:pPr>
              <w:rPr>
                <w:color w:val="000000"/>
                <w:sz w:val="22"/>
                <w:szCs w:val="22"/>
              </w:rPr>
            </w:pPr>
            <w:r w:rsidRPr="006774D3">
              <w:rPr>
                <w:color w:val="000000"/>
                <w:sz w:val="22"/>
                <w:szCs w:val="22"/>
                <w:vertAlign w:val="superscript"/>
              </w:rPr>
              <w:t>a</w:t>
            </w:r>
            <w:r w:rsidRPr="006774D3">
              <w:rPr>
                <w:color w:val="000000"/>
                <w:sz w:val="22"/>
                <w:szCs w:val="22"/>
              </w:rPr>
              <w:t>ANC &lt; 0,5 x 10</w:t>
            </w:r>
            <w:r w:rsidRPr="006774D3">
              <w:rPr>
                <w:color w:val="000000"/>
                <w:sz w:val="22"/>
                <w:szCs w:val="22"/>
                <w:vertAlign w:val="superscript"/>
              </w:rPr>
              <w:t>9</w:t>
            </w:r>
            <w:r w:rsidRPr="006774D3">
              <w:rPr>
                <w:color w:val="000000"/>
                <w:sz w:val="22"/>
                <w:szCs w:val="22"/>
              </w:rPr>
              <w:t>/l</w:t>
            </w:r>
          </w:p>
          <w:p w14:paraId="05B8B678" w14:textId="77777777" w:rsidR="0066719E" w:rsidRPr="006774D3" w:rsidRDefault="0066719E" w:rsidP="00F77C66">
            <w:pPr>
              <w:rPr>
                <w:color w:val="000000"/>
                <w:sz w:val="22"/>
                <w:szCs w:val="22"/>
              </w:rPr>
            </w:pPr>
            <w:r w:rsidRPr="006774D3">
              <w:rPr>
                <w:color w:val="000000"/>
                <w:sz w:val="22"/>
                <w:szCs w:val="22"/>
              </w:rPr>
              <w:t>og/eða</w:t>
            </w:r>
          </w:p>
          <w:p w14:paraId="05B8B679" w14:textId="77777777" w:rsidR="0066719E" w:rsidRPr="006774D3" w:rsidRDefault="0066719E" w:rsidP="00F77C66">
            <w:pPr>
              <w:rPr>
                <w:color w:val="000000"/>
                <w:sz w:val="22"/>
                <w:szCs w:val="22"/>
              </w:rPr>
            </w:pPr>
            <w:r w:rsidRPr="006774D3">
              <w:rPr>
                <w:color w:val="000000"/>
                <w:sz w:val="22"/>
                <w:szCs w:val="22"/>
              </w:rPr>
              <w:t>blóðflögur &lt; 10 x 10</w:t>
            </w:r>
            <w:r w:rsidRPr="006774D3">
              <w:rPr>
                <w:color w:val="000000"/>
                <w:sz w:val="22"/>
                <w:szCs w:val="22"/>
                <w:vertAlign w:val="superscript"/>
              </w:rPr>
              <w:t>9</w:t>
            </w:r>
            <w:r w:rsidRPr="006774D3">
              <w:rPr>
                <w:color w:val="000000"/>
                <w:sz w:val="22"/>
                <w:szCs w:val="22"/>
              </w:rPr>
              <w:t>/l</w:t>
            </w:r>
          </w:p>
        </w:tc>
        <w:tc>
          <w:tcPr>
            <w:tcW w:w="5074" w:type="dxa"/>
            <w:tcBorders>
              <w:bottom w:val="nil"/>
            </w:tcBorders>
          </w:tcPr>
          <w:p w14:paraId="05B8B67A" w14:textId="77777777" w:rsidR="0066719E" w:rsidRPr="006774D3" w:rsidRDefault="0066719E" w:rsidP="00F77C66">
            <w:pPr>
              <w:ind w:left="252" w:hanging="252"/>
              <w:rPr>
                <w:color w:val="000000"/>
                <w:sz w:val="22"/>
                <w:szCs w:val="22"/>
              </w:rPr>
            </w:pPr>
            <w:r w:rsidRPr="006774D3">
              <w:rPr>
                <w:color w:val="000000"/>
                <w:sz w:val="22"/>
                <w:szCs w:val="22"/>
              </w:rPr>
              <w:t>1.</w:t>
            </w:r>
            <w:r w:rsidRPr="006774D3">
              <w:rPr>
                <w:color w:val="000000"/>
                <w:sz w:val="22"/>
                <w:szCs w:val="22"/>
              </w:rPr>
              <w:tab/>
              <w:t>Kannið hvort frumufæð tengist hvítblæði (mergsog eða vefjasýni).</w:t>
            </w:r>
          </w:p>
          <w:p w14:paraId="05B8B67B" w14:textId="77777777" w:rsidR="0066719E" w:rsidRPr="006774D3" w:rsidRDefault="0066719E" w:rsidP="00F77C66">
            <w:pPr>
              <w:ind w:left="252" w:hanging="252"/>
              <w:rPr>
                <w:color w:val="000000"/>
                <w:sz w:val="22"/>
                <w:szCs w:val="22"/>
              </w:rPr>
            </w:pPr>
            <w:r w:rsidRPr="006774D3">
              <w:rPr>
                <w:color w:val="000000"/>
                <w:sz w:val="22"/>
                <w:szCs w:val="22"/>
              </w:rPr>
              <w:t>2.</w:t>
            </w:r>
            <w:r w:rsidRPr="006774D3">
              <w:rPr>
                <w:color w:val="000000"/>
                <w:sz w:val="22"/>
                <w:szCs w:val="22"/>
              </w:rPr>
              <w:tab/>
              <w:t>Ef frumufæð tengist ekki hvítblæði, skal minnka skammt Glivec í 400 mg.</w:t>
            </w:r>
          </w:p>
          <w:p w14:paraId="05B8B67C" w14:textId="77777777" w:rsidR="0066719E" w:rsidRPr="006774D3" w:rsidRDefault="0066719E" w:rsidP="00F77C66">
            <w:pPr>
              <w:ind w:left="252" w:hanging="252"/>
              <w:rPr>
                <w:color w:val="000000"/>
                <w:sz w:val="22"/>
                <w:szCs w:val="22"/>
              </w:rPr>
            </w:pPr>
            <w:r w:rsidRPr="006774D3">
              <w:rPr>
                <w:color w:val="000000"/>
                <w:sz w:val="22"/>
                <w:szCs w:val="22"/>
              </w:rPr>
              <w:t>3.</w:t>
            </w:r>
            <w:r w:rsidRPr="006774D3">
              <w:rPr>
                <w:color w:val="000000"/>
                <w:sz w:val="22"/>
                <w:szCs w:val="22"/>
              </w:rPr>
              <w:tab/>
              <w:t>Ef frumufæð varir í 2 vikur, skal minnka skammtinn enn frekar, í 300 mg.</w:t>
            </w:r>
          </w:p>
          <w:p w14:paraId="05B8B67D" w14:textId="77777777" w:rsidR="0066719E" w:rsidRPr="006774D3" w:rsidRDefault="0066719E" w:rsidP="00F77C66">
            <w:pPr>
              <w:ind w:left="252" w:hanging="252"/>
              <w:rPr>
                <w:color w:val="000000"/>
                <w:sz w:val="22"/>
                <w:szCs w:val="22"/>
              </w:rPr>
            </w:pPr>
            <w:r w:rsidRPr="006774D3">
              <w:rPr>
                <w:color w:val="000000"/>
                <w:sz w:val="22"/>
                <w:szCs w:val="22"/>
              </w:rPr>
              <w:t>4.</w:t>
            </w:r>
            <w:r w:rsidRPr="006774D3">
              <w:rPr>
                <w:color w:val="000000"/>
                <w:sz w:val="22"/>
                <w:szCs w:val="22"/>
              </w:rPr>
              <w:tab/>
              <w:t>Ef frumufæð varir í 4 vikur og tengist enn ekki hvítblæði, skal hætta notkun Glivec þar til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Síðan skal hefja meðferð aftur með 300 mg.</w:t>
            </w:r>
          </w:p>
        </w:tc>
      </w:tr>
      <w:tr w:rsidR="0066719E" w:rsidRPr="006774D3" w14:paraId="05B8B687" w14:textId="77777777" w:rsidTr="00364D11">
        <w:trPr>
          <w:cantSplit/>
        </w:trPr>
        <w:tc>
          <w:tcPr>
            <w:tcW w:w="1908" w:type="dxa"/>
            <w:tcBorders>
              <w:bottom w:val="single" w:sz="4" w:space="0" w:color="auto"/>
            </w:tcBorders>
          </w:tcPr>
          <w:p w14:paraId="05B8B67F" w14:textId="77777777" w:rsidR="0066719E" w:rsidRPr="006774D3" w:rsidRDefault="0066719E" w:rsidP="00F77C66">
            <w:pPr>
              <w:rPr>
                <w:color w:val="000000"/>
                <w:sz w:val="22"/>
                <w:szCs w:val="22"/>
              </w:rPr>
            </w:pPr>
            <w:r w:rsidRPr="006774D3">
              <w:rPr>
                <w:color w:val="000000"/>
                <w:sz w:val="22"/>
                <w:szCs w:val="22"/>
              </w:rPr>
              <w:t>Hröðunarfasi CML og bráðafasi, hjá börnum, (upphafsskammtur 340 mg/m²)</w:t>
            </w:r>
          </w:p>
        </w:tc>
        <w:tc>
          <w:tcPr>
            <w:tcW w:w="2340" w:type="dxa"/>
            <w:tcBorders>
              <w:bottom w:val="single" w:sz="4" w:space="0" w:color="auto"/>
            </w:tcBorders>
          </w:tcPr>
          <w:p w14:paraId="05B8B680" w14:textId="77777777" w:rsidR="0066719E" w:rsidRPr="006774D3" w:rsidRDefault="0066719E" w:rsidP="00F77C66">
            <w:pPr>
              <w:rPr>
                <w:color w:val="000000"/>
                <w:sz w:val="22"/>
                <w:szCs w:val="22"/>
              </w:rPr>
            </w:pPr>
            <w:r w:rsidRPr="006774D3">
              <w:rPr>
                <w:color w:val="000000"/>
                <w:sz w:val="22"/>
                <w:szCs w:val="22"/>
                <w:vertAlign w:val="superscript"/>
              </w:rPr>
              <w:t>a</w:t>
            </w:r>
            <w:r w:rsidRPr="006774D3">
              <w:rPr>
                <w:color w:val="000000"/>
                <w:sz w:val="22"/>
                <w:szCs w:val="22"/>
              </w:rPr>
              <w:t>ANC &lt; 0,5 x 10</w:t>
            </w:r>
            <w:r w:rsidRPr="006774D3">
              <w:rPr>
                <w:color w:val="000000"/>
                <w:sz w:val="22"/>
                <w:szCs w:val="22"/>
                <w:vertAlign w:val="superscript"/>
              </w:rPr>
              <w:t>9</w:t>
            </w:r>
            <w:r w:rsidRPr="006774D3">
              <w:rPr>
                <w:color w:val="000000"/>
                <w:sz w:val="22"/>
                <w:szCs w:val="22"/>
              </w:rPr>
              <w:t>/l</w:t>
            </w:r>
          </w:p>
          <w:p w14:paraId="05B8B681" w14:textId="77777777" w:rsidR="0066719E" w:rsidRPr="006774D3" w:rsidRDefault="0066719E" w:rsidP="00F77C66">
            <w:pPr>
              <w:rPr>
                <w:color w:val="000000"/>
                <w:sz w:val="22"/>
                <w:szCs w:val="22"/>
              </w:rPr>
            </w:pPr>
            <w:r w:rsidRPr="006774D3">
              <w:rPr>
                <w:color w:val="000000"/>
                <w:sz w:val="22"/>
                <w:szCs w:val="22"/>
              </w:rPr>
              <w:t>og/eða</w:t>
            </w:r>
          </w:p>
          <w:p w14:paraId="05B8B682" w14:textId="77777777" w:rsidR="0066719E" w:rsidRPr="006774D3" w:rsidRDefault="0066719E" w:rsidP="00F77C66">
            <w:pPr>
              <w:rPr>
                <w:color w:val="000000"/>
                <w:sz w:val="22"/>
                <w:szCs w:val="22"/>
                <w:vertAlign w:val="superscript"/>
              </w:rPr>
            </w:pPr>
            <w:r w:rsidRPr="006774D3">
              <w:rPr>
                <w:color w:val="000000"/>
                <w:sz w:val="22"/>
                <w:szCs w:val="22"/>
              </w:rPr>
              <w:t>blóðflögur &lt; 10 x 10</w:t>
            </w:r>
            <w:r w:rsidRPr="006774D3">
              <w:rPr>
                <w:color w:val="000000"/>
                <w:sz w:val="22"/>
                <w:szCs w:val="22"/>
                <w:vertAlign w:val="superscript"/>
              </w:rPr>
              <w:t>9</w:t>
            </w:r>
            <w:r w:rsidRPr="006774D3">
              <w:rPr>
                <w:color w:val="000000"/>
                <w:sz w:val="22"/>
                <w:szCs w:val="22"/>
              </w:rPr>
              <w:t>/l</w:t>
            </w:r>
          </w:p>
        </w:tc>
        <w:tc>
          <w:tcPr>
            <w:tcW w:w="5074" w:type="dxa"/>
            <w:tcBorders>
              <w:bottom w:val="single" w:sz="4" w:space="0" w:color="auto"/>
            </w:tcBorders>
          </w:tcPr>
          <w:p w14:paraId="05B8B683" w14:textId="77777777" w:rsidR="0066719E" w:rsidRPr="006774D3" w:rsidRDefault="0066719E" w:rsidP="00F77C66">
            <w:pPr>
              <w:ind w:left="252" w:hanging="252"/>
              <w:rPr>
                <w:color w:val="000000"/>
                <w:sz w:val="22"/>
                <w:szCs w:val="22"/>
              </w:rPr>
            </w:pPr>
            <w:r w:rsidRPr="006774D3">
              <w:rPr>
                <w:color w:val="000000"/>
                <w:sz w:val="22"/>
                <w:szCs w:val="22"/>
              </w:rPr>
              <w:t>1.</w:t>
            </w:r>
            <w:r w:rsidRPr="006774D3">
              <w:rPr>
                <w:color w:val="000000"/>
                <w:sz w:val="22"/>
                <w:szCs w:val="22"/>
              </w:rPr>
              <w:tab/>
              <w:t>Kannið hvort frumufæð tengist hvítblæði (mergsog eða vefjasýni).</w:t>
            </w:r>
          </w:p>
          <w:p w14:paraId="05B8B684" w14:textId="77777777" w:rsidR="0066719E" w:rsidRPr="006774D3" w:rsidRDefault="0066719E" w:rsidP="00F77C66">
            <w:pPr>
              <w:ind w:left="252" w:hanging="252"/>
              <w:rPr>
                <w:color w:val="000000"/>
                <w:sz w:val="22"/>
                <w:szCs w:val="22"/>
              </w:rPr>
            </w:pPr>
            <w:r w:rsidRPr="006774D3">
              <w:rPr>
                <w:color w:val="000000"/>
                <w:sz w:val="22"/>
                <w:szCs w:val="22"/>
              </w:rPr>
              <w:t>2.</w:t>
            </w:r>
            <w:r w:rsidRPr="006774D3">
              <w:rPr>
                <w:color w:val="000000"/>
                <w:sz w:val="22"/>
                <w:szCs w:val="22"/>
              </w:rPr>
              <w:tab/>
              <w:t>Ef frumufæð tengist ekki hvítblæði, skal minnka skammt Glivec í 260 mg/m².</w:t>
            </w:r>
          </w:p>
          <w:p w14:paraId="05B8B685" w14:textId="77777777" w:rsidR="0066719E" w:rsidRPr="006774D3" w:rsidRDefault="0066719E" w:rsidP="00F77C66">
            <w:pPr>
              <w:ind w:left="252" w:hanging="252"/>
              <w:rPr>
                <w:color w:val="000000"/>
                <w:sz w:val="22"/>
                <w:szCs w:val="22"/>
              </w:rPr>
            </w:pPr>
            <w:r w:rsidRPr="006774D3">
              <w:rPr>
                <w:color w:val="000000"/>
                <w:sz w:val="22"/>
                <w:szCs w:val="22"/>
              </w:rPr>
              <w:t>3.</w:t>
            </w:r>
            <w:r w:rsidRPr="006774D3">
              <w:rPr>
                <w:color w:val="000000"/>
                <w:sz w:val="22"/>
                <w:szCs w:val="22"/>
              </w:rPr>
              <w:tab/>
              <w:t>Ef frumufæð varir í 2 vikur, skal minnka skammtinn enn frekar, í 200 mg/m².</w:t>
            </w:r>
          </w:p>
          <w:p w14:paraId="05B8B686" w14:textId="77777777" w:rsidR="0066719E" w:rsidRPr="006774D3" w:rsidRDefault="0066719E" w:rsidP="00F77C66">
            <w:pPr>
              <w:ind w:left="252" w:hanging="252"/>
              <w:rPr>
                <w:color w:val="000000"/>
                <w:sz w:val="22"/>
                <w:szCs w:val="22"/>
              </w:rPr>
            </w:pPr>
            <w:r w:rsidRPr="006774D3">
              <w:rPr>
                <w:color w:val="000000"/>
                <w:sz w:val="22"/>
                <w:szCs w:val="22"/>
              </w:rPr>
              <w:t>4.</w:t>
            </w:r>
            <w:r w:rsidRPr="006774D3">
              <w:rPr>
                <w:color w:val="000000"/>
                <w:sz w:val="22"/>
                <w:szCs w:val="22"/>
              </w:rPr>
              <w:tab/>
              <w:t>Ef frumufæð varir í 4 vikur og tengist enn ekki hvítblæði, skal hætta notkun Glivec þar til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Síðan skal hefja meðferð aftur með 200 mg/m².</w:t>
            </w:r>
          </w:p>
        </w:tc>
      </w:tr>
      <w:tr w:rsidR="0066719E" w:rsidRPr="006774D3" w14:paraId="05B8B68F" w14:textId="77777777" w:rsidTr="00364D11">
        <w:trPr>
          <w:cantSplit/>
        </w:trPr>
        <w:tc>
          <w:tcPr>
            <w:tcW w:w="1908" w:type="dxa"/>
            <w:tcBorders>
              <w:bottom w:val="single" w:sz="4" w:space="0" w:color="auto"/>
            </w:tcBorders>
          </w:tcPr>
          <w:p w14:paraId="05B8B688" w14:textId="77777777" w:rsidR="0066719E" w:rsidRPr="006774D3" w:rsidRDefault="0066719E" w:rsidP="00F77C66">
            <w:pPr>
              <w:keepNext/>
              <w:rPr>
                <w:color w:val="000000"/>
                <w:sz w:val="22"/>
                <w:szCs w:val="22"/>
              </w:rPr>
            </w:pPr>
            <w:r w:rsidRPr="006774D3">
              <w:rPr>
                <w:color w:val="000000"/>
                <w:sz w:val="22"/>
                <w:szCs w:val="22"/>
              </w:rPr>
              <w:t>DFSP (við 800 mg skammt)</w:t>
            </w:r>
          </w:p>
        </w:tc>
        <w:tc>
          <w:tcPr>
            <w:tcW w:w="2340" w:type="dxa"/>
            <w:tcBorders>
              <w:bottom w:val="single" w:sz="4" w:space="0" w:color="auto"/>
            </w:tcBorders>
          </w:tcPr>
          <w:p w14:paraId="05B8B689" w14:textId="77777777" w:rsidR="0066719E" w:rsidRPr="006774D3" w:rsidRDefault="0066719E" w:rsidP="00F77C66">
            <w:pPr>
              <w:keepNext/>
              <w:rPr>
                <w:color w:val="000000"/>
                <w:sz w:val="22"/>
                <w:szCs w:val="22"/>
              </w:rPr>
            </w:pPr>
            <w:r w:rsidRPr="006774D3">
              <w:rPr>
                <w:color w:val="000000"/>
                <w:sz w:val="22"/>
                <w:szCs w:val="22"/>
              </w:rPr>
              <w:t>ANC &lt; 1,0 x 10</w:t>
            </w:r>
            <w:r w:rsidRPr="006774D3">
              <w:rPr>
                <w:color w:val="000000"/>
                <w:sz w:val="22"/>
                <w:szCs w:val="22"/>
                <w:vertAlign w:val="superscript"/>
              </w:rPr>
              <w:t>9</w:t>
            </w:r>
            <w:r w:rsidRPr="006774D3">
              <w:rPr>
                <w:color w:val="000000"/>
                <w:sz w:val="22"/>
                <w:szCs w:val="22"/>
              </w:rPr>
              <w:t>/l</w:t>
            </w:r>
          </w:p>
          <w:p w14:paraId="05B8B68A" w14:textId="77777777" w:rsidR="0066719E" w:rsidRPr="006774D3" w:rsidRDefault="0066719E" w:rsidP="00F77C66">
            <w:pPr>
              <w:keepNext/>
              <w:rPr>
                <w:color w:val="000000"/>
                <w:sz w:val="22"/>
                <w:szCs w:val="22"/>
              </w:rPr>
            </w:pPr>
            <w:r w:rsidRPr="006774D3">
              <w:rPr>
                <w:color w:val="000000"/>
                <w:sz w:val="22"/>
                <w:szCs w:val="22"/>
              </w:rPr>
              <w:t>og/eða</w:t>
            </w:r>
          </w:p>
          <w:p w14:paraId="05B8B68B" w14:textId="77777777" w:rsidR="0066719E" w:rsidRPr="006774D3" w:rsidRDefault="0066719E" w:rsidP="00F77C66">
            <w:pPr>
              <w:keepNext/>
              <w:ind w:left="252" w:hanging="252"/>
              <w:rPr>
                <w:color w:val="000000"/>
                <w:sz w:val="22"/>
                <w:szCs w:val="22"/>
              </w:rPr>
            </w:pPr>
            <w:r w:rsidRPr="006774D3">
              <w:rPr>
                <w:color w:val="000000"/>
                <w:sz w:val="22"/>
                <w:szCs w:val="22"/>
              </w:rPr>
              <w:t>blóðflögur &lt; 50 x 10</w:t>
            </w:r>
            <w:r w:rsidRPr="006774D3">
              <w:rPr>
                <w:color w:val="000000"/>
                <w:sz w:val="22"/>
                <w:szCs w:val="22"/>
                <w:vertAlign w:val="superscript"/>
              </w:rPr>
              <w:t>9</w:t>
            </w:r>
            <w:r w:rsidRPr="006774D3">
              <w:rPr>
                <w:color w:val="000000"/>
                <w:sz w:val="22"/>
                <w:szCs w:val="22"/>
              </w:rPr>
              <w:t>/l</w:t>
            </w:r>
          </w:p>
        </w:tc>
        <w:tc>
          <w:tcPr>
            <w:tcW w:w="5074" w:type="dxa"/>
            <w:tcBorders>
              <w:bottom w:val="single" w:sz="4" w:space="0" w:color="auto"/>
            </w:tcBorders>
          </w:tcPr>
          <w:p w14:paraId="05B8B68C" w14:textId="77777777" w:rsidR="0066719E" w:rsidRPr="006774D3" w:rsidRDefault="0066719E" w:rsidP="00F77C66">
            <w:pPr>
              <w:keepNext/>
              <w:ind w:left="252" w:hanging="252"/>
              <w:rPr>
                <w:color w:val="000000"/>
                <w:sz w:val="22"/>
                <w:szCs w:val="22"/>
              </w:rPr>
            </w:pPr>
            <w:r w:rsidRPr="006774D3">
              <w:rPr>
                <w:color w:val="000000"/>
                <w:sz w:val="22"/>
                <w:szCs w:val="22"/>
              </w:rPr>
              <w:t>1.</w:t>
            </w:r>
            <w:r w:rsidRPr="006774D3">
              <w:rPr>
                <w:color w:val="000000"/>
                <w:sz w:val="22"/>
                <w:szCs w:val="22"/>
              </w:rPr>
              <w:tab/>
              <w:t>Hættið notkun Glivec þar til ANC ≥ 1,5 x 10</w:t>
            </w:r>
            <w:r w:rsidRPr="006774D3">
              <w:rPr>
                <w:color w:val="000000"/>
                <w:sz w:val="22"/>
                <w:szCs w:val="22"/>
                <w:vertAlign w:val="superscript"/>
              </w:rPr>
              <w:t>9</w:t>
            </w:r>
            <w:r w:rsidRPr="006774D3">
              <w:rPr>
                <w:color w:val="000000"/>
                <w:sz w:val="22"/>
                <w:szCs w:val="22"/>
              </w:rPr>
              <w:t>/l og blóðflögur ≥ 75 x 10</w:t>
            </w:r>
            <w:r w:rsidRPr="006774D3">
              <w:rPr>
                <w:color w:val="000000"/>
                <w:sz w:val="22"/>
                <w:szCs w:val="22"/>
                <w:vertAlign w:val="superscript"/>
              </w:rPr>
              <w:t>9</w:t>
            </w:r>
            <w:r w:rsidRPr="006774D3">
              <w:rPr>
                <w:color w:val="000000"/>
                <w:sz w:val="22"/>
                <w:szCs w:val="22"/>
              </w:rPr>
              <w:t>/l.</w:t>
            </w:r>
          </w:p>
          <w:p w14:paraId="05B8B68D" w14:textId="77777777" w:rsidR="0066719E" w:rsidRPr="006774D3" w:rsidRDefault="0066719E" w:rsidP="00F77C66">
            <w:pPr>
              <w:keepNext/>
              <w:ind w:left="252" w:hanging="252"/>
              <w:rPr>
                <w:color w:val="000000"/>
                <w:sz w:val="22"/>
                <w:szCs w:val="22"/>
              </w:rPr>
            </w:pPr>
            <w:r w:rsidRPr="006774D3">
              <w:rPr>
                <w:color w:val="000000"/>
                <w:sz w:val="22"/>
                <w:szCs w:val="22"/>
              </w:rPr>
              <w:t>2.</w:t>
            </w:r>
            <w:r w:rsidRPr="006774D3">
              <w:rPr>
                <w:color w:val="000000"/>
                <w:sz w:val="22"/>
                <w:szCs w:val="22"/>
              </w:rPr>
              <w:tab/>
              <w:t>Hefjið meðferð að nýju með 600 mg skammti af Glivec.</w:t>
            </w:r>
          </w:p>
          <w:p w14:paraId="05B8B68E" w14:textId="77777777" w:rsidR="0066719E" w:rsidRPr="006774D3" w:rsidRDefault="0066719E" w:rsidP="00F77C66">
            <w:pPr>
              <w:keepNext/>
              <w:ind w:left="252" w:hanging="252"/>
              <w:rPr>
                <w:color w:val="000000"/>
                <w:sz w:val="22"/>
                <w:szCs w:val="22"/>
              </w:rPr>
            </w:pPr>
            <w:r w:rsidRPr="006774D3">
              <w:rPr>
                <w:color w:val="000000"/>
                <w:sz w:val="22"/>
                <w:szCs w:val="22"/>
              </w:rPr>
              <w:t>3.</w:t>
            </w:r>
            <w:r w:rsidRPr="006774D3">
              <w:rPr>
                <w:color w:val="000000"/>
                <w:sz w:val="22"/>
                <w:szCs w:val="22"/>
              </w:rPr>
              <w:tab/>
              <w:t>Verði ANC aftur &lt; 1,0 x 10</w:t>
            </w:r>
            <w:r w:rsidRPr="006774D3">
              <w:rPr>
                <w:color w:val="000000"/>
                <w:sz w:val="22"/>
                <w:szCs w:val="22"/>
                <w:vertAlign w:val="superscript"/>
              </w:rPr>
              <w:t>9</w:t>
            </w:r>
            <w:r w:rsidRPr="006774D3">
              <w:rPr>
                <w:color w:val="000000"/>
                <w:sz w:val="22"/>
                <w:szCs w:val="22"/>
              </w:rPr>
              <w:t>/l og/eða blóðflögur &lt; 50 x 10</w:t>
            </w:r>
            <w:r w:rsidRPr="006774D3">
              <w:rPr>
                <w:color w:val="000000"/>
                <w:sz w:val="22"/>
                <w:szCs w:val="22"/>
                <w:vertAlign w:val="superscript"/>
              </w:rPr>
              <w:t>9</w:t>
            </w:r>
            <w:r w:rsidRPr="006774D3">
              <w:rPr>
                <w:color w:val="000000"/>
                <w:sz w:val="22"/>
                <w:szCs w:val="22"/>
              </w:rPr>
              <w:t>/l skal endurtaka lið 1 og halda áfram með minni skammti af Glivec, þ.e. 400 mg.</w:t>
            </w:r>
          </w:p>
        </w:tc>
      </w:tr>
      <w:tr w:rsidR="0066719E" w:rsidRPr="006774D3" w14:paraId="05B8B692" w14:textId="77777777" w:rsidTr="00364D11">
        <w:trPr>
          <w:cantSplit/>
        </w:trPr>
        <w:tc>
          <w:tcPr>
            <w:tcW w:w="9322" w:type="dxa"/>
            <w:gridSpan w:val="3"/>
            <w:tcBorders>
              <w:bottom w:val="single" w:sz="4" w:space="0" w:color="auto"/>
            </w:tcBorders>
          </w:tcPr>
          <w:p w14:paraId="05B8B690" w14:textId="77777777" w:rsidR="0066719E" w:rsidRPr="006774D3" w:rsidRDefault="0066719E" w:rsidP="00632D98">
            <w:pPr>
              <w:ind w:left="252" w:hanging="252"/>
              <w:rPr>
                <w:color w:val="000000"/>
                <w:sz w:val="22"/>
                <w:szCs w:val="22"/>
              </w:rPr>
            </w:pPr>
            <w:r w:rsidRPr="006774D3">
              <w:rPr>
                <w:color w:val="000000"/>
                <w:sz w:val="22"/>
                <w:szCs w:val="22"/>
              </w:rPr>
              <w:t>ANC = heildar daufkyrningafjöldi.</w:t>
            </w:r>
          </w:p>
          <w:p w14:paraId="05B8B691" w14:textId="77777777" w:rsidR="0066719E" w:rsidRPr="006774D3" w:rsidRDefault="0066719E" w:rsidP="00632D98">
            <w:pPr>
              <w:rPr>
                <w:color w:val="000000"/>
                <w:sz w:val="22"/>
                <w:szCs w:val="22"/>
              </w:rPr>
            </w:pPr>
            <w:r w:rsidRPr="006774D3">
              <w:rPr>
                <w:color w:val="000000"/>
                <w:sz w:val="22"/>
                <w:szCs w:val="22"/>
                <w:vertAlign w:val="superscript"/>
              </w:rPr>
              <w:t>a</w:t>
            </w:r>
            <w:r w:rsidRPr="006774D3">
              <w:rPr>
                <w:color w:val="000000"/>
                <w:sz w:val="22"/>
                <w:szCs w:val="22"/>
              </w:rPr>
              <w:t>kemur fyrir eftir að minnsta kosti 1 mánaðar meðferð.</w:t>
            </w:r>
          </w:p>
        </w:tc>
      </w:tr>
    </w:tbl>
    <w:p w14:paraId="05B8B693" w14:textId="77777777" w:rsidR="000D7244" w:rsidRPr="006774D3" w:rsidRDefault="000D7244"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694" w14:textId="77777777" w:rsidR="009D0392" w:rsidRPr="006774D3" w:rsidRDefault="009D0392" w:rsidP="00F77C66">
      <w:pPr>
        <w:keepNext/>
        <w:rPr>
          <w:color w:val="000000"/>
          <w:sz w:val="22"/>
          <w:szCs w:val="22"/>
          <w:u w:val="single"/>
        </w:rPr>
      </w:pPr>
      <w:r w:rsidRPr="006774D3">
        <w:rPr>
          <w:color w:val="000000"/>
          <w:sz w:val="22"/>
          <w:szCs w:val="22"/>
          <w:u w:val="single"/>
        </w:rPr>
        <w:t>Sérstakir sjúklingahópar</w:t>
      </w:r>
    </w:p>
    <w:p w14:paraId="05B8B695" w14:textId="77777777" w:rsidR="009D0392" w:rsidRPr="006774D3" w:rsidRDefault="009D0392" w:rsidP="00F77C66">
      <w:pPr>
        <w:rPr>
          <w:color w:val="000000"/>
          <w:sz w:val="22"/>
          <w:szCs w:val="22"/>
        </w:rPr>
      </w:pPr>
      <w:r w:rsidRPr="006774D3">
        <w:rPr>
          <w:i/>
          <w:color w:val="000000"/>
          <w:sz w:val="22"/>
          <w:szCs w:val="22"/>
        </w:rPr>
        <w:t>Notkun handa börnum:</w:t>
      </w:r>
      <w:r w:rsidRPr="006774D3">
        <w:rPr>
          <w:color w:val="000000"/>
          <w:sz w:val="22"/>
          <w:szCs w:val="22"/>
        </w:rPr>
        <w:t xml:space="preserve"> Engin reynsla er af notkun lyfsins handa börnum yngri en 2 ára sem eru með CML og yngri en 1 árs sem eru með Ph+ ALL (sjá kafla 5.1). Mjög takmörkuð reynsla er af notkun lyfsins hjá börnum með MDS/MPD, DFSP, GIST og HES/CEL.</w:t>
      </w:r>
    </w:p>
    <w:p w14:paraId="05B8B696" w14:textId="77777777" w:rsidR="007176E1" w:rsidRPr="006774D3" w:rsidRDefault="007176E1" w:rsidP="00F77C66">
      <w:pPr>
        <w:rPr>
          <w:color w:val="000000"/>
          <w:sz w:val="22"/>
          <w:szCs w:val="22"/>
        </w:rPr>
      </w:pPr>
    </w:p>
    <w:p w14:paraId="05B8B697" w14:textId="77777777" w:rsidR="007176E1" w:rsidRPr="006774D3" w:rsidRDefault="007176E1" w:rsidP="00F77C66">
      <w:pPr>
        <w:rPr>
          <w:color w:val="000000"/>
          <w:sz w:val="22"/>
          <w:szCs w:val="22"/>
        </w:rPr>
      </w:pPr>
      <w:r w:rsidRPr="006774D3">
        <w:rPr>
          <w:color w:val="000000"/>
          <w:sz w:val="22"/>
          <w:szCs w:val="22"/>
        </w:rPr>
        <w:t>Ekki hefur verið sýnt fram á öryggi og verkun imatinibs hjá börnum yngri en 18 ára sem eru með MDS/MPD, DFSP, GIST og HES/CEL, í klínískum rannsóknum. Fyrirliggjandi birtar upplýsingar eru teknar saman í kafla 5.1 en ekki er hægt að ráðleggja ákveðna skammta á grundvelli þeirra.</w:t>
      </w:r>
    </w:p>
    <w:p w14:paraId="05B8B698" w14:textId="77777777" w:rsidR="000D7244" w:rsidRPr="006774D3" w:rsidRDefault="000D7244" w:rsidP="00F77C66">
      <w:pPr>
        <w:rPr>
          <w:color w:val="000000"/>
          <w:sz w:val="22"/>
          <w:szCs w:val="22"/>
        </w:rPr>
      </w:pPr>
    </w:p>
    <w:p w14:paraId="05B8B699" w14:textId="77777777" w:rsidR="000D7244" w:rsidRPr="006774D3" w:rsidRDefault="000D7244" w:rsidP="00F77C66">
      <w:pPr>
        <w:rPr>
          <w:color w:val="000000"/>
          <w:sz w:val="22"/>
          <w:szCs w:val="22"/>
        </w:rPr>
      </w:pPr>
      <w:r w:rsidRPr="006774D3">
        <w:rPr>
          <w:i/>
          <w:color w:val="000000"/>
          <w:sz w:val="22"/>
          <w:szCs w:val="22"/>
        </w:rPr>
        <w:t>Skert lifrarstarfsemi:</w:t>
      </w:r>
      <w:r w:rsidRPr="006774D3">
        <w:rPr>
          <w:color w:val="000000"/>
          <w:sz w:val="22"/>
          <w:szCs w:val="22"/>
        </w:rPr>
        <w:t xml:space="preserve"> Imatinib umbrotnar einkum í lifur. Nota á minnsta ráðlagðan skammt, þ.e. 400 mg á sólarhring, handa sjúklingum með vægt, í meðallagi eða alvarlega skerta lifrarstarfsemi. Gefa má minni skammt ef sjúklingurinn þolir ekki skammtinn (sjá kafla 4.4, 4.8 og 5.2).</w:t>
      </w:r>
    </w:p>
    <w:p w14:paraId="05B8B69A" w14:textId="77777777" w:rsidR="000D7244" w:rsidRPr="006774D3" w:rsidRDefault="000D7244" w:rsidP="00F77C66">
      <w:pPr>
        <w:rPr>
          <w:color w:val="000000"/>
          <w:sz w:val="22"/>
          <w:szCs w:val="22"/>
        </w:rPr>
      </w:pPr>
    </w:p>
    <w:p w14:paraId="05B8B69B" w14:textId="77777777" w:rsidR="000D7244" w:rsidRPr="006774D3" w:rsidRDefault="000D7244" w:rsidP="00F77C66">
      <w:pPr>
        <w:keepNext/>
        <w:rPr>
          <w:color w:val="000000"/>
          <w:sz w:val="22"/>
          <w:szCs w:val="22"/>
        </w:rPr>
      </w:pPr>
      <w:r w:rsidRPr="006774D3">
        <w:rPr>
          <w:color w:val="000000"/>
          <w:sz w:val="22"/>
          <w:szCs w:val="22"/>
        </w:rPr>
        <w:t>Flokkun skertrar lifrarstarfsemi:</w:t>
      </w:r>
    </w:p>
    <w:p w14:paraId="05B8B69C" w14:textId="77777777" w:rsidR="000D7244" w:rsidRPr="006774D3" w:rsidRDefault="000D7244" w:rsidP="00F77C66">
      <w:pPr>
        <w:keepNext/>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5910"/>
      </w:tblGrid>
      <w:tr w:rsidR="000D7244" w:rsidRPr="006774D3" w14:paraId="05B8B69F" w14:textId="77777777" w:rsidTr="00632D98">
        <w:trPr>
          <w:cantSplit/>
        </w:trPr>
        <w:tc>
          <w:tcPr>
            <w:tcW w:w="3369" w:type="dxa"/>
          </w:tcPr>
          <w:p w14:paraId="05B8B69D" w14:textId="77777777" w:rsidR="000D7244" w:rsidRPr="006774D3" w:rsidRDefault="000D7244" w:rsidP="00F77C66">
            <w:pPr>
              <w:keepNext/>
              <w:rPr>
                <w:color w:val="000000"/>
                <w:sz w:val="22"/>
                <w:szCs w:val="22"/>
              </w:rPr>
            </w:pPr>
            <w:r w:rsidRPr="006774D3">
              <w:rPr>
                <w:color w:val="000000"/>
                <w:sz w:val="22"/>
                <w:szCs w:val="22"/>
              </w:rPr>
              <w:t>Skerðing lifrarstarfsemi</w:t>
            </w:r>
          </w:p>
        </w:tc>
        <w:tc>
          <w:tcPr>
            <w:tcW w:w="6459" w:type="dxa"/>
          </w:tcPr>
          <w:p w14:paraId="05B8B69E" w14:textId="77777777" w:rsidR="000D7244" w:rsidRPr="006774D3" w:rsidRDefault="000D7244" w:rsidP="00F77C66">
            <w:pPr>
              <w:keepNext/>
              <w:rPr>
                <w:color w:val="000000"/>
                <w:sz w:val="22"/>
                <w:szCs w:val="22"/>
              </w:rPr>
            </w:pPr>
            <w:r w:rsidRPr="006774D3">
              <w:rPr>
                <w:color w:val="000000"/>
                <w:sz w:val="22"/>
                <w:szCs w:val="22"/>
              </w:rPr>
              <w:t>Lifrarpróf</w:t>
            </w:r>
          </w:p>
        </w:tc>
      </w:tr>
      <w:tr w:rsidR="000D7244" w:rsidRPr="006774D3" w14:paraId="05B8B6A3" w14:textId="77777777" w:rsidTr="00632D98">
        <w:trPr>
          <w:cantSplit/>
        </w:trPr>
        <w:tc>
          <w:tcPr>
            <w:tcW w:w="3369" w:type="dxa"/>
          </w:tcPr>
          <w:p w14:paraId="05B8B6A0" w14:textId="77777777" w:rsidR="000D7244" w:rsidRPr="006774D3" w:rsidRDefault="000D7244" w:rsidP="00F77C66">
            <w:pPr>
              <w:keepNext/>
              <w:rPr>
                <w:color w:val="000000"/>
                <w:sz w:val="22"/>
                <w:szCs w:val="22"/>
              </w:rPr>
            </w:pPr>
            <w:r w:rsidRPr="006774D3">
              <w:rPr>
                <w:color w:val="000000"/>
                <w:sz w:val="22"/>
                <w:szCs w:val="22"/>
              </w:rPr>
              <w:t>Væg</w:t>
            </w:r>
          </w:p>
        </w:tc>
        <w:tc>
          <w:tcPr>
            <w:tcW w:w="6459" w:type="dxa"/>
          </w:tcPr>
          <w:p w14:paraId="05B8B6A1" w14:textId="77777777" w:rsidR="000D7244" w:rsidRPr="006774D3" w:rsidRDefault="000D7244" w:rsidP="00F77C66">
            <w:pPr>
              <w:keepNext/>
              <w:rPr>
                <w:snapToGrid w:val="0"/>
                <w:color w:val="000000"/>
                <w:sz w:val="22"/>
                <w:szCs w:val="22"/>
              </w:rPr>
            </w:pPr>
            <w:r w:rsidRPr="006774D3">
              <w:rPr>
                <w:snapToGrid w:val="0"/>
                <w:color w:val="000000"/>
                <w:sz w:val="22"/>
                <w:szCs w:val="22"/>
              </w:rPr>
              <w:t>Heildarbilirubin: = 1,5 ULN</w:t>
            </w:r>
          </w:p>
          <w:p w14:paraId="05B8B6A2" w14:textId="77777777" w:rsidR="000D7244" w:rsidRPr="006774D3" w:rsidRDefault="000D7244" w:rsidP="00F77C66">
            <w:pPr>
              <w:keepNext/>
              <w:rPr>
                <w:color w:val="000000"/>
                <w:sz w:val="22"/>
                <w:szCs w:val="22"/>
              </w:rPr>
            </w:pPr>
            <w:r w:rsidRPr="006774D3">
              <w:rPr>
                <w:snapToGrid w:val="0"/>
                <w:color w:val="000000"/>
                <w:sz w:val="22"/>
                <w:szCs w:val="22"/>
              </w:rPr>
              <w:t>AST: &gt; ULN (getur verið eðlilegt eða &lt; ULN ef heildarbilirubin er &gt; ULN)</w:t>
            </w:r>
          </w:p>
        </w:tc>
      </w:tr>
      <w:tr w:rsidR="000D7244" w:rsidRPr="006774D3" w14:paraId="05B8B6A7" w14:textId="77777777" w:rsidTr="00632D98">
        <w:trPr>
          <w:cantSplit/>
        </w:trPr>
        <w:tc>
          <w:tcPr>
            <w:tcW w:w="3369" w:type="dxa"/>
          </w:tcPr>
          <w:p w14:paraId="05B8B6A4" w14:textId="77777777" w:rsidR="000D7244" w:rsidRPr="006774D3" w:rsidRDefault="000D7244" w:rsidP="00F77C66">
            <w:pPr>
              <w:keepNext/>
              <w:rPr>
                <w:color w:val="000000"/>
                <w:sz w:val="22"/>
                <w:szCs w:val="22"/>
              </w:rPr>
            </w:pPr>
            <w:r w:rsidRPr="006774D3">
              <w:rPr>
                <w:color w:val="000000"/>
                <w:sz w:val="22"/>
                <w:szCs w:val="22"/>
              </w:rPr>
              <w:t>Í meðallagi</w:t>
            </w:r>
          </w:p>
        </w:tc>
        <w:tc>
          <w:tcPr>
            <w:tcW w:w="6459" w:type="dxa"/>
          </w:tcPr>
          <w:p w14:paraId="05B8B6A5" w14:textId="77777777" w:rsidR="000D7244" w:rsidRPr="006774D3" w:rsidRDefault="000D7244" w:rsidP="00F77C66">
            <w:pPr>
              <w:keepNext/>
              <w:rPr>
                <w:snapToGrid w:val="0"/>
                <w:color w:val="000000"/>
                <w:sz w:val="22"/>
                <w:szCs w:val="22"/>
              </w:rPr>
            </w:pPr>
            <w:r w:rsidRPr="006774D3">
              <w:rPr>
                <w:snapToGrid w:val="0"/>
                <w:color w:val="000000"/>
                <w:sz w:val="22"/>
                <w:szCs w:val="22"/>
              </w:rPr>
              <w:t>Heildarbilirubin: &gt; 1,5</w:t>
            </w:r>
            <w:r w:rsidRPr="006774D3">
              <w:rPr>
                <w:snapToGrid w:val="0"/>
                <w:color w:val="000000"/>
                <w:sz w:val="22"/>
                <w:szCs w:val="22"/>
              </w:rPr>
              <w:noBreakHyphen/>
              <w:t>3,0 ULN</w:t>
            </w:r>
          </w:p>
          <w:p w14:paraId="05B8B6A6" w14:textId="77777777" w:rsidR="000D7244" w:rsidRPr="006774D3" w:rsidRDefault="000D7244" w:rsidP="00F77C66">
            <w:pPr>
              <w:keepNext/>
              <w:rPr>
                <w:color w:val="000000"/>
                <w:sz w:val="22"/>
                <w:szCs w:val="22"/>
              </w:rPr>
            </w:pPr>
            <w:r w:rsidRPr="006774D3">
              <w:rPr>
                <w:snapToGrid w:val="0"/>
                <w:color w:val="000000"/>
                <w:sz w:val="22"/>
                <w:szCs w:val="22"/>
              </w:rPr>
              <w:t xml:space="preserve">AST: öll gildi </w:t>
            </w:r>
          </w:p>
        </w:tc>
      </w:tr>
      <w:tr w:rsidR="000D7244" w:rsidRPr="006774D3" w14:paraId="05B8B6AB" w14:textId="77777777" w:rsidTr="00632D98">
        <w:trPr>
          <w:cantSplit/>
        </w:trPr>
        <w:tc>
          <w:tcPr>
            <w:tcW w:w="3369" w:type="dxa"/>
          </w:tcPr>
          <w:p w14:paraId="05B8B6A8" w14:textId="77777777" w:rsidR="000D7244" w:rsidRPr="006774D3" w:rsidRDefault="000D7244" w:rsidP="00F77C66">
            <w:pPr>
              <w:keepNext/>
              <w:rPr>
                <w:color w:val="000000"/>
                <w:sz w:val="22"/>
                <w:szCs w:val="22"/>
              </w:rPr>
            </w:pPr>
            <w:r w:rsidRPr="006774D3">
              <w:rPr>
                <w:color w:val="000000"/>
                <w:sz w:val="22"/>
                <w:szCs w:val="22"/>
              </w:rPr>
              <w:t>Alvarleg</w:t>
            </w:r>
          </w:p>
        </w:tc>
        <w:tc>
          <w:tcPr>
            <w:tcW w:w="6459" w:type="dxa"/>
          </w:tcPr>
          <w:p w14:paraId="05B8B6A9" w14:textId="77777777" w:rsidR="000D7244" w:rsidRPr="006774D3" w:rsidRDefault="000D7244" w:rsidP="00F77C66">
            <w:pPr>
              <w:keepNext/>
              <w:rPr>
                <w:snapToGrid w:val="0"/>
                <w:color w:val="000000"/>
                <w:sz w:val="22"/>
                <w:szCs w:val="22"/>
              </w:rPr>
            </w:pPr>
            <w:r w:rsidRPr="006774D3">
              <w:rPr>
                <w:snapToGrid w:val="0"/>
                <w:color w:val="000000"/>
                <w:sz w:val="22"/>
                <w:szCs w:val="22"/>
              </w:rPr>
              <w:t>Heildarbilirubin: &gt; 3</w:t>
            </w:r>
            <w:r w:rsidRPr="006774D3">
              <w:rPr>
                <w:snapToGrid w:val="0"/>
                <w:color w:val="000000"/>
                <w:sz w:val="22"/>
                <w:szCs w:val="22"/>
              </w:rPr>
              <w:noBreakHyphen/>
              <w:t>10 ULN</w:t>
            </w:r>
          </w:p>
          <w:p w14:paraId="05B8B6AA" w14:textId="77777777" w:rsidR="000D7244" w:rsidRPr="006774D3" w:rsidRDefault="000D7244" w:rsidP="00F77C66">
            <w:pPr>
              <w:keepNext/>
              <w:rPr>
                <w:color w:val="000000"/>
                <w:sz w:val="22"/>
                <w:szCs w:val="22"/>
              </w:rPr>
            </w:pPr>
            <w:r w:rsidRPr="006774D3">
              <w:rPr>
                <w:snapToGrid w:val="0"/>
                <w:color w:val="000000"/>
                <w:sz w:val="22"/>
                <w:szCs w:val="22"/>
              </w:rPr>
              <w:t>AST: öll gildi</w:t>
            </w:r>
          </w:p>
        </w:tc>
      </w:tr>
    </w:tbl>
    <w:p w14:paraId="05B8B6AC" w14:textId="77777777" w:rsidR="000D7244" w:rsidRPr="006774D3" w:rsidRDefault="000D7244" w:rsidP="00F77C66">
      <w:pPr>
        <w:keepNext/>
        <w:rPr>
          <w:color w:val="000000"/>
          <w:sz w:val="22"/>
          <w:szCs w:val="22"/>
        </w:rPr>
      </w:pPr>
      <w:r w:rsidRPr="006774D3">
        <w:rPr>
          <w:color w:val="000000"/>
          <w:sz w:val="22"/>
          <w:szCs w:val="22"/>
        </w:rPr>
        <w:t>ULN = efri eðlileg mörk (upper limit of normal) fyrir viðkomandi stofnun</w:t>
      </w:r>
    </w:p>
    <w:p w14:paraId="05B8B6AD" w14:textId="77777777" w:rsidR="000D7244" w:rsidRPr="006774D3" w:rsidRDefault="000D7244" w:rsidP="00632D98">
      <w:pPr>
        <w:rPr>
          <w:rFonts w:eastAsia="MS Mincho"/>
          <w:bCs/>
          <w:color w:val="000000"/>
          <w:sz w:val="22"/>
          <w:szCs w:val="22"/>
          <w:lang w:eastAsia="ja-JP"/>
        </w:rPr>
      </w:pPr>
      <w:r w:rsidRPr="006774D3">
        <w:rPr>
          <w:rFonts w:eastAsia="MS Mincho"/>
          <w:bCs/>
          <w:color w:val="000000"/>
          <w:sz w:val="22"/>
          <w:szCs w:val="22"/>
          <w:lang w:eastAsia="ja-JP"/>
        </w:rPr>
        <w:t xml:space="preserve">AST = </w:t>
      </w:r>
      <w:r w:rsidRPr="006774D3">
        <w:rPr>
          <w:color w:val="000000"/>
          <w:sz w:val="22"/>
          <w:szCs w:val="22"/>
        </w:rPr>
        <w:t>aspartataminotransferasi</w:t>
      </w:r>
    </w:p>
    <w:p w14:paraId="05B8B6AE" w14:textId="77777777" w:rsidR="000D7244" w:rsidRPr="006774D3" w:rsidRDefault="000D7244" w:rsidP="00F77C66">
      <w:pPr>
        <w:rPr>
          <w:color w:val="000000"/>
          <w:sz w:val="22"/>
          <w:szCs w:val="22"/>
        </w:rPr>
      </w:pPr>
    </w:p>
    <w:p w14:paraId="05B8B6AF" w14:textId="77777777" w:rsidR="000D7244" w:rsidRPr="006774D3" w:rsidRDefault="000D7244" w:rsidP="00F77C66">
      <w:pPr>
        <w:rPr>
          <w:color w:val="000000"/>
          <w:sz w:val="22"/>
          <w:szCs w:val="22"/>
        </w:rPr>
      </w:pPr>
      <w:r w:rsidRPr="006774D3">
        <w:rPr>
          <w:i/>
          <w:color w:val="000000"/>
          <w:sz w:val="22"/>
          <w:szCs w:val="22"/>
        </w:rPr>
        <w:t>Skert nýrnastarfsemi:</w:t>
      </w:r>
      <w:r w:rsidRPr="006774D3">
        <w:rPr>
          <w:color w:val="000000"/>
          <w:sz w:val="22"/>
          <w:szCs w:val="22"/>
        </w:rPr>
        <w:t xml:space="preserve"> Nota skal minnsta ráðlagðan upphafsskammt, þ.e. 400 mg á sólarhring, handa sjúklingum með skerta nýrnastarfsemi eða í skilunarmeðferð. Hins vegar er mælt með að varúðar sé gætt hjá þessum sjúklingum. Ef skammturinn þolist ekki má minnka hann. Ef skammturinn þolist má stækka hann ef ekki fæst næg verkun (sjá kafla 4.4 og 5.2).</w:t>
      </w:r>
    </w:p>
    <w:p w14:paraId="05B8B6B0" w14:textId="77777777" w:rsidR="000D7244" w:rsidRPr="006774D3" w:rsidRDefault="000D7244" w:rsidP="00F77C66">
      <w:pPr>
        <w:rPr>
          <w:color w:val="000000"/>
          <w:sz w:val="22"/>
          <w:szCs w:val="22"/>
        </w:rPr>
      </w:pPr>
    </w:p>
    <w:p w14:paraId="05B8B6B1" w14:textId="77777777" w:rsidR="000D7244" w:rsidRPr="006774D3" w:rsidRDefault="000D7244" w:rsidP="00F77C66">
      <w:pPr>
        <w:rPr>
          <w:color w:val="000000"/>
          <w:sz w:val="22"/>
          <w:szCs w:val="22"/>
        </w:rPr>
      </w:pPr>
      <w:r w:rsidRPr="006774D3">
        <w:rPr>
          <w:i/>
          <w:color w:val="000000"/>
          <w:sz w:val="22"/>
          <w:szCs w:val="22"/>
        </w:rPr>
        <w:t>Aldraðir:</w:t>
      </w:r>
      <w:r w:rsidRPr="006774D3">
        <w:rPr>
          <w:color w:val="000000"/>
          <w:sz w:val="22"/>
          <w:szCs w:val="22"/>
        </w:rPr>
        <w:t xml:space="preserve"> Lyfjahvörf imatinibs hafa ekki verið rannsökuð sérstaklega hjá öldruðum. Enginn marktækur aldurstengdur munur á lyfjahvörfum hefur komið fram hjá fullorðnum sjúklingum í klínískum rannsóknum þar sem yfir 20% sjúklinga voru 65 ára eða eldri. Engar sértækar ráðleggingar um skammta eru nauðsynlegar fyrir aldraða.</w:t>
      </w:r>
    </w:p>
    <w:p w14:paraId="05B8B6B2" w14:textId="77777777" w:rsidR="000D7244" w:rsidRPr="006774D3" w:rsidRDefault="000D7244"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6B3" w14:textId="77777777" w:rsidR="007B5D76" w:rsidRPr="006774D3" w:rsidRDefault="007B5D76" w:rsidP="00F77C66">
      <w:pPr>
        <w:keepNext/>
        <w:rPr>
          <w:color w:val="000000"/>
          <w:sz w:val="22"/>
          <w:szCs w:val="22"/>
        </w:rPr>
      </w:pPr>
      <w:r w:rsidRPr="006774D3">
        <w:rPr>
          <w:b/>
          <w:color w:val="000000"/>
          <w:sz w:val="22"/>
          <w:szCs w:val="22"/>
        </w:rPr>
        <w:t>4.3</w:t>
      </w:r>
      <w:r w:rsidRPr="006774D3">
        <w:rPr>
          <w:b/>
          <w:color w:val="000000"/>
          <w:sz w:val="22"/>
          <w:szCs w:val="22"/>
        </w:rPr>
        <w:tab/>
        <w:t>Frábendingar</w:t>
      </w:r>
    </w:p>
    <w:p w14:paraId="05B8B6B4" w14:textId="77777777" w:rsidR="007B5D76" w:rsidRPr="006774D3" w:rsidRDefault="007B5D76" w:rsidP="00F77C66">
      <w:pPr>
        <w:pStyle w:val="Authors"/>
        <w:spacing w:before="0"/>
        <w:rPr>
          <w:rFonts w:ascii="Times New Roman" w:hAnsi="Times New Roman"/>
          <w:color w:val="000000"/>
          <w:szCs w:val="22"/>
          <w:lang w:val="is-IS"/>
        </w:rPr>
      </w:pPr>
    </w:p>
    <w:p w14:paraId="05B8B6B5" w14:textId="77777777" w:rsidR="007B5D76" w:rsidRPr="006774D3" w:rsidRDefault="007B5D76" w:rsidP="00632D98">
      <w:pPr>
        <w:rPr>
          <w:color w:val="000000"/>
          <w:sz w:val="22"/>
          <w:szCs w:val="22"/>
        </w:rPr>
      </w:pPr>
      <w:r w:rsidRPr="006774D3">
        <w:rPr>
          <w:color w:val="000000"/>
          <w:sz w:val="22"/>
          <w:szCs w:val="22"/>
        </w:rPr>
        <w:t>Ofnæmi fyrir virka efninu eða einhverju hjálparefnanna sem talin eru upp í kafla 6.1.</w:t>
      </w:r>
    </w:p>
    <w:p w14:paraId="05B8B6B6" w14:textId="77777777" w:rsidR="007B5D76" w:rsidRPr="006774D3" w:rsidRDefault="007B5D76" w:rsidP="00F77C66">
      <w:pPr>
        <w:rPr>
          <w:color w:val="000000"/>
          <w:sz w:val="22"/>
          <w:szCs w:val="22"/>
        </w:rPr>
      </w:pPr>
    </w:p>
    <w:p w14:paraId="05B8B6B7" w14:textId="77777777" w:rsidR="007B5D76" w:rsidRPr="006774D3" w:rsidRDefault="007B5D76" w:rsidP="00F77C66">
      <w:pPr>
        <w:keepNext/>
        <w:rPr>
          <w:color w:val="000000"/>
          <w:sz w:val="22"/>
          <w:szCs w:val="22"/>
        </w:rPr>
      </w:pPr>
      <w:r w:rsidRPr="006774D3">
        <w:rPr>
          <w:b/>
          <w:color w:val="000000"/>
          <w:sz w:val="22"/>
          <w:szCs w:val="22"/>
        </w:rPr>
        <w:t>4.4</w:t>
      </w:r>
      <w:r w:rsidRPr="006774D3">
        <w:rPr>
          <w:b/>
          <w:color w:val="000000"/>
          <w:sz w:val="22"/>
          <w:szCs w:val="22"/>
        </w:rPr>
        <w:tab/>
        <w:t>Sérstök varnaðarorð og varúðarreglur við notkun</w:t>
      </w:r>
    </w:p>
    <w:p w14:paraId="05B8B6B8" w14:textId="77777777" w:rsidR="007B5D76" w:rsidRPr="006774D3" w:rsidRDefault="007B5D76" w:rsidP="00F77C66">
      <w:pPr>
        <w:keepNext/>
        <w:rPr>
          <w:color w:val="000000"/>
          <w:sz w:val="22"/>
          <w:szCs w:val="22"/>
        </w:rPr>
      </w:pPr>
    </w:p>
    <w:p w14:paraId="05B8B6B9" w14:textId="77777777" w:rsidR="007B5D76" w:rsidRPr="006774D3" w:rsidRDefault="007B5D76" w:rsidP="00632D98">
      <w:pPr>
        <w:rPr>
          <w:color w:val="000000"/>
          <w:sz w:val="22"/>
          <w:szCs w:val="22"/>
        </w:rPr>
      </w:pPr>
      <w:r w:rsidRPr="006774D3">
        <w:rPr>
          <w:color w:val="000000"/>
          <w:sz w:val="22"/>
          <w:szCs w:val="22"/>
        </w:rPr>
        <w:t>Þegar Glivec er notað samhliða öðrum lyfjum geta komið fram lyfjamilliverkanir. Gæta skal varúðar þegar Glivec er notað samhliða próteasahemlum, azól sveppalyfjum, ákveðnum makrólíðum (sjá kafla 4.5), CYP3A4 hvarfefnum með þröngt meðferðarbil (t.d. ciclosporin, pimozid, tacrolimus, sirolimus, ergotamin, diergotamin, fentanyl, alfentanil, terfenadin, bortezomib, docetaxel, quinidin) eða warfarin og öðrum coumarin afleiðum (sjá kafla 4.5).</w:t>
      </w:r>
    </w:p>
    <w:p w14:paraId="05B8B6BA" w14:textId="77777777" w:rsidR="007B5D76" w:rsidRPr="006774D3" w:rsidRDefault="007B5D76" w:rsidP="00F77C66">
      <w:pPr>
        <w:rPr>
          <w:color w:val="000000"/>
          <w:sz w:val="22"/>
          <w:szCs w:val="22"/>
        </w:rPr>
      </w:pPr>
    </w:p>
    <w:p w14:paraId="05B8B6BB" w14:textId="77777777" w:rsidR="007B5D76" w:rsidRPr="006774D3" w:rsidRDefault="007B5D76" w:rsidP="00F77C66">
      <w:pPr>
        <w:rPr>
          <w:color w:val="000000"/>
          <w:sz w:val="22"/>
          <w:szCs w:val="22"/>
        </w:rPr>
      </w:pPr>
      <w:r w:rsidRPr="006774D3">
        <w:rPr>
          <w:color w:val="000000"/>
          <w:sz w:val="22"/>
          <w:szCs w:val="22"/>
        </w:rPr>
        <w:t xml:space="preserve">Samhliða notkun imatinibs og lyfja sem virkja CYP3A4 (t.d. dexametason, fenytoin, carbamazepin, rifampicin, fenobarbital eða </w:t>
      </w:r>
      <w:r w:rsidRPr="006774D3">
        <w:rPr>
          <w:i/>
          <w:iCs/>
          <w:color w:val="000000"/>
          <w:sz w:val="22"/>
          <w:szCs w:val="22"/>
        </w:rPr>
        <w:t>Hypericum perforatum</w:t>
      </w:r>
      <w:r w:rsidRPr="006774D3">
        <w:rPr>
          <w:color w:val="000000"/>
          <w:sz w:val="22"/>
          <w:szCs w:val="22"/>
        </w:rPr>
        <w:t>, einnig þekkt sem jóhannesarjurt [jónsmessu</w:t>
      </w:r>
      <w:r w:rsidRPr="006774D3">
        <w:rPr>
          <w:color w:val="000000"/>
          <w:sz w:val="22"/>
          <w:szCs w:val="22"/>
        </w:rPr>
        <w:softHyphen/>
        <w:t>runni. St. John’s wort]) getur dregið marktækt úr útsetningu fyrir Glivec, sem hugsanlega eykur hættu á meðferðar</w:t>
      </w:r>
      <w:r w:rsidRPr="006774D3">
        <w:rPr>
          <w:color w:val="000000"/>
          <w:sz w:val="22"/>
          <w:szCs w:val="22"/>
        </w:rPr>
        <w:softHyphen/>
        <w:t>bresti. Því ætti að forðast samhliða notkun öflugra CYP3A4 virkja og imatinibs (sjá kafla 4.5).</w:t>
      </w:r>
    </w:p>
    <w:p w14:paraId="05B8B6BC" w14:textId="77777777" w:rsidR="007B5D76" w:rsidRPr="006774D3" w:rsidRDefault="007B5D76" w:rsidP="00F77C66">
      <w:pPr>
        <w:rPr>
          <w:color w:val="000000"/>
          <w:sz w:val="22"/>
          <w:szCs w:val="22"/>
        </w:rPr>
      </w:pPr>
    </w:p>
    <w:p w14:paraId="05B8B6BD" w14:textId="77777777" w:rsidR="007B5D76" w:rsidRPr="006774D3" w:rsidRDefault="007B5D76" w:rsidP="00F77C66">
      <w:pPr>
        <w:keepNext/>
        <w:rPr>
          <w:color w:val="000000"/>
          <w:sz w:val="22"/>
          <w:szCs w:val="22"/>
          <w:u w:val="single"/>
        </w:rPr>
      </w:pPr>
      <w:r w:rsidRPr="006774D3">
        <w:rPr>
          <w:color w:val="000000"/>
          <w:sz w:val="22"/>
          <w:szCs w:val="22"/>
          <w:u w:val="single"/>
        </w:rPr>
        <w:t>Skjaldvakabrestur</w:t>
      </w:r>
    </w:p>
    <w:p w14:paraId="05B8B6BE" w14:textId="77777777" w:rsidR="007B5D76" w:rsidRPr="006774D3" w:rsidRDefault="007B5D76" w:rsidP="00F77C66">
      <w:pPr>
        <w:rPr>
          <w:color w:val="000000"/>
          <w:sz w:val="22"/>
          <w:szCs w:val="22"/>
        </w:rPr>
      </w:pPr>
      <w:r w:rsidRPr="006774D3">
        <w:rPr>
          <w:color w:val="000000"/>
          <w:sz w:val="22"/>
          <w:szCs w:val="22"/>
        </w:rPr>
        <w:t>Greint hefur verið frá klínískum tilvikum um skjaldvakabrest hjá sjúklingum sem gengist hafa undir skjald</w:t>
      </w:r>
      <w:r w:rsidRPr="006774D3">
        <w:rPr>
          <w:color w:val="000000"/>
          <w:sz w:val="22"/>
          <w:szCs w:val="22"/>
        </w:rPr>
        <w:softHyphen/>
        <w:t>kirtilsbrottnám og eru í uppbótarmeðferð með levotyroxini samhliða meðferð með Glivec (sjá kafla 4.5). Fylgjast skal náið með þéttni skjaldvakahormóns (TSH) hjá þessum sjúklingum.</w:t>
      </w:r>
    </w:p>
    <w:p w14:paraId="05B8B6BF" w14:textId="77777777" w:rsidR="007B5D76" w:rsidRPr="006774D3" w:rsidRDefault="007B5D76" w:rsidP="00F77C66">
      <w:pPr>
        <w:rPr>
          <w:color w:val="000000"/>
          <w:sz w:val="22"/>
          <w:szCs w:val="22"/>
        </w:rPr>
      </w:pPr>
    </w:p>
    <w:p w14:paraId="05B8B6C0" w14:textId="77777777" w:rsidR="007B5D76" w:rsidRPr="006774D3" w:rsidRDefault="007B5D76" w:rsidP="00F77C66">
      <w:pPr>
        <w:keepNext/>
        <w:rPr>
          <w:color w:val="000000"/>
          <w:sz w:val="22"/>
          <w:szCs w:val="22"/>
          <w:u w:val="single"/>
        </w:rPr>
      </w:pPr>
      <w:r w:rsidRPr="006774D3">
        <w:rPr>
          <w:color w:val="000000"/>
          <w:sz w:val="22"/>
          <w:szCs w:val="22"/>
          <w:u w:val="single"/>
        </w:rPr>
        <w:lastRenderedPageBreak/>
        <w:t>Eiturverkanir á lifur</w:t>
      </w:r>
    </w:p>
    <w:p w14:paraId="05B8B6C1" w14:textId="77777777" w:rsidR="007B5D76" w:rsidRPr="006774D3" w:rsidRDefault="007B5D76" w:rsidP="00F77C66">
      <w:pPr>
        <w:rPr>
          <w:color w:val="000000"/>
          <w:sz w:val="22"/>
          <w:szCs w:val="22"/>
        </w:rPr>
      </w:pPr>
      <w:r w:rsidRPr="006774D3">
        <w:rPr>
          <w:color w:val="000000"/>
          <w:sz w:val="22"/>
          <w:szCs w:val="22"/>
        </w:rPr>
        <w:t>Glivec umbrotnar fyrst og fremst í lifur og einungis 13% skiljast út um nýrun. Fylgjast skal vandlega með blóðhag og lifrarensímum (sjá kafla 4.2, 4.8 og 5.2) hjá sjúklingum með skerta lifrarstarfsemi (vægt, í meðallagi eða alvarlega skerta). Hafa ber í huga að GIST sjúklingar geta verið með meinvörp í lifur sem leitt gætu til skertrar lifrarstarfsemi.</w:t>
      </w:r>
    </w:p>
    <w:p w14:paraId="05B8B6C2" w14:textId="77777777" w:rsidR="007B5D76" w:rsidRPr="006774D3" w:rsidRDefault="007B5D76" w:rsidP="00F77C66">
      <w:pPr>
        <w:rPr>
          <w:color w:val="000000"/>
          <w:sz w:val="22"/>
          <w:szCs w:val="22"/>
        </w:rPr>
      </w:pPr>
    </w:p>
    <w:p w14:paraId="05B8B6C3" w14:textId="77777777" w:rsidR="007B5D76" w:rsidRPr="006774D3" w:rsidRDefault="007B5D76" w:rsidP="00F77C66">
      <w:pPr>
        <w:rPr>
          <w:color w:val="000000"/>
          <w:sz w:val="22"/>
          <w:szCs w:val="22"/>
        </w:rPr>
      </w:pPr>
      <w:r w:rsidRPr="006774D3">
        <w:rPr>
          <w:color w:val="000000"/>
          <w:sz w:val="22"/>
          <w:szCs w:val="22"/>
        </w:rPr>
        <w:t>Komið hafa fram tilvik lifrarskemmda, þar með talið lifrarbilunar og lifrardreps í tengslum við notkun imatinibs. Þegar imatinib er notað ásamt háskammta krabbameinslyfjameðferð, hefur komið fram aukning á alvarlegum viðbrögðum í lifur. Hafa skal náið eftirlit með lifrarstarfsemi þegar imatinib er notað ásamt krabbameins</w:t>
      </w:r>
      <w:r w:rsidRPr="006774D3">
        <w:rPr>
          <w:color w:val="000000"/>
          <w:sz w:val="22"/>
          <w:szCs w:val="22"/>
        </w:rPr>
        <w:softHyphen/>
        <w:t>lyfjum sem þekkt er að tengjast vanstarfsemi lifrar (sjá kafla 4.5 og 4.8).</w:t>
      </w:r>
    </w:p>
    <w:p w14:paraId="05B8B6C4" w14:textId="77777777" w:rsidR="007B5D76" w:rsidRPr="006774D3" w:rsidRDefault="007B5D76" w:rsidP="00F77C66">
      <w:pPr>
        <w:rPr>
          <w:color w:val="000000"/>
          <w:sz w:val="22"/>
          <w:szCs w:val="22"/>
        </w:rPr>
      </w:pPr>
    </w:p>
    <w:p w14:paraId="05B8B6C5" w14:textId="77777777" w:rsidR="007B5D76" w:rsidRPr="006774D3" w:rsidRDefault="007B5D76" w:rsidP="00F77C66">
      <w:pPr>
        <w:keepNext/>
        <w:rPr>
          <w:color w:val="000000"/>
          <w:sz w:val="22"/>
          <w:szCs w:val="22"/>
          <w:u w:val="single"/>
        </w:rPr>
      </w:pPr>
      <w:r w:rsidRPr="006774D3">
        <w:rPr>
          <w:color w:val="000000"/>
          <w:sz w:val="22"/>
          <w:szCs w:val="22"/>
          <w:u w:val="single"/>
        </w:rPr>
        <w:t>Vökvasöfnun</w:t>
      </w:r>
    </w:p>
    <w:p w14:paraId="05B8B6C6" w14:textId="77777777" w:rsidR="007B5D76" w:rsidRPr="006774D3" w:rsidRDefault="007B5D76" w:rsidP="00F77C66">
      <w:pPr>
        <w:rPr>
          <w:color w:val="000000"/>
          <w:sz w:val="22"/>
          <w:szCs w:val="22"/>
        </w:rPr>
      </w:pPr>
      <w:r w:rsidRPr="006774D3">
        <w:rPr>
          <w:color w:val="000000"/>
          <w:sz w:val="22"/>
          <w:szCs w:val="22"/>
        </w:rPr>
        <w:t>Greint hefur verið frá alvarlegri vökvasöfnun (fleiðruvökvi, bjúgur, lungnabjúgur, kviðarholsvökvi, yfirborðs</w:t>
      </w:r>
      <w:r w:rsidRPr="006774D3">
        <w:rPr>
          <w:color w:val="000000"/>
          <w:sz w:val="22"/>
          <w:szCs w:val="22"/>
        </w:rPr>
        <w:softHyphen/>
        <w:t>lægur bjúgur) hjá um 2,5% sjúklinga með nýgreint CML sem nota Glivec. Því er eindregið mælt með að sjúklingar séu vigtaðir reglulega. Óvænta, hraða þyngdaraukningu á að rannsaka vandlega og ef þess gerist þörf skal veita viðeigandi stuðningsmeðferð og önnur meðferðarúrræði. Í klínískum rannsóknum kom fram aukin tíðni þessara atvika hjá öldruðum og hjá þeim sem höfðu sögu um hjartasjúkdóma. Því skal gæta varúðar hjá sjúklingum með skerta hjartastarfsemi.</w:t>
      </w:r>
    </w:p>
    <w:p w14:paraId="05B8B6C7" w14:textId="77777777" w:rsidR="007B5D76" w:rsidRPr="006774D3" w:rsidRDefault="007B5D76" w:rsidP="00F77C66">
      <w:pPr>
        <w:rPr>
          <w:color w:val="000000"/>
          <w:sz w:val="22"/>
          <w:szCs w:val="22"/>
        </w:rPr>
      </w:pPr>
    </w:p>
    <w:p w14:paraId="05B8B6C8" w14:textId="77777777" w:rsidR="007B5D76" w:rsidRPr="006774D3" w:rsidRDefault="007B5D76" w:rsidP="00632D98">
      <w:pPr>
        <w:keepNext/>
        <w:rPr>
          <w:color w:val="000000"/>
          <w:sz w:val="22"/>
          <w:szCs w:val="22"/>
          <w:u w:val="single"/>
        </w:rPr>
      </w:pPr>
      <w:r w:rsidRPr="006774D3">
        <w:rPr>
          <w:color w:val="000000"/>
          <w:sz w:val="22"/>
          <w:szCs w:val="22"/>
          <w:u w:val="single"/>
        </w:rPr>
        <w:t>Sjúklingar með hjartasjúkdóm</w:t>
      </w:r>
    </w:p>
    <w:p w14:paraId="05B8B6C9" w14:textId="77777777" w:rsidR="007B5D76" w:rsidRPr="006774D3" w:rsidRDefault="007B5D76" w:rsidP="00F77C66">
      <w:pPr>
        <w:rPr>
          <w:color w:val="000000"/>
          <w:sz w:val="22"/>
          <w:szCs w:val="22"/>
        </w:rPr>
      </w:pPr>
      <w:r w:rsidRPr="006774D3">
        <w:rPr>
          <w:color w:val="000000"/>
          <w:sz w:val="22"/>
          <w:szCs w:val="22"/>
        </w:rPr>
        <w:t>Fylgjast skal náið með sjúklingum með hjartasjúkdóm, áhættuþætti hjartabilunar eða sögu um nýrnabilun og leggja skal mat á sérhvern sjúkling sem fær einkenni sem tengst gætu hjartabilun eða nýrnabilun og veita viðeigandi meðferð.</w:t>
      </w:r>
    </w:p>
    <w:p w14:paraId="05B8B6CA" w14:textId="77777777" w:rsidR="007B5D76" w:rsidRPr="006774D3" w:rsidRDefault="007B5D76" w:rsidP="00F77C66">
      <w:pPr>
        <w:rPr>
          <w:color w:val="000000"/>
          <w:sz w:val="22"/>
          <w:szCs w:val="22"/>
        </w:rPr>
      </w:pPr>
    </w:p>
    <w:p w14:paraId="05B8B6CB" w14:textId="77777777" w:rsidR="007B5D76" w:rsidRPr="006774D3" w:rsidRDefault="007B5D76" w:rsidP="00F77C66">
      <w:pPr>
        <w:rPr>
          <w:color w:val="000000"/>
          <w:sz w:val="22"/>
          <w:szCs w:val="22"/>
        </w:rPr>
      </w:pPr>
      <w:r w:rsidRPr="006774D3">
        <w:rPr>
          <w:color w:val="000000"/>
          <w:sz w:val="22"/>
          <w:szCs w:val="22"/>
        </w:rPr>
        <w:t>Hjá sjúklingum með rauðkyrningagersheilkenni (hypereosinophilic syndrome [HES]) með dulda íferð HES frumna í hjartavöðva, hafa einstök tilvik um hjartalost/vanstarfsemi vinstri slegils verið tengd við losun úr kornum (degranulation) í HES frumum við upphaf imatinib meðferðar. Greint var frá því að þetta ástand gengi til baka þegar gefnir voru sterar til almennrar (systemic) verkunar, veitt var meðferð til að tryggja blóðrás og notkun imatinibs hætt tímabundið. Vegna þess að greint hefur verið frá sjaldgæfum tilvikum um aukaverkanir á hjarta, í tengslum við imatinib, skal leggja ítarlegt mat á hlutfall áhættu og ávinnings hvað varðar sjúklinga með HES/CEL, áður en meðferð með imatinibi hefst.</w:t>
      </w:r>
    </w:p>
    <w:p w14:paraId="05B8B6CC" w14:textId="77777777" w:rsidR="007B5D76" w:rsidRPr="006774D3" w:rsidRDefault="007B5D76" w:rsidP="00F77C66">
      <w:pPr>
        <w:rPr>
          <w:color w:val="000000"/>
          <w:sz w:val="22"/>
          <w:szCs w:val="22"/>
        </w:rPr>
      </w:pPr>
    </w:p>
    <w:p w14:paraId="05B8B6CD" w14:textId="77777777" w:rsidR="007B5D76" w:rsidRPr="006774D3" w:rsidRDefault="007B5D76" w:rsidP="00F77C66">
      <w:pPr>
        <w:rPr>
          <w:color w:val="000000"/>
          <w:sz w:val="22"/>
          <w:szCs w:val="22"/>
        </w:rPr>
      </w:pPr>
      <w:r w:rsidRPr="006774D3">
        <w:rPr>
          <w:color w:val="000000"/>
          <w:sz w:val="22"/>
          <w:szCs w:val="22"/>
        </w:rPr>
        <w:t>Vera má að mergrangvaxtarsjúkdómar/mergfrumnafjölgunarsjúkdómar (MDS/MPD) með PDGFR endurröðun erfðavísa tengist miklum fjölda rauðkyrninga. Því skal íhuga að fá mat hjartasérfræðings, hjartaómun og mælingu á troponini í sermi hjá sjúklingum með HES/CEL og hjá sjúklingum með MDS/MPD sem tengjast miklum fjölda rauðkyrninga, áður en meðferð með imatinibi hefst. Ef önnur hvor rannsóknin leiðir eitthvað óeðlilegt í ljós skal íhuga eftirfylgni í samráði við hjartasérfræðing og fyrir</w:t>
      </w:r>
      <w:r w:rsidRPr="006774D3">
        <w:rPr>
          <w:color w:val="000000"/>
          <w:sz w:val="22"/>
          <w:szCs w:val="22"/>
        </w:rPr>
        <w:softHyphen/>
        <w:t>byggjandi meðferð með sterum til almennrar verkunar (1</w:t>
      </w:r>
      <w:r w:rsidRPr="006774D3">
        <w:rPr>
          <w:color w:val="000000"/>
          <w:sz w:val="22"/>
          <w:szCs w:val="22"/>
        </w:rPr>
        <w:noBreakHyphen/>
        <w:t>2 mg/kg) í eina til tvær vikur samhliða imatinibi, í upphafi meðferðar.</w:t>
      </w:r>
    </w:p>
    <w:p w14:paraId="05B8B6CE" w14:textId="77777777" w:rsidR="007B5D76" w:rsidRPr="006774D3" w:rsidRDefault="007B5D76" w:rsidP="00F77C66">
      <w:pPr>
        <w:rPr>
          <w:color w:val="000000"/>
          <w:sz w:val="22"/>
          <w:szCs w:val="22"/>
        </w:rPr>
      </w:pPr>
    </w:p>
    <w:p w14:paraId="05B8B6CF" w14:textId="77777777" w:rsidR="007B5D76" w:rsidRPr="006774D3" w:rsidRDefault="007B5D76" w:rsidP="00F77C66">
      <w:pPr>
        <w:keepNext/>
        <w:rPr>
          <w:color w:val="000000"/>
          <w:sz w:val="22"/>
          <w:szCs w:val="22"/>
          <w:u w:val="single"/>
        </w:rPr>
      </w:pPr>
      <w:r w:rsidRPr="006774D3">
        <w:rPr>
          <w:color w:val="000000"/>
          <w:sz w:val="22"/>
          <w:szCs w:val="22"/>
          <w:u w:val="single"/>
        </w:rPr>
        <w:t>Maga- og þarmablæðingar</w:t>
      </w:r>
    </w:p>
    <w:p w14:paraId="05B8B6D0" w14:textId="77777777" w:rsidR="007B5D76" w:rsidRPr="006774D3" w:rsidRDefault="007B5D76" w:rsidP="00F77C66">
      <w:pPr>
        <w:rPr>
          <w:color w:val="000000"/>
          <w:sz w:val="22"/>
          <w:szCs w:val="22"/>
        </w:rPr>
      </w:pPr>
      <w:r w:rsidRPr="006774D3">
        <w:rPr>
          <w:color w:val="000000"/>
          <w:sz w:val="22"/>
          <w:szCs w:val="22"/>
        </w:rPr>
        <w:t>Í rannsókninni hjá sjúklingum með óskurðtækt GIST og/eða GIST með meinvörpum var greint frá bæði maga- og þarma- og innanæxlisblæðingum (sjá kafla 4.8). Á grundvelli fyrirliggjandi upplýsinga hafa ekki greinst neinir þættir (t.d. æxlisstærð, staðsetning æxlis, storkuraskanir) sem auka hættu GIST sjúklinga fyrir annarri hvorri blæðingunni. Vegna þess að fjölgun æða (increased vascularity) og blæðingartilhneiging er hluti af eðli og klínískum framgangi GIST, skal beita hefðbundnum aðferðum sem við eiga um eftirlit og meðferð blæðinga hjá öllum sjúklingum.</w:t>
      </w:r>
    </w:p>
    <w:p w14:paraId="05B8B6D1" w14:textId="77777777" w:rsidR="00F40B8C" w:rsidRPr="006774D3" w:rsidRDefault="00F40B8C" w:rsidP="00F77C66">
      <w:pPr>
        <w:rPr>
          <w:color w:val="000000"/>
          <w:sz w:val="22"/>
          <w:szCs w:val="22"/>
        </w:rPr>
      </w:pPr>
    </w:p>
    <w:p w14:paraId="05B8B6D2" w14:textId="77777777" w:rsidR="00F40B8C" w:rsidRPr="006774D3" w:rsidRDefault="00F40B8C" w:rsidP="00F77C66">
      <w:pPr>
        <w:rPr>
          <w:color w:val="000000"/>
          <w:sz w:val="22"/>
          <w:szCs w:val="22"/>
        </w:rPr>
      </w:pPr>
      <w:r w:rsidRPr="006774D3">
        <w:rPr>
          <w:color w:val="000000"/>
          <w:sz w:val="22"/>
          <w:szCs w:val="22"/>
        </w:rPr>
        <w:t>Að auki hefur verið greint frá GAVE (víkkun lítilla blóðæða í neðsta hluta magans [</w:t>
      </w:r>
      <w:r w:rsidRPr="006774D3">
        <w:rPr>
          <w:sz w:val="22"/>
          <w:szCs w:val="22"/>
        </w:rPr>
        <w:t>gastric antral vascular ectasia]), sem er mjög sjaldgæf orsök maga- og þarmablæðinga, eftir markaðssetningu lyfsins hjá sjúklingum með CML, ALL og aðra sjúkdóma (sjá kafla 4.8). Þegar þörf er á má íhuga að stöðva meðferð með Glivec.</w:t>
      </w:r>
    </w:p>
    <w:p w14:paraId="05B8B6D3" w14:textId="77777777" w:rsidR="007B5D76" w:rsidRPr="006774D3" w:rsidRDefault="007B5D76" w:rsidP="00F77C66">
      <w:pPr>
        <w:rPr>
          <w:color w:val="000000"/>
          <w:sz w:val="22"/>
          <w:szCs w:val="22"/>
        </w:rPr>
      </w:pPr>
    </w:p>
    <w:p w14:paraId="05B8B6D4" w14:textId="77777777" w:rsidR="007B5D76" w:rsidRPr="006774D3" w:rsidRDefault="007B5D76" w:rsidP="00F77C66">
      <w:pPr>
        <w:keepNext/>
        <w:rPr>
          <w:color w:val="000000"/>
          <w:sz w:val="22"/>
          <w:szCs w:val="22"/>
          <w:u w:val="single"/>
        </w:rPr>
      </w:pPr>
      <w:r w:rsidRPr="006774D3">
        <w:rPr>
          <w:color w:val="000000"/>
          <w:sz w:val="22"/>
          <w:szCs w:val="22"/>
          <w:u w:val="single"/>
        </w:rPr>
        <w:lastRenderedPageBreak/>
        <w:t>Æxlislýsuheilkenni</w:t>
      </w:r>
    </w:p>
    <w:p w14:paraId="05B8B6D5" w14:textId="77777777" w:rsidR="007B5D76" w:rsidRPr="006774D3" w:rsidRDefault="007B5D76" w:rsidP="00F77C66">
      <w:pPr>
        <w:rPr>
          <w:color w:val="000000"/>
          <w:sz w:val="22"/>
          <w:szCs w:val="22"/>
        </w:rPr>
      </w:pPr>
      <w:r w:rsidRPr="006774D3">
        <w:rPr>
          <w:color w:val="000000"/>
          <w:sz w:val="22"/>
          <w:szCs w:val="22"/>
        </w:rPr>
        <w:t>Mælt er með að bætt sé úr klínískt marktækum vökvaskorti og að há þvagsýra sé meðhöndluð áður en meðferð er hafin með Glivec vegna hugsanlegrar myndunar æxlislýsuheilkennis (tumour lysis syndrome) (sjá kafla 4.8).</w:t>
      </w:r>
    </w:p>
    <w:p w14:paraId="05B8B6D6" w14:textId="77777777" w:rsidR="001C6E0C" w:rsidRPr="006774D3" w:rsidRDefault="001C6E0C" w:rsidP="00F77C66">
      <w:pPr>
        <w:tabs>
          <w:tab w:val="left" w:pos="567"/>
        </w:tabs>
        <w:rPr>
          <w:color w:val="000000"/>
          <w:sz w:val="22"/>
          <w:szCs w:val="20"/>
        </w:rPr>
      </w:pPr>
    </w:p>
    <w:p w14:paraId="05B8B6D7" w14:textId="77777777" w:rsidR="001C6E0C" w:rsidRPr="006774D3" w:rsidRDefault="001C6E0C" w:rsidP="00F77C66">
      <w:pPr>
        <w:keepNext/>
        <w:tabs>
          <w:tab w:val="left" w:pos="567"/>
        </w:tabs>
        <w:rPr>
          <w:color w:val="000000"/>
          <w:sz w:val="22"/>
          <w:szCs w:val="20"/>
          <w:u w:val="single"/>
        </w:rPr>
      </w:pPr>
      <w:r w:rsidRPr="006774D3">
        <w:rPr>
          <w:color w:val="000000"/>
          <w:sz w:val="22"/>
          <w:szCs w:val="20"/>
          <w:u w:val="single"/>
        </w:rPr>
        <w:t>Endurvirkjun á lifrarbólgu B</w:t>
      </w:r>
    </w:p>
    <w:p w14:paraId="05B8B6D8" w14:textId="77777777" w:rsidR="001C6E0C" w:rsidRPr="006774D3" w:rsidRDefault="001C6E0C" w:rsidP="00F77C66">
      <w:pPr>
        <w:tabs>
          <w:tab w:val="left" w:pos="567"/>
        </w:tabs>
        <w:rPr>
          <w:color w:val="000000"/>
          <w:sz w:val="22"/>
          <w:szCs w:val="20"/>
        </w:rPr>
      </w:pPr>
      <w:r w:rsidRPr="006774D3">
        <w:rPr>
          <w:color w:val="000000"/>
          <w:sz w:val="22"/>
          <w:szCs w:val="20"/>
        </w:rPr>
        <w:t>Endurvirkjun lifrarbólgu B veirusýkingar (HBV) hefur komið fyrir hjá sjúklingum sem bera í sér veiruna þegar þeim hafa verið gefnir BCR-ABL týrosínkínasahemlar. Sum tilvik enduðu með bráðri lifrarbilun eða svæsinni lifrarbólgu sem leiddi til lifrarígræðslu eða dauða.</w:t>
      </w:r>
    </w:p>
    <w:p w14:paraId="05B8B6D9" w14:textId="77777777" w:rsidR="001C6E0C" w:rsidRPr="006774D3" w:rsidRDefault="001C6E0C" w:rsidP="00F77C66">
      <w:pPr>
        <w:tabs>
          <w:tab w:val="left" w:pos="567"/>
        </w:tabs>
        <w:rPr>
          <w:color w:val="000000"/>
          <w:sz w:val="22"/>
          <w:szCs w:val="20"/>
        </w:rPr>
      </w:pPr>
    </w:p>
    <w:p w14:paraId="05B8B6DA" w14:textId="77777777" w:rsidR="001C6E0C" w:rsidRPr="006774D3" w:rsidRDefault="001C6E0C" w:rsidP="00F77C66">
      <w:pPr>
        <w:tabs>
          <w:tab w:val="left" w:pos="567"/>
        </w:tabs>
        <w:rPr>
          <w:color w:val="000000"/>
          <w:sz w:val="22"/>
          <w:szCs w:val="20"/>
        </w:rPr>
      </w:pPr>
      <w:r w:rsidRPr="006774D3">
        <w:rPr>
          <w:color w:val="000000"/>
          <w:sz w:val="22"/>
          <w:szCs w:val="20"/>
        </w:rPr>
        <w:t>Prófa á fyrir lifrarbólgu B veirusýkingu áður en meðferð með Glivec er hafin. Leita skal álits sérfræðings í lifrarsjúkdómum og meðferð lifrarbólgu B áður en meðferð er hafin hjá sjúklingum sem greinast sermisjákvæðir við lifrarbólgu B (að meðtöldum þeim sem eru með virkan sjúkdóm) og hjá þeim sem greinast með lifrarbólgu B veirusýkingu meðan á meðferð stendur. Hjá sjúklingum sem bera lifrarbólgu B veiru og þurfa á meðferð með Glivec að halda skal fylgjast náið með einkennum virkrar lifrabólgu B sýkingar yfir allt meðferðartímabilið og í nokkra mánuði eftir að meðferð lýkur (sjá kafla 4.8).</w:t>
      </w:r>
    </w:p>
    <w:p w14:paraId="05B8B6DB" w14:textId="77777777" w:rsidR="00DB085C" w:rsidRPr="006774D3" w:rsidRDefault="00DB085C" w:rsidP="00F77C66">
      <w:pPr>
        <w:tabs>
          <w:tab w:val="left" w:pos="567"/>
        </w:tabs>
        <w:rPr>
          <w:color w:val="000000"/>
          <w:sz w:val="22"/>
          <w:szCs w:val="20"/>
        </w:rPr>
      </w:pPr>
    </w:p>
    <w:p w14:paraId="05B8B6DC" w14:textId="77777777" w:rsidR="00DB085C" w:rsidRPr="006774D3" w:rsidRDefault="00DB085C" w:rsidP="00F77C66">
      <w:pPr>
        <w:keepNext/>
        <w:tabs>
          <w:tab w:val="left" w:pos="567"/>
        </w:tabs>
        <w:rPr>
          <w:color w:val="000000"/>
          <w:sz w:val="22"/>
          <w:szCs w:val="20"/>
          <w:u w:val="single"/>
        </w:rPr>
      </w:pPr>
      <w:r w:rsidRPr="006774D3">
        <w:rPr>
          <w:color w:val="000000"/>
          <w:sz w:val="22"/>
          <w:szCs w:val="20"/>
          <w:u w:val="single"/>
        </w:rPr>
        <w:t>Ljóseitrun</w:t>
      </w:r>
    </w:p>
    <w:p w14:paraId="05B8B6DD" w14:textId="77777777" w:rsidR="00DB085C" w:rsidRPr="006774D3" w:rsidRDefault="00DB085C" w:rsidP="00F77C66">
      <w:pPr>
        <w:tabs>
          <w:tab w:val="left" w:pos="567"/>
        </w:tabs>
        <w:rPr>
          <w:color w:val="000000"/>
          <w:sz w:val="22"/>
          <w:szCs w:val="20"/>
        </w:rPr>
      </w:pPr>
      <w:r w:rsidRPr="006774D3">
        <w:rPr>
          <w:color w:val="000000"/>
          <w:sz w:val="22"/>
          <w:szCs w:val="20"/>
        </w:rPr>
        <w:t>Forðast eða lágmarka skal útsetningu fyrir beinu sólarljósi vegna hættu á ljóseitrun í tengslum við meðferð með imatinibi. Leiðbeina skal sjúklingum um notkun aðferða eins og að klæðast fatnaði til varnar sólarljósi og notkun sólarvarnar með háum sólvarnarstuðli (SPF).</w:t>
      </w:r>
    </w:p>
    <w:p w14:paraId="05B8B6DE" w14:textId="77777777" w:rsidR="00A46BB3" w:rsidRPr="006774D3" w:rsidRDefault="00A46BB3" w:rsidP="00F77C66">
      <w:pPr>
        <w:rPr>
          <w:color w:val="000000"/>
          <w:sz w:val="22"/>
          <w:szCs w:val="22"/>
        </w:rPr>
      </w:pPr>
    </w:p>
    <w:p w14:paraId="05B8B6DF" w14:textId="77777777" w:rsidR="00A46BB3" w:rsidRPr="006774D3" w:rsidRDefault="00A46BB3" w:rsidP="00F77C66">
      <w:pPr>
        <w:keepNext/>
        <w:ind w:left="567" w:hanging="567"/>
        <w:rPr>
          <w:color w:val="000000"/>
          <w:sz w:val="22"/>
          <w:szCs w:val="22"/>
          <w:u w:val="single"/>
        </w:rPr>
      </w:pPr>
      <w:r w:rsidRPr="006774D3">
        <w:rPr>
          <w:color w:val="000000"/>
          <w:sz w:val="22"/>
          <w:szCs w:val="22"/>
          <w:u w:val="single"/>
        </w:rPr>
        <w:t>Segaöræðakvilli</w:t>
      </w:r>
    </w:p>
    <w:p w14:paraId="05B8B6E0" w14:textId="77777777" w:rsidR="00A46BB3" w:rsidRPr="006774D3" w:rsidRDefault="00A46BB3" w:rsidP="00F77C66">
      <w:pPr>
        <w:rPr>
          <w:color w:val="000000"/>
          <w:sz w:val="22"/>
          <w:szCs w:val="22"/>
        </w:rPr>
      </w:pPr>
      <w:r w:rsidRPr="006774D3">
        <w:rPr>
          <w:color w:val="000000"/>
          <w:sz w:val="22"/>
          <w:szCs w:val="22"/>
        </w:rPr>
        <w:t>BCR</w:t>
      </w:r>
      <w:r w:rsidRPr="006774D3">
        <w:rPr>
          <w:color w:val="000000"/>
          <w:sz w:val="22"/>
          <w:szCs w:val="22"/>
        </w:rPr>
        <w:noBreakHyphen/>
        <w:t xml:space="preserve">ABL týrosínkínasahemlar (TKI) hafa verið tengdir segaöræðakvilla (thrombotic microangiopathy), meðtaldar eru tilkynningar um einstaklingsbundin tilvik vegna Glivec (sjá kafla 4.8). Ef niðurstöður úr rannsóknarstofuprófum og klínísku mati benda til segaöræðakvilla hjá sjúklingi sem fær Glivec skal meðferð stöðvuð og </w:t>
      </w:r>
      <w:r w:rsidR="00AB2CBF" w:rsidRPr="006774D3">
        <w:rPr>
          <w:color w:val="000000"/>
          <w:sz w:val="22"/>
          <w:szCs w:val="22"/>
        </w:rPr>
        <w:t xml:space="preserve">gert </w:t>
      </w:r>
      <w:r w:rsidRPr="006774D3">
        <w:rPr>
          <w:color w:val="000000"/>
          <w:sz w:val="22"/>
          <w:szCs w:val="22"/>
        </w:rPr>
        <w:t xml:space="preserve">ítarlegt mat á </w:t>
      </w:r>
      <w:r w:rsidR="00AB2CBF" w:rsidRPr="006774D3">
        <w:rPr>
          <w:color w:val="000000"/>
          <w:sz w:val="22"/>
          <w:szCs w:val="22"/>
        </w:rPr>
        <w:t xml:space="preserve">því hvort um sé að ræða </w:t>
      </w:r>
      <w:r w:rsidRPr="006774D3">
        <w:rPr>
          <w:color w:val="000000"/>
          <w:sz w:val="22"/>
          <w:szCs w:val="22"/>
        </w:rPr>
        <w:t xml:space="preserve">segaöræðakvilla, þar með talið ákvörðun á virkni ADAMTS13 </w:t>
      </w:r>
      <w:r w:rsidRPr="006774D3">
        <w:rPr>
          <w:rStyle w:val="content"/>
          <w:sz w:val="22"/>
          <w:szCs w:val="22"/>
        </w:rPr>
        <w:t xml:space="preserve">og </w:t>
      </w:r>
      <w:r w:rsidR="00FC5D8D" w:rsidRPr="006774D3">
        <w:rPr>
          <w:rStyle w:val="content"/>
          <w:sz w:val="22"/>
          <w:szCs w:val="22"/>
        </w:rPr>
        <w:t xml:space="preserve">mótefni gegn </w:t>
      </w:r>
      <w:r w:rsidRPr="006774D3">
        <w:rPr>
          <w:rStyle w:val="content"/>
          <w:sz w:val="22"/>
          <w:szCs w:val="22"/>
        </w:rPr>
        <w:t xml:space="preserve">ADAMTS13. Ef gildi </w:t>
      </w:r>
      <w:r w:rsidR="00FC5D8D" w:rsidRPr="006774D3">
        <w:rPr>
          <w:rStyle w:val="content"/>
          <w:sz w:val="22"/>
          <w:szCs w:val="22"/>
        </w:rPr>
        <w:t xml:space="preserve">mótefnis gegn </w:t>
      </w:r>
      <w:r w:rsidRPr="006774D3">
        <w:rPr>
          <w:rStyle w:val="content"/>
          <w:sz w:val="22"/>
          <w:szCs w:val="22"/>
        </w:rPr>
        <w:t>ADAMTS13 er hækkað í tengslum við litla virkni ADAMTS13 skal ekki hefja meðferð með Glivec að nýju.</w:t>
      </w:r>
    </w:p>
    <w:p w14:paraId="05B8B6E1" w14:textId="77777777" w:rsidR="007B5D76" w:rsidRPr="006774D3" w:rsidRDefault="007B5D76" w:rsidP="00F77C66">
      <w:pPr>
        <w:rPr>
          <w:color w:val="000000"/>
          <w:sz w:val="22"/>
          <w:szCs w:val="22"/>
        </w:rPr>
      </w:pPr>
    </w:p>
    <w:p w14:paraId="05B8B6E2" w14:textId="77777777" w:rsidR="007B5D76" w:rsidRPr="006774D3" w:rsidRDefault="007B5D76"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Rannsóknastofupróf</w:t>
      </w:r>
    </w:p>
    <w:p w14:paraId="05B8B6E3" w14:textId="77777777" w:rsidR="007B5D76" w:rsidRPr="006774D3" w:rsidRDefault="007B5D76" w:rsidP="00F77C66">
      <w:pPr>
        <w:rPr>
          <w:color w:val="000000"/>
          <w:sz w:val="22"/>
          <w:szCs w:val="22"/>
        </w:rPr>
      </w:pPr>
      <w:r w:rsidRPr="006774D3">
        <w:rPr>
          <w:color w:val="000000"/>
          <w:sz w:val="22"/>
          <w:szCs w:val="22"/>
        </w:rPr>
        <w:t>Gera þarf heildar blóðkornatalningu reglulega meðan á meðferð með Glivec stendur. Meðferð CML sjúklinga með Glivec hefur verið tengd daufkyrningafæð og blóðflagnafæð. Hins vegar er líklegt að þessi frumufæð tengist stigi sjúkdómsins sem verið er að meðhöndla, og hún var algengari hjá sjúklingum með hröðunarfasa CML eða bráðafasa samanborið við sjúklinga með CML í stöðugum fasa. Rjúfa má meðferð með Glivec eða minnka skammt, eins og fram kemur í kafla 4.2.</w:t>
      </w:r>
    </w:p>
    <w:p w14:paraId="05B8B6E4" w14:textId="77777777" w:rsidR="007B5D76" w:rsidRPr="006774D3" w:rsidRDefault="007B5D76" w:rsidP="00F77C66">
      <w:pPr>
        <w:rPr>
          <w:color w:val="000000"/>
          <w:sz w:val="22"/>
          <w:szCs w:val="22"/>
        </w:rPr>
      </w:pPr>
    </w:p>
    <w:p w14:paraId="05B8B6E5" w14:textId="77777777" w:rsidR="007B5D76" w:rsidRPr="006774D3" w:rsidRDefault="007B5D76" w:rsidP="00F77C66">
      <w:pPr>
        <w:rPr>
          <w:color w:val="000000"/>
          <w:sz w:val="22"/>
          <w:szCs w:val="22"/>
        </w:rPr>
      </w:pPr>
      <w:r w:rsidRPr="006774D3">
        <w:rPr>
          <w:color w:val="000000"/>
          <w:sz w:val="22"/>
          <w:szCs w:val="22"/>
        </w:rPr>
        <w:t>Fylgjast skal reglulega með lifrarstarfsemi (transaminasar, bilirubin, alkaliskur fosfatasi) hjá sjúklingum sem nota Glivec.</w:t>
      </w:r>
    </w:p>
    <w:p w14:paraId="05B8B6E6" w14:textId="77777777" w:rsidR="007B5D76" w:rsidRPr="006774D3" w:rsidRDefault="007B5D76" w:rsidP="00F77C66">
      <w:pPr>
        <w:rPr>
          <w:color w:val="000000"/>
          <w:sz w:val="22"/>
          <w:szCs w:val="22"/>
        </w:rPr>
      </w:pPr>
    </w:p>
    <w:p w14:paraId="05B8B6E7" w14:textId="77777777" w:rsidR="007B5D76" w:rsidRPr="006774D3" w:rsidRDefault="007B5D76" w:rsidP="00F77C66">
      <w:pPr>
        <w:rPr>
          <w:color w:val="000000"/>
          <w:sz w:val="22"/>
          <w:szCs w:val="22"/>
        </w:rPr>
      </w:pPr>
      <w:r w:rsidRPr="006774D3">
        <w:rPr>
          <w:color w:val="000000"/>
          <w:sz w:val="22"/>
          <w:szCs w:val="22"/>
        </w:rPr>
        <w:t>Hjá sjúklingum með skerta nýrnastarfsemi virðist útsetning fyrir imatinibi í plasma vera meiri en hjá sjúklingum með eðlilega nýrnastarfsemi, líklega vegna aukinnar plasmaþéttni alfa</w:t>
      </w:r>
      <w:r w:rsidRPr="006774D3">
        <w:rPr>
          <w:color w:val="000000"/>
          <w:sz w:val="22"/>
          <w:szCs w:val="22"/>
        </w:rPr>
        <w:noBreakHyphen/>
        <w:t>sýruglýkópróteins (AGP), en það prótein bindur imatinib hjá þessum sjúklingum. Nota á minnsta upphafsskammt handa sjúklingum með skerta nýrnastarfsemi. Gæta skal varúðar við meðferð sjúklinga með alvarlega skerta nýrnastarfsemi. Minnka má skammtinn ef hann þolist ekki (sjá kafla 4.2 og 5.2).</w:t>
      </w:r>
    </w:p>
    <w:p w14:paraId="05B8B6E8" w14:textId="77777777" w:rsidR="00D959D7" w:rsidRPr="006774D3" w:rsidRDefault="00D959D7" w:rsidP="00F77C66">
      <w:pPr>
        <w:rPr>
          <w:color w:val="000000"/>
          <w:sz w:val="22"/>
          <w:szCs w:val="22"/>
        </w:rPr>
      </w:pPr>
    </w:p>
    <w:p w14:paraId="05B8B6E9" w14:textId="77777777" w:rsidR="00D959D7" w:rsidRPr="006774D3" w:rsidRDefault="00D959D7" w:rsidP="00F77C66">
      <w:pPr>
        <w:rPr>
          <w:color w:val="000000"/>
          <w:sz w:val="22"/>
          <w:szCs w:val="22"/>
        </w:rPr>
      </w:pPr>
      <w:r w:rsidRPr="006774D3">
        <w:rPr>
          <w:color w:val="000000"/>
          <w:sz w:val="22"/>
          <w:szCs w:val="22"/>
        </w:rPr>
        <w:t>Langtímameðferð með imatinibi getur tengst klínískt mikilvægri skerðingu á nýrnastarfsemi. Því skal leggja mat á nýrnastarfsemi áður en meðferð með imatinibi er hafin og hafa náið eftirlit með henni meðan á meðferð stendur og beina sérstakri athygli að þeim sjúklingum sem eru með áhættuþætti fyrir truflun á starfsemi nýrna. Ef truflun á starfsemi nýrna kemur fram skal veita viðeigandi meðferð í samræmi við hefðbundnar leiðbeiningar um meðferð.</w:t>
      </w:r>
    </w:p>
    <w:p w14:paraId="05B8B6EA" w14:textId="77777777" w:rsidR="007B5D76" w:rsidRPr="006774D3" w:rsidRDefault="007B5D76" w:rsidP="00F77C66">
      <w:pPr>
        <w:rPr>
          <w:color w:val="000000"/>
          <w:sz w:val="22"/>
          <w:szCs w:val="22"/>
        </w:rPr>
      </w:pPr>
    </w:p>
    <w:p w14:paraId="05B8B6EB" w14:textId="77777777" w:rsidR="007B5D76" w:rsidRPr="006774D3" w:rsidRDefault="007B5D76" w:rsidP="00F77C66">
      <w:pPr>
        <w:keepNext/>
        <w:rPr>
          <w:color w:val="000000"/>
          <w:sz w:val="22"/>
          <w:szCs w:val="22"/>
          <w:u w:val="single"/>
        </w:rPr>
      </w:pPr>
      <w:r w:rsidRPr="006774D3">
        <w:rPr>
          <w:color w:val="000000"/>
          <w:sz w:val="22"/>
          <w:szCs w:val="22"/>
          <w:u w:val="single"/>
        </w:rPr>
        <w:t>Börn</w:t>
      </w:r>
    </w:p>
    <w:p w14:paraId="05B8B6EC" w14:textId="77777777" w:rsidR="007B5D76" w:rsidRPr="006774D3" w:rsidRDefault="007B5D76" w:rsidP="00F77C66">
      <w:pPr>
        <w:rPr>
          <w:color w:val="000000"/>
          <w:sz w:val="22"/>
          <w:szCs w:val="22"/>
        </w:rPr>
      </w:pPr>
      <w:r w:rsidRPr="006774D3">
        <w:rPr>
          <w:color w:val="000000"/>
          <w:sz w:val="22"/>
          <w:szCs w:val="22"/>
        </w:rPr>
        <w:t xml:space="preserve">Greint hefur verið frá vaxtarskerðingu hjá börnum og stálpuðum börnum (preadolecents) á meðferð með imatinibi. </w:t>
      </w:r>
      <w:r w:rsidR="00AE443D" w:rsidRPr="006774D3">
        <w:rPr>
          <w:color w:val="000000"/>
          <w:sz w:val="22"/>
          <w:szCs w:val="22"/>
        </w:rPr>
        <w:t xml:space="preserve">Í áhorfsrannsókn hjá börnum með CML var greint frá tölfræðilega marktækri lækkun </w:t>
      </w:r>
      <w:r w:rsidR="00AE443D" w:rsidRPr="006774D3">
        <w:rPr>
          <w:color w:val="000000"/>
          <w:sz w:val="22"/>
          <w:szCs w:val="22"/>
        </w:rPr>
        <w:lastRenderedPageBreak/>
        <w:t>(en klínískt mikilvægi er óþekkt) staðalfráviksstigs á miðgildi hæðar eftir 12 og 24 mánaða meðferð í tveimur litlum undirhópum óháð kynþroska og kyni</w:t>
      </w:r>
      <w:r w:rsidR="00BF0986" w:rsidRPr="006774D3">
        <w:rPr>
          <w:color w:val="000000"/>
          <w:sz w:val="22"/>
          <w:szCs w:val="22"/>
        </w:rPr>
        <w:t>.</w:t>
      </w:r>
      <w:r w:rsidRPr="006774D3">
        <w:rPr>
          <w:color w:val="000000"/>
          <w:sz w:val="22"/>
          <w:szCs w:val="22"/>
        </w:rPr>
        <w:t xml:space="preserve"> </w:t>
      </w:r>
      <w:r w:rsidR="00BF0986" w:rsidRPr="006774D3">
        <w:rPr>
          <w:color w:val="000000"/>
          <w:sz w:val="22"/>
          <w:szCs w:val="22"/>
        </w:rPr>
        <w:t>M</w:t>
      </w:r>
      <w:r w:rsidRPr="006774D3">
        <w:rPr>
          <w:color w:val="000000"/>
          <w:sz w:val="22"/>
          <w:szCs w:val="22"/>
        </w:rPr>
        <w:t xml:space="preserve">ælt </w:t>
      </w:r>
      <w:r w:rsidR="00BF0986" w:rsidRPr="006774D3">
        <w:rPr>
          <w:color w:val="000000"/>
          <w:sz w:val="22"/>
          <w:szCs w:val="22"/>
        </w:rPr>
        <w:t xml:space="preserve">er </w:t>
      </w:r>
      <w:r w:rsidRPr="006774D3">
        <w:rPr>
          <w:color w:val="000000"/>
          <w:sz w:val="22"/>
          <w:szCs w:val="22"/>
        </w:rPr>
        <w:t xml:space="preserve">með </w:t>
      </w:r>
      <w:r w:rsidR="00BF0986" w:rsidRPr="006774D3">
        <w:rPr>
          <w:color w:val="000000"/>
          <w:sz w:val="22"/>
          <w:szCs w:val="22"/>
        </w:rPr>
        <w:t xml:space="preserve">því </w:t>
      </w:r>
      <w:r w:rsidRPr="006774D3">
        <w:rPr>
          <w:color w:val="000000"/>
          <w:sz w:val="22"/>
          <w:szCs w:val="22"/>
        </w:rPr>
        <w:t>að haft sé náið eftirlit með vexti barna á meðferð með imatinibi (sjá kafla 4.8).</w:t>
      </w:r>
    </w:p>
    <w:p w14:paraId="05B8B6ED" w14:textId="77777777" w:rsidR="007B5D76" w:rsidRPr="006774D3" w:rsidRDefault="007B5D76" w:rsidP="00F77C66">
      <w:pPr>
        <w:rPr>
          <w:color w:val="000000"/>
          <w:sz w:val="22"/>
          <w:szCs w:val="22"/>
        </w:rPr>
      </w:pPr>
    </w:p>
    <w:p w14:paraId="05B8B6EE" w14:textId="77777777" w:rsidR="007B5D76" w:rsidRPr="006774D3" w:rsidRDefault="007B5D76" w:rsidP="00F77C66">
      <w:pPr>
        <w:keepNext/>
        <w:rPr>
          <w:color w:val="000000"/>
          <w:sz w:val="22"/>
          <w:szCs w:val="22"/>
        </w:rPr>
      </w:pPr>
      <w:r w:rsidRPr="006774D3">
        <w:rPr>
          <w:b/>
          <w:color w:val="000000"/>
          <w:sz w:val="22"/>
          <w:szCs w:val="22"/>
        </w:rPr>
        <w:t>4.5</w:t>
      </w:r>
      <w:r w:rsidRPr="006774D3">
        <w:rPr>
          <w:b/>
          <w:color w:val="000000"/>
          <w:sz w:val="22"/>
          <w:szCs w:val="22"/>
        </w:rPr>
        <w:tab/>
        <w:t>Milliverkanir við önnur lyf og aðrar milliverkanir</w:t>
      </w:r>
    </w:p>
    <w:p w14:paraId="05B8B6EF" w14:textId="77777777" w:rsidR="007B5D76" w:rsidRPr="006774D3" w:rsidRDefault="007B5D76"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p>
    <w:p w14:paraId="05B8B6F0" w14:textId="77777777" w:rsidR="007B5D76" w:rsidRPr="006774D3" w:rsidRDefault="007B5D76" w:rsidP="00F77C66">
      <w:pPr>
        <w:keepNext/>
        <w:rPr>
          <w:color w:val="000000"/>
          <w:sz w:val="22"/>
          <w:szCs w:val="22"/>
          <w:u w:val="single"/>
        </w:rPr>
      </w:pPr>
      <w:r w:rsidRPr="006774D3">
        <w:rPr>
          <w:bCs/>
          <w:color w:val="000000"/>
          <w:sz w:val="22"/>
          <w:szCs w:val="22"/>
          <w:u w:val="single"/>
        </w:rPr>
        <w:t>Virk efni</w:t>
      </w:r>
      <w:r w:rsidRPr="006774D3">
        <w:rPr>
          <w:color w:val="000000"/>
          <w:sz w:val="22"/>
          <w:szCs w:val="22"/>
          <w:u w:val="single"/>
        </w:rPr>
        <w:t xml:space="preserve"> sem geta </w:t>
      </w:r>
      <w:r w:rsidRPr="006774D3">
        <w:rPr>
          <w:b/>
          <w:bCs/>
          <w:color w:val="000000"/>
          <w:sz w:val="22"/>
          <w:szCs w:val="22"/>
          <w:u w:val="single"/>
        </w:rPr>
        <w:t>aukið</w:t>
      </w:r>
      <w:r w:rsidRPr="006774D3">
        <w:rPr>
          <w:color w:val="000000"/>
          <w:sz w:val="22"/>
          <w:szCs w:val="22"/>
          <w:u w:val="single"/>
        </w:rPr>
        <w:t xml:space="preserve"> plasmaþéttni imatinibs:</w:t>
      </w:r>
    </w:p>
    <w:p w14:paraId="05B8B6F1" w14:textId="77777777" w:rsidR="007B5D76" w:rsidRPr="006774D3" w:rsidRDefault="007B5D76" w:rsidP="00F77C66">
      <w:pPr>
        <w:rPr>
          <w:color w:val="000000"/>
          <w:sz w:val="22"/>
          <w:szCs w:val="22"/>
        </w:rPr>
      </w:pPr>
      <w:r w:rsidRPr="006774D3">
        <w:rPr>
          <w:color w:val="000000"/>
          <w:sz w:val="22"/>
          <w:szCs w:val="22"/>
        </w:rPr>
        <w:t xml:space="preserve">Efni sem hamla virkni </w:t>
      </w:r>
      <w:r w:rsidRPr="006774D3">
        <w:rPr>
          <w:rStyle w:val="searchresultinfo1"/>
          <w:rFonts w:ascii="Times New Roman" w:hAnsi="Times New Roman"/>
          <w:color w:val="auto"/>
          <w:sz w:val="22"/>
          <w:szCs w:val="22"/>
        </w:rPr>
        <w:t>sýtókróm</w:t>
      </w:r>
      <w:r w:rsidRPr="006774D3">
        <w:rPr>
          <w:sz w:val="22"/>
          <w:szCs w:val="22"/>
        </w:rPr>
        <w:t xml:space="preserve"> P</w:t>
      </w:r>
      <w:r w:rsidRPr="006774D3">
        <w:rPr>
          <w:color w:val="000000"/>
          <w:sz w:val="22"/>
          <w:szCs w:val="22"/>
        </w:rPr>
        <w:t>450 ísóensímsins CYP3A4 (t.d. próteasahemlar eins og t.d. indinavir, lopinavir/ritonavir, ritonavir, saquinavir, telaprevir, nelfinavir og boceprevir; azól sveppalyf þ.m.t. ketoconazol, itraconazol, posaconazol og voriconazol; ákveðnir makrólíðar eins og t.d. erytro</w:t>
      </w:r>
      <w:r w:rsidRPr="006774D3">
        <w:rPr>
          <w:color w:val="000000"/>
          <w:sz w:val="22"/>
          <w:szCs w:val="22"/>
        </w:rPr>
        <w:softHyphen/>
        <w:t>mycin, claritromycin og telithromycin) geta dregið úr umbrotum og aukið þéttni imatinibs. Marktæk aukning í útsetningu fyrir imatinibi (meðalgildi C</w:t>
      </w:r>
      <w:r w:rsidRPr="006774D3">
        <w:rPr>
          <w:color w:val="000000"/>
          <w:sz w:val="22"/>
          <w:szCs w:val="22"/>
          <w:vertAlign w:val="subscript"/>
        </w:rPr>
        <w:t>max</w:t>
      </w:r>
      <w:r w:rsidRPr="006774D3">
        <w:rPr>
          <w:color w:val="000000"/>
          <w:sz w:val="22"/>
          <w:szCs w:val="22"/>
        </w:rPr>
        <w:t xml:space="preserve"> og AUC fyrir imatinib jukust um 26% og 40%, tilgreint í sömu röð) kom fram hjá heilbrigðum einstaklingum þegar það var gefið samtímis einum skammti af ketoconazoli (CYP3A4 hemill). Gæta skal varúðar þegar Glivec er notað samhliða lyfjum sem hamla CYP3A4 ensímunum.</w:t>
      </w:r>
    </w:p>
    <w:p w14:paraId="05B8B6F2" w14:textId="77777777" w:rsidR="007B5D76" w:rsidRPr="006774D3" w:rsidRDefault="007B5D76" w:rsidP="00F77C66">
      <w:pPr>
        <w:rPr>
          <w:color w:val="000000"/>
          <w:sz w:val="22"/>
          <w:szCs w:val="22"/>
        </w:rPr>
      </w:pPr>
    </w:p>
    <w:p w14:paraId="05B8B6F3" w14:textId="77777777" w:rsidR="007B5D76" w:rsidRPr="006774D3" w:rsidRDefault="007B5D76" w:rsidP="00F77C66">
      <w:pPr>
        <w:keepNext/>
        <w:rPr>
          <w:color w:val="000000"/>
          <w:sz w:val="22"/>
          <w:szCs w:val="22"/>
          <w:u w:val="single"/>
        </w:rPr>
      </w:pPr>
      <w:r w:rsidRPr="006774D3">
        <w:rPr>
          <w:color w:val="000000"/>
          <w:sz w:val="22"/>
          <w:szCs w:val="22"/>
          <w:u w:val="single"/>
        </w:rPr>
        <w:t xml:space="preserve">Virk efni sem geta </w:t>
      </w:r>
      <w:r w:rsidRPr="006774D3">
        <w:rPr>
          <w:b/>
          <w:color w:val="000000"/>
          <w:sz w:val="22"/>
          <w:szCs w:val="22"/>
          <w:u w:val="single"/>
        </w:rPr>
        <w:t>minnkað</w:t>
      </w:r>
      <w:r w:rsidRPr="006774D3">
        <w:rPr>
          <w:color w:val="000000"/>
          <w:sz w:val="22"/>
          <w:szCs w:val="22"/>
          <w:u w:val="single"/>
        </w:rPr>
        <w:t xml:space="preserve"> plasmaþéttni imatinibs:</w:t>
      </w:r>
    </w:p>
    <w:p w14:paraId="05B8B6F4" w14:textId="77777777" w:rsidR="007B5D76" w:rsidRPr="006774D3" w:rsidRDefault="007B5D76" w:rsidP="00F77C66">
      <w:pPr>
        <w:rPr>
          <w:color w:val="000000"/>
          <w:sz w:val="22"/>
          <w:szCs w:val="22"/>
        </w:rPr>
      </w:pPr>
      <w:r w:rsidRPr="006774D3">
        <w:rPr>
          <w:color w:val="000000"/>
          <w:sz w:val="22"/>
          <w:szCs w:val="22"/>
        </w:rPr>
        <w:t xml:space="preserve">Efni sem virkja CYP3A4 (t.d. dexametason, fenytoin, carbamazepin, rifampicin, fenobarbital, fosfenytoin, primidon eða </w:t>
      </w:r>
      <w:r w:rsidRPr="006774D3">
        <w:rPr>
          <w:i/>
          <w:iCs/>
          <w:color w:val="000000"/>
          <w:sz w:val="22"/>
          <w:szCs w:val="22"/>
        </w:rPr>
        <w:t>Hypericum perforatum</w:t>
      </w:r>
      <w:r w:rsidRPr="006774D3">
        <w:rPr>
          <w:color w:val="000000"/>
          <w:sz w:val="22"/>
          <w:szCs w:val="22"/>
        </w:rPr>
        <w:t>, einnig þekkt sem jóhannesarjurt [jónsmessurunni. St. John’s wort]) geta dregið marktækt úr útsetningu fyrir Glivec, sem hugsanlega eykur líkur á meðferðarbresti. Formeðferð með endurteknum skömmtum af rifampicini, 600 mg, fylgt eftir með einum 400 mg skammti af Glivec leiddi til minnkunar C</w:t>
      </w:r>
      <w:r w:rsidRPr="006774D3">
        <w:rPr>
          <w:color w:val="000000"/>
          <w:sz w:val="22"/>
          <w:szCs w:val="22"/>
          <w:vertAlign w:val="subscript"/>
        </w:rPr>
        <w:t>max</w:t>
      </w:r>
      <w:r w:rsidRPr="006774D3">
        <w:rPr>
          <w:color w:val="000000"/>
          <w:sz w:val="22"/>
          <w:szCs w:val="22"/>
        </w:rPr>
        <w:t xml:space="preserve"> og AUC</w:t>
      </w:r>
      <w:r w:rsidRPr="006774D3">
        <w:rPr>
          <w:color w:val="000000"/>
          <w:sz w:val="22"/>
          <w:szCs w:val="22"/>
          <w:vertAlign w:val="subscript"/>
        </w:rPr>
        <w:t>(0-∞)</w:t>
      </w:r>
      <w:r w:rsidRPr="006774D3">
        <w:rPr>
          <w:color w:val="000000"/>
          <w:sz w:val="22"/>
          <w:szCs w:val="22"/>
        </w:rPr>
        <w:t xml:space="preserve"> um að minnsta kosti 54% og 74% fyrir samsvarandi gildi án meðferðar með rifampicin. Svipaðar niðurstöður komu fram hjá sjúklingum með illkynja tróðæxli (gliomas) sem fengu meðferð með Glivec á sama tíma og þeir notuðu ensímhvetjandi flogaveikilyf, t.d. carbamazepin, oxcarbazepin og fenytoin. AUC gildi imatinibs í plasma minnkaði um 73% samanborið við sjúklinga sem ekki notuðu ensímhvetjandi flogaveikilyf. Forðast skal samhliða notkun imatinibs með rifampicini eða öðrum öflugum virkjum CYP3A4.</w:t>
      </w:r>
    </w:p>
    <w:p w14:paraId="05B8B6F5" w14:textId="77777777" w:rsidR="007B5D76" w:rsidRPr="006774D3" w:rsidRDefault="007B5D76" w:rsidP="00F77C66">
      <w:pPr>
        <w:rPr>
          <w:color w:val="000000"/>
          <w:sz w:val="22"/>
          <w:szCs w:val="22"/>
        </w:rPr>
      </w:pPr>
    </w:p>
    <w:p w14:paraId="05B8B6F6" w14:textId="77777777" w:rsidR="007B5D76" w:rsidRPr="006774D3" w:rsidRDefault="007B5D76" w:rsidP="00F77C66">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t>Virk efni sem Glivec getur breytt plasmaþéttni fyrir</w:t>
      </w:r>
    </w:p>
    <w:p w14:paraId="05B8B6F7" w14:textId="77777777" w:rsidR="007B5D76" w:rsidRPr="006774D3" w:rsidRDefault="007B5D76" w:rsidP="00F77C66">
      <w:pPr>
        <w:rPr>
          <w:color w:val="000000"/>
          <w:sz w:val="22"/>
          <w:szCs w:val="22"/>
        </w:rPr>
      </w:pPr>
      <w:r w:rsidRPr="006774D3">
        <w:rPr>
          <w:color w:val="000000"/>
          <w:sz w:val="22"/>
          <w:szCs w:val="22"/>
        </w:rPr>
        <w:t>Imatinib eykur meðaltalsgildi C</w:t>
      </w:r>
      <w:r w:rsidRPr="006774D3">
        <w:rPr>
          <w:color w:val="000000"/>
          <w:sz w:val="22"/>
          <w:szCs w:val="22"/>
          <w:vertAlign w:val="subscript"/>
        </w:rPr>
        <w:t>max</w:t>
      </w:r>
      <w:r w:rsidRPr="006774D3">
        <w:rPr>
          <w:color w:val="000000"/>
          <w:sz w:val="22"/>
          <w:szCs w:val="22"/>
        </w:rPr>
        <w:t xml:space="preserve"> og AUC fyrir simvastatin (hvarfefni CYP3A4) 2 falt og 3,5 falt, tilgreint í sömu röð, sem gefur til kynna að imatinib hamli CYP3A4. Því er mælt með að varúðar sé gætt þegar Glivec er notað með CYP3A4 hvarfefnum sem hafa þröngt skammtabil (t.d. ciclosporin, pimozid, tacrolimus, sirolimus, ergotamin, diergotamin, fentanyl, alfentanil, terfenadin, bortezomib, docetaxel og quinidin). Glivec getur aukið plasmaþéttni annarra lyfja sem umbrotna fyrir tilstilli CYP3A4 (t.d. triazolo</w:t>
      </w:r>
      <w:r w:rsidRPr="006774D3">
        <w:rPr>
          <w:color w:val="000000"/>
          <w:sz w:val="22"/>
          <w:szCs w:val="22"/>
        </w:rPr>
        <w:noBreakHyphen/>
        <w:t>benzodiazepin, kalsíum</w:t>
      </w:r>
      <w:r w:rsidRPr="006774D3">
        <w:rPr>
          <w:color w:val="000000"/>
          <w:sz w:val="22"/>
          <w:szCs w:val="22"/>
        </w:rPr>
        <w:softHyphen/>
        <w:t>gangalokar af flokki dihydropyridina, ákveðnir HMG</w:t>
      </w:r>
      <w:r w:rsidRPr="006774D3">
        <w:rPr>
          <w:color w:val="000000"/>
          <w:sz w:val="22"/>
          <w:szCs w:val="22"/>
        </w:rPr>
        <w:noBreakHyphen/>
        <w:t>CoA reductasablokkar, þ.e. statín, o.s.frv.).</w:t>
      </w:r>
    </w:p>
    <w:p w14:paraId="05B8B6F8" w14:textId="77777777" w:rsidR="007B5D76" w:rsidRPr="006774D3" w:rsidRDefault="007B5D76" w:rsidP="00F77C66">
      <w:pPr>
        <w:rPr>
          <w:color w:val="000000"/>
          <w:sz w:val="22"/>
          <w:szCs w:val="22"/>
        </w:rPr>
      </w:pPr>
    </w:p>
    <w:p w14:paraId="05B8B6F9" w14:textId="77777777" w:rsidR="007B5D76" w:rsidRPr="006774D3" w:rsidRDefault="007B5D76" w:rsidP="00F77C66">
      <w:pPr>
        <w:rPr>
          <w:color w:val="000000"/>
          <w:sz w:val="22"/>
          <w:szCs w:val="22"/>
        </w:rPr>
      </w:pPr>
      <w:r w:rsidRPr="006774D3">
        <w:rPr>
          <w:color w:val="000000"/>
          <w:sz w:val="22"/>
          <w:szCs w:val="22"/>
        </w:rPr>
        <w:t>Vegna þekktrar aukinnar hættu á blæðingum í tengslum við notkun imatinibs (t.d. mikilli blæðingu (haemorrhage)) eiga sjúklingar sem þurfa segavörn að nota heparin með lágri sameindarþyngd eða venjulegt heparin, í staðinn fyrir coumarin afleiður svo sem warfarin.</w:t>
      </w:r>
    </w:p>
    <w:p w14:paraId="05B8B6FA" w14:textId="77777777" w:rsidR="007B5D76" w:rsidRPr="006774D3" w:rsidRDefault="007B5D76"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6FB" w14:textId="77777777" w:rsidR="007B5D76" w:rsidRPr="006774D3" w:rsidRDefault="007B5D76" w:rsidP="00F77C66">
      <w:pPr>
        <w:rPr>
          <w:color w:val="000000"/>
          <w:sz w:val="22"/>
          <w:szCs w:val="22"/>
        </w:rPr>
      </w:pPr>
      <w:r w:rsidRPr="006774D3">
        <w:rPr>
          <w:i/>
          <w:color w:val="000000"/>
          <w:sz w:val="22"/>
          <w:szCs w:val="22"/>
        </w:rPr>
        <w:t>In vitro</w:t>
      </w:r>
      <w:r w:rsidRPr="006774D3">
        <w:rPr>
          <w:color w:val="000000"/>
          <w:sz w:val="22"/>
          <w:szCs w:val="22"/>
        </w:rPr>
        <w:t xml:space="preserve"> hamlar Glivec </w:t>
      </w:r>
      <w:r w:rsidRPr="006774D3">
        <w:rPr>
          <w:sz w:val="22"/>
          <w:szCs w:val="22"/>
        </w:rPr>
        <w:t xml:space="preserve">virkni </w:t>
      </w:r>
      <w:r w:rsidRPr="006774D3">
        <w:rPr>
          <w:rStyle w:val="searchresultinfo1"/>
          <w:rFonts w:ascii="Times New Roman" w:hAnsi="Times New Roman"/>
          <w:color w:val="auto"/>
          <w:sz w:val="22"/>
          <w:szCs w:val="22"/>
        </w:rPr>
        <w:t>sýtókróm</w:t>
      </w:r>
      <w:r w:rsidRPr="006774D3">
        <w:rPr>
          <w:sz w:val="22"/>
          <w:szCs w:val="22"/>
        </w:rPr>
        <w:t xml:space="preserve"> P450 ísóensímsins</w:t>
      </w:r>
      <w:r w:rsidRPr="006774D3">
        <w:rPr>
          <w:color w:val="000000"/>
          <w:sz w:val="22"/>
          <w:szCs w:val="22"/>
        </w:rPr>
        <w:t xml:space="preserve"> CYP2D6 við þéttni svipaða þeirri sem hefur áhrif á virkni CYP3A4. Imatinib, í skammtinum 400 mg tvisvar sinnum á sólarhring, hafði hamlandi áhrif á CYP2D6 miðluð umbrot metoprolols með þeirri afleiðingu að gildi C</w:t>
      </w:r>
      <w:r w:rsidRPr="006774D3">
        <w:rPr>
          <w:color w:val="000000"/>
          <w:sz w:val="22"/>
          <w:szCs w:val="22"/>
          <w:vertAlign w:val="subscript"/>
        </w:rPr>
        <w:t>max</w:t>
      </w:r>
      <w:r w:rsidRPr="006774D3">
        <w:rPr>
          <w:color w:val="000000"/>
          <w:sz w:val="22"/>
          <w:szCs w:val="22"/>
        </w:rPr>
        <w:t xml:space="preserve"> og AUC fyrir metoprolol hækkuðu um u.þ.b. 23% (90%CI [1,16</w:t>
      </w:r>
      <w:r w:rsidRPr="006774D3">
        <w:rPr>
          <w:color w:val="000000"/>
          <w:sz w:val="22"/>
          <w:szCs w:val="22"/>
        </w:rPr>
        <w:noBreakHyphen/>
        <w:t>1,30]). Ekki virðist nauðsynlegt að breyta skömmtum þegar imatinib er notað samhliða hvarfefnum CYP2D6, en gæta skal varúðar þegar um er að ræða CYP2D6 hvarfefni með þröngt lækningalegt bil, t.d. metoprolol. Íhuga skal klínískt eftirlit með sjúklingum sem eru í meðferð með metoprololi.</w:t>
      </w:r>
    </w:p>
    <w:p w14:paraId="05B8B6FC" w14:textId="77777777" w:rsidR="007B5D76" w:rsidRPr="006774D3" w:rsidRDefault="007B5D76" w:rsidP="00F77C66">
      <w:pPr>
        <w:rPr>
          <w:color w:val="000000"/>
          <w:sz w:val="22"/>
          <w:szCs w:val="22"/>
        </w:rPr>
      </w:pPr>
    </w:p>
    <w:p w14:paraId="05B8B6FD" w14:textId="77777777" w:rsidR="007B5D76" w:rsidRPr="006774D3" w:rsidRDefault="007B5D76" w:rsidP="00F77C66">
      <w:pPr>
        <w:rPr>
          <w:color w:val="000000"/>
          <w:sz w:val="22"/>
          <w:szCs w:val="22"/>
        </w:rPr>
      </w:pPr>
      <w:r w:rsidRPr="006774D3">
        <w:rPr>
          <w:i/>
          <w:color w:val="000000"/>
          <w:sz w:val="22"/>
          <w:szCs w:val="22"/>
        </w:rPr>
        <w:t>In vitro</w:t>
      </w:r>
      <w:r w:rsidRPr="006774D3">
        <w:rPr>
          <w:color w:val="000000"/>
          <w:sz w:val="22"/>
          <w:szCs w:val="22"/>
        </w:rPr>
        <w:t xml:space="preserve"> hamlar Glivec O</w:t>
      </w:r>
      <w:r w:rsidRPr="006774D3">
        <w:rPr>
          <w:color w:val="000000"/>
          <w:sz w:val="22"/>
          <w:szCs w:val="22"/>
        </w:rPr>
        <w:noBreakHyphen/>
        <w:t xml:space="preserve">glucurontengingu paracetamols með Ki gildi sem er 58,5 míkrómól/l. Þessi hömlun hefur ekki komið fram </w:t>
      </w:r>
      <w:r w:rsidRPr="006774D3">
        <w:rPr>
          <w:i/>
          <w:color w:val="000000"/>
          <w:sz w:val="22"/>
          <w:szCs w:val="22"/>
        </w:rPr>
        <w:t>in vivo</w:t>
      </w:r>
      <w:r w:rsidRPr="006774D3">
        <w:rPr>
          <w:color w:val="000000"/>
          <w:sz w:val="22"/>
          <w:szCs w:val="22"/>
        </w:rPr>
        <w:t xml:space="preserve"> eftir notkun Glivec 400 mg og paracetamols 1000 mg. Stærri skammtar af Glivec og paracetamoli hafa ekki verið rannsakaðir.</w:t>
      </w:r>
    </w:p>
    <w:p w14:paraId="05B8B6FE" w14:textId="77777777" w:rsidR="007B5D76" w:rsidRPr="006774D3" w:rsidRDefault="007B5D76" w:rsidP="00F77C66">
      <w:pPr>
        <w:rPr>
          <w:color w:val="000000"/>
          <w:sz w:val="22"/>
          <w:szCs w:val="22"/>
        </w:rPr>
      </w:pPr>
    </w:p>
    <w:p w14:paraId="05B8B6FF" w14:textId="77777777" w:rsidR="007B5D76" w:rsidRPr="006774D3" w:rsidRDefault="007B5D76" w:rsidP="00F77C66">
      <w:pPr>
        <w:rPr>
          <w:color w:val="000000"/>
          <w:sz w:val="22"/>
          <w:szCs w:val="22"/>
        </w:rPr>
      </w:pPr>
      <w:r w:rsidRPr="006774D3">
        <w:rPr>
          <w:color w:val="000000"/>
          <w:sz w:val="22"/>
          <w:szCs w:val="22"/>
        </w:rPr>
        <w:t>Því skal gæta varúðar þegar stórir skammtar af Glivec og paracetamoli eru notaðir samhliða.</w:t>
      </w:r>
    </w:p>
    <w:p w14:paraId="05B8B700" w14:textId="77777777" w:rsidR="007B5D76" w:rsidRPr="006774D3" w:rsidRDefault="007B5D76" w:rsidP="00F77C66">
      <w:pPr>
        <w:rPr>
          <w:color w:val="000000"/>
          <w:sz w:val="22"/>
          <w:szCs w:val="22"/>
        </w:rPr>
      </w:pPr>
    </w:p>
    <w:p w14:paraId="05B8B701" w14:textId="77777777" w:rsidR="007B5D76" w:rsidRPr="006774D3" w:rsidRDefault="007B5D76" w:rsidP="00F77C66">
      <w:pPr>
        <w:rPr>
          <w:color w:val="000000"/>
          <w:sz w:val="22"/>
          <w:szCs w:val="22"/>
        </w:rPr>
      </w:pPr>
      <w:r w:rsidRPr="006774D3">
        <w:rPr>
          <w:color w:val="000000"/>
          <w:sz w:val="22"/>
          <w:szCs w:val="22"/>
        </w:rPr>
        <w:lastRenderedPageBreak/>
        <w:t>Hjá sjúklingum sem gengist hafa undir skjaldkirtilsbrottnám og eru í meðferð með levotyroxini má vera að útsetning í plasma fyrir levotyroxini minnki við samhliða meðferð með Glivec (sjá kafla 4.4). Því er mælt með að varúðar sé gætt. Hins vegar er orsök þessarar milliverkunar ekki enn þekkt.</w:t>
      </w:r>
    </w:p>
    <w:p w14:paraId="05B8B702" w14:textId="77777777" w:rsidR="007B5D76" w:rsidRPr="006774D3" w:rsidRDefault="007B5D76" w:rsidP="00F77C66">
      <w:pPr>
        <w:rPr>
          <w:color w:val="000000"/>
          <w:sz w:val="22"/>
          <w:szCs w:val="22"/>
        </w:rPr>
      </w:pPr>
    </w:p>
    <w:p w14:paraId="05B8B703" w14:textId="77777777" w:rsidR="007B5D76" w:rsidRPr="006774D3" w:rsidRDefault="007B5D76" w:rsidP="00F77C66">
      <w:pPr>
        <w:rPr>
          <w:color w:val="000000"/>
          <w:sz w:val="22"/>
          <w:szCs w:val="22"/>
        </w:rPr>
      </w:pPr>
      <w:r w:rsidRPr="006774D3">
        <w:rPr>
          <w:color w:val="000000"/>
          <w:sz w:val="22"/>
          <w:szCs w:val="22"/>
        </w:rPr>
        <w:t>Klínísk reynsla er af samhliða meðferð með Glivec og krabbameinslyfjum hjá sjúklingum með Ph+ ALL (sjá kafla 5.1) en milliverkanir imatinibs og krabbameinslyfja eru ekki vel þekktar. Vera má að aukaverkanir imatinibs, þ.e. eiturverkanir á lifur, mergbæling og aðrar aukaverkanir, aukist og greint hefur verið frá því að samhliða notkun með L</w:t>
      </w:r>
      <w:r w:rsidRPr="006774D3">
        <w:rPr>
          <w:color w:val="000000"/>
          <w:sz w:val="22"/>
          <w:szCs w:val="22"/>
        </w:rPr>
        <w:noBreakHyphen/>
        <w:t>asparaginasa gæti tengst auknum eiturverkunum á lifur (sjá kafla 4.8). Samhliða notkun Glivec með öðrum lyfjum þarfnast því sérstakrar varúðar.</w:t>
      </w:r>
    </w:p>
    <w:p w14:paraId="05B8B704" w14:textId="77777777" w:rsidR="007B5D76" w:rsidRPr="006774D3" w:rsidRDefault="007B5D76" w:rsidP="00F77C66">
      <w:pPr>
        <w:rPr>
          <w:color w:val="000000"/>
          <w:sz w:val="22"/>
          <w:szCs w:val="22"/>
        </w:rPr>
      </w:pPr>
    </w:p>
    <w:p w14:paraId="05B8B705" w14:textId="77777777" w:rsidR="007B5D76" w:rsidRPr="006774D3" w:rsidRDefault="007B5D76" w:rsidP="00F77C66">
      <w:pPr>
        <w:keepNext/>
        <w:rPr>
          <w:b/>
          <w:color w:val="000000"/>
          <w:sz w:val="22"/>
          <w:szCs w:val="22"/>
        </w:rPr>
      </w:pPr>
      <w:r w:rsidRPr="006774D3">
        <w:rPr>
          <w:b/>
          <w:color w:val="000000"/>
          <w:sz w:val="22"/>
          <w:szCs w:val="22"/>
        </w:rPr>
        <w:t>4.6</w:t>
      </w:r>
      <w:r w:rsidRPr="006774D3">
        <w:rPr>
          <w:b/>
          <w:color w:val="000000"/>
          <w:sz w:val="22"/>
          <w:szCs w:val="22"/>
        </w:rPr>
        <w:tab/>
        <w:t>Frjósemi, meðganga og brjóstagjöf</w:t>
      </w:r>
    </w:p>
    <w:p w14:paraId="05B8B706" w14:textId="77777777" w:rsidR="007B5D76" w:rsidRPr="006774D3" w:rsidRDefault="007B5D76" w:rsidP="00F77C66">
      <w:pPr>
        <w:pStyle w:val="Authors"/>
        <w:spacing w:before="0"/>
        <w:rPr>
          <w:rFonts w:ascii="Times New Roman" w:hAnsi="Times New Roman"/>
          <w:bCs/>
          <w:color w:val="000000"/>
          <w:szCs w:val="22"/>
          <w:lang w:val="is-IS"/>
        </w:rPr>
      </w:pPr>
    </w:p>
    <w:p w14:paraId="05B8B707" w14:textId="77777777" w:rsidR="007B5D76" w:rsidRPr="006774D3" w:rsidRDefault="007B5D76" w:rsidP="00F77C66">
      <w:pPr>
        <w:pStyle w:val="Authors"/>
        <w:spacing w:before="0"/>
        <w:rPr>
          <w:rFonts w:ascii="Times New Roman" w:hAnsi="Times New Roman"/>
          <w:bCs/>
          <w:color w:val="000000"/>
          <w:szCs w:val="22"/>
          <w:u w:val="single"/>
          <w:lang w:val="is-IS"/>
        </w:rPr>
      </w:pPr>
      <w:r w:rsidRPr="006774D3">
        <w:rPr>
          <w:rFonts w:ascii="Times New Roman" w:hAnsi="Times New Roman"/>
          <w:bCs/>
          <w:color w:val="000000"/>
          <w:szCs w:val="22"/>
          <w:u w:val="single"/>
          <w:lang w:val="is-IS"/>
        </w:rPr>
        <w:t>Konur á barneignaraldri</w:t>
      </w:r>
    </w:p>
    <w:p w14:paraId="05B8B708" w14:textId="77777777" w:rsidR="007B5D76" w:rsidRPr="006774D3" w:rsidRDefault="007B5D76" w:rsidP="00F77C66">
      <w:pPr>
        <w:rPr>
          <w:color w:val="000000"/>
          <w:sz w:val="22"/>
          <w:szCs w:val="22"/>
        </w:rPr>
      </w:pPr>
      <w:r w:rsidRPr="006774D3">
        <w:rPr>
          <w:color w:val="000000"/>
          <w:sz w:val="22"/>
          <w:szCs w:val="22"/>
        </w:rPr>
        <w:t>Ráðleggja verður konum á barneignaraldri að nota örugga getnaðarvörn meðan á meðferð stendur</w:t>
      </w:r>
      <w:r w:rsidR="00946B1B" w:rsidRPr="006774D3">
        <w:rPr>
          <w:color w:val="000000"/>
          <w:sz w:val="22"/>
          <w:szCs w:val="22"/>
        </w:rPr>
        <w:t xml:space="preserve"> og í að minnsta kosti 15 daga eftir að meðferð með Glivec hefur verið hætt</w:t>
      </w:r>
      <w:r w:rsidRPr="006774D3">
        <w:rPr>
          <w:color w:val="000000"/>
          <w:sz w:val="22"/>
          <w:szCs w:val="22"/>
        </w:rPr>
        <w:t>.</w:t>
      </w:r>
    </w:p>
    <w:p w14:paraId="05B8B709" w14:textId="77777777" w:rsidR="007B5D76" w:rsidRPr="006774D3" w:rsidRDefault="007B5D76" w:rsidP="00F77C66">
      <w:pPr>
        <w:pStyle w:val="Authors"/>
        <w:keepNext w:val="0"/>
        <w:spacing w:before="0"/>
        <w:rPr>
          <w:rFonts w:ascii="Times New Roman" w:hAnsi="Times New Roman"/>
          <w:bCs/>
          <w:color w:val="000000"/>
          <w:szCs w:val="22"/>
          <w:lang w:val="is-IS"/>
        </w:rPr>
      </w:pPr>
    </w:p>
    <w:p w14:paraId="05B8B70A" w14:textId="77777777" w:rsidR="007B5D76" w:rsidRPr="006774D3" w:rsidRDefault="007B5D76" w:rsidP="00F77C66">
      <w:pPr>
        <w:pStyle w:val="EndnoteText"/>
        <w:keepNext/>
        <w:overflowPunct w:val="0"/>
        <w:autoSpaceDE w:val="0"/>
        <w:autoSpaceDN w:val="0"/>
        <w:adjustRightInd w:val="0"/>
        <w:spacing w:before="0" w:after="0"/>
        <w:ind w:left="0" w:firstLine="0"/>
        <w:textAlignment w:val="baseline"/>
        <w:rPr>
          <w:color w:val="000000"/>
          <w:sz w:val="22"/>
          <w:szCs w:val="22"/>
          <w:u w:val="single"/>
          <w:lang w:val="is-IS"/>
        </w:rPr>
      </w:pPr>
      <w:r w:rsidRPr="006774D3">
        <w:rPr>
          <w:color w:val="000000"/>
          <w:sz w:val="22"/>
          <w:szCs w:val="22"/>
          <w:u w:val="single"/>
          <w:lang w:val="is-IS"/>
        </w:rPr>
        <w:t>Meðganga</w:t>
      </w:r>
    </w:p>
    <w:p w14:paraId="05B8B70B" w14:textId="77777777" w:rsidR="007B5D76" w:rsidRPr="006774D3" w:rsidRDefault="007B5D76" w:rsidP="00F77C66">
      <w:pPr>
        <w:rPr>
          <w:color w:val="000000"/>
          <w:sz w:val="22"/>
          <w:szCs w:val="22"/>
        </w:rPr>
      </w:pPr>
      <w:r w:rsidRPr="006774D3">
        <w:rPr>
          <w:color w:val="000000"/>
          <w:sz w:val="22"/>
          <w:szCs w:val="22"/>
        </w:rPr>
        <w:t xml:space="preserve">Takmarkaðar upplýsingar liggja fyrir um notkun imatinibs á meðgöngu. </w:t>
      </w:r>
      <w:r w:rsidR="00A8278A" w:rsidRPr="006774D3">
        <w:rPr>
          <w:color w:val="000000"/>
          <w:sz w:val="22"/>
          <w:szCs w:val="22"/>
        </w:rPr>
        <w:t xml:space="preserve">Eftir markaðssetningu lyfsins hefur verið greint frá fósturlátum án þekktrar ástæðu (spontaneous abortion) og meðfæddum vansköpunum hjá konum á meðferð með Glivec. </w:t>
      </w:r>
      <w:r w:rsidRPr="006774D3">
        <w:rPr>
          <w:color w:val="000000"/>
          <w:sz w:val="22"/>
          <w:szCs w:val="22"/>
        </w:rPr>
        <w:t>Dýrarannsóknir hafa hins vegar sýnt eiturverkanir á æxlun (sjá kafla 5.3) og hugsanleg áhætta fyrir fóstur er ekki þekkt. Ekki má nota Glivec á meðgöngu nema brýna nauðsyn beri til. Ef lyfið er notað handa þunguðum konum verður að upplýsa þær um hugsanlega áhættu fyrir fóstrið.</w:t>
      </w:r>
    </w:p>
    <w:p w14:paraId="05B8B70C" w14:textId="77777777" w:rsidR="007B5D76" w:rsidRPr="006774D3" w:rsidRDefault="007B5D76" w:rsidP="00F77C66">
      <w:pPr>
        <w:rPr>
          <w:color w:val="000000"/>
          <w:sz w:val="22"/>
          <w:szCs w:val="22"/>
        </w:rPr>
      </w:pPr>
    </w:p>
    <w:p w14:paraId="05B8B70D" w14:textId="77777777" w:rsidR="007B5D76" w:rsidRPr="006774D3" w:rsidRDefault="007B5D76"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Brjóstagjöf</w:t>
      </w:r>
    </w:p>
    <w:p w14:paraId="05B8B70E" w14:textId="016BAAA3" w:rsidR="007B5D76" w:rsidRPr="006774D3" w:rsidRDefault="007B5D76" w:rsidP="00F77C66">
      <w:pPr>
        <w:rPr>
          <w:color w:val="000000"/>
          <w:sz w:val="22"/>
          <w:szCs w:val="22"/>
        </w:rPr>
      </w:pPr>
      <w:r w:rsidRPr="006774D3">
        <w:rPr>
          <w:color w:val="000000"/>
          <w:sz w:val="22"/>
          <w:szCs w:val="22"/>
        </w:rPr>
        <w:t>Takmarkaðar upplýsingar liggja fyrir um hvort imatinib berst í brjóstamjólk. Rannsóknir hjá tveimur konum með barn á brjósti sýndu að bæði imatinib og virkt umbrotsefni þess geta borist í brjóstamjólk. Reiknað hlutfall milli mjólkur og plasma, rannsakað hjá einum sjúklingi, var 0,5 fyrir imatinib og 0,9 fyrir umbrotsefnið, sem bendir til meiri dreifingar umbrotsefnisins yfir í mjólk. Þegar tekið er tillit til samanlagðrar þéttni imatinibs og umbrotsefnisins og hámarks mjólkurneyslu ungbarnsins má gera ráð fyrir að heildarútsetning sé lítil (~10% af ráðlögðum skammti). Hins vegar, í ljósi þess að áhrif útsetningar fyrir litlum skammti af imatinibi á ungbarnið eru ekki þekkt, eiga konur ekki að hafa barn á brjósti</w:t>
      </w:r>
      <w:r w:rsidR="00946B1B" w:rsidRPr="006774D3">
        <w:rPr>
          <w:color w:val="000000"/>
          <w:sz w:val="22"/>
          <w:szCs w:val="22"/>
        </w:rPr>
        <w:t xml:space="preserve"> meðan á meðferðinni stendur og í að minnsta kosti 15 daga eftir að meðferð með Glivec hefur verið hætt</w:t>
      </w:r>
      <w:r w:rsidRPr="006774D3">
        <w:rPr>
          <w:color w:val="000000"/>
          <w:sz w:val="22"/>
          <w:szCs w:val="22"/>
        </w:rPr>
        <w:t>.</w:t>
      </w:r>
    </w:p>
    <w:p w14:paraId="05B8B70F" w14:textId="77777777" w:rsidR="007B5D76" w:rsidRPr="006774D3" w:rsidRDefault="007B5D76" w:rsidP="00F77C66">
      <w:pPr>
        <w:rPr>
          <w:color w:val="000000"/>
          <w:sz w:val="22"/>
          <w:szCs w:val="22"/>
        </w:rPr>
      </w:pPr>
    </w:p>
    <w:p w14:paraId="05B8B710" w14:textId="77777777" w:rsidR="007B5D76" w:rsidRPr="006774D3" w:rsidRDefault="007B5D76" w:rsidP="00F77C66">
      <w:pPr>
        <w:keepNext/>
        <w:rPr>
          <w:color w:val="000000"/>
          <w:sz w:val="22"/>
          <w:szCs w:val="22"/>
          <w:u w:val="single"/>
        </w:rPr>
      </w:pPr>
      <w:r w:rsidRPr="006774D3">
        <w:rPr>
          <w:color w:val="000000"/>
          <w:sz w:val="22"/>
          <w:szCs w:val="22"/>
          <w:u w:val="single"/>
        </w:rPr>
        <w:t>Frjósemi</w:t>
      </w:r>
    </w:p>
    <w:p w14:paraId="05B8B711" w14:textId="77777777" w:rsidR="007B5D76" w:rsidRPr="006774D3" w:rsidRDefault="007B5D76" w:rsidP="00F77C66">
      <w:pPr>
        <w:rPr>
          <w:color w:val="000000"/>
          <w:sz w:val="22"/>
          <w:szCs w:val="22"/>
        </w:rPr>
      </w:pPr>
      <w:r w:rsidRPr="006774D3">
        <w:rPr>
          <w:color w:val="000000"/>
          <w:sz w:val="22"/>
          <w:szCs w:val="22"/>
        </w:rPr>
        <w:t xml:space="preserve">Engin áhrif á frjósemi karlkyns og kvenkyns rotta komu fram í forklínískum rannsóknum </w:t>
      </w:r>
      <w:r w:rsidR="00946B1B" w:rsidRPr="006774D3">
        <w:rPr>
          <w:color w:val="000000"/>
          <w:sz w:val="22"/>
          <w:szCs w:val="22"/>
        </w:rPr>
        <w:t xml:space="preserve">þrátt fyrir að áhrif á þætti æxlunar (reproductive parameters) kæmu fram </w:t>
      </w:r>
      <w:r w:rsidRPr="006774D3">
        <w:rPr>
          <w:color w:val="000000"/>
          <w:sz w:val="22"/>
          <w:szCs w:val="22"/>
        </w:rPr>
        <w:t>(sjá kafla 5.3). Rannsóknir á sjúklingum sem fá meðferð með Glivec og áhrifum þess á frjósemi þeirra og kynfrumumyndun hafa ekki verið gerðar. Sjúklingar, sem er umhugað um frjósemi sína meðan á meðferð með Glivec stendur, ættu að ráðfæra sig við lækninn.</w:t>
      </w:r>
    </w:p>
    <w:p w14:paraId="05B8B712" w14:textId="77777777" w:rsidR="007B5D76" w:rsidRPr="006774D3" w:rsidRDefault="007B5D76" w:rsidP="00F77C66">
      <w:pPr>
        <w:rPr>
          <w:color w:val="000000"/>
          <w:sz w:val="22"/>
          <w:szCs w:val="22"/>
        </w:rPr>
      </w:pPr>
    </w:p>
    <w:p w14:paraId="05B8B713" w14:textId="77777777" w:rsidR="007B5D76" w:rsidRPr="006774D3" w:rsidRDefault="007B5D76" w:rsidP="00F77C66">
      <w:pPr>
        <w:keepNext/>
        <w:rPr>
          <w:color w:val="000000"/>
          <w:sz w:val="22"/>
          <w:szCs w:val="22"/>
        </w:rPr>
      </w:pPr>
      <w:r w:rsidRPr="006774D3">
        <w:rPr>
          <w:b/>
          <w:color w:val="000000"/>
          <w:sz w:val="22"/>
          <w:szCs w:val="22"/>
        </w:rPr>
        <w:t>4.7</w:t>
      </w:r>
      <w:r w:rsidRPr="006774D3">
        <w:rPr>
          <w:b/>
          <w:color w:val="000000"/>
          <w:sz w:val="22"/>
          <w:szCs w:val="22"/>
        </w:rPr>
        <w:tab/>
        <w:t>Áhrif á hæfni til aksturs og notkunar véla</w:t>
      </w:r>
    </w:p>
    <w:p w14:paraId="05B8B714" w14:textId="77777777" w:rsidR="007B5D76" w:rsidRPr="006774D3" w:rsidRDefault="007B5D76" w:rsidP="00F77C66">
      <w:pPr>
        <w:keepNext/>
        <w:rPr>
          <w:color w:val="000000"/>
          <w:sz w:val="22"/>
          <w:szCs w:val="22"/>
        </w:rPr>
      </w:pPr>
    </w:p>
    <w:p w14:paraId="05B8B715" w14:textId="77777777" w:rsidR="007B5D76" w:rsidRPr="006774D3" w:rsidRDefault="007B5D76" w:rsidP="00632D98">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Upplýsa skal sjúklinga um að þeir gætu fengið aukaverkanir eins og sundl, þokusýn eða svefnhöfga meðan á meðferð með imatinibi stendur. Því skal mæla með að varúðar sé gætt við akstur og notkun véla.</w:t>
      </w:r>
    </w:p>
    <w:p w14:paraId="05B8B716" w14:textId="77777777" w:rsidR="007B5D76" w:rsidRPr="006774D3" w:rsidRDefault="007B5D76" w:rsidP="00F77C66">
      <w:pPr>
        <w:rPr>
          <w:color w:val="000000"/>
          <w:sz w:val="22"/>
          <w:szCs w:val="22"/>
        </w:rPr>
      </w:pPr>
    </w:p>
    <w:p w14:paraId="05B8B717" w14:textId="77777777" w:rsidR="007B5D76" w:rsidRPr="006774D3" w:rsidRDefault="007B5D76" w:rsidP="00F77C66">
      <w:pPr>
        <w:keepNext/>
        <w:rPr>
          <w:color w:val="000000"/>
          <w:sz w:val="22"/>
          <w:szCs w:val="22"/>
        </w:rPr>
      </w:pPr>
      <w:r w:rsidRPr="006774D3">
        <w:rPr>
          <w:b/>
          <w:color w:val="000000"/>
          <w:sz w:val="22"/>
          <w:szCs w:val="22"/>
        </w:rPr>
        <w:t>4.8</w:t>
      </w:r>
      <w:r w:rsidRPr="006774D3">
        <w:rPr>
          <w:b/>
          <w:color w:val="000000"/>
          <w:sz w:val="22"/>
          <w:szCs w:val="22"/>
        </w:rPr>
        <w:tab/>
        <w:t>Aukaverkanir</w:t>
      </w:r>
    </w:p>
    <w:p w14:paraId="05B8B718" w14:textId="77777777" w:rsidR="007B5D76" w:rsidRPr="006774D3" w:rsidRDefault="007B5D76" w:rsidP="00F77C66">
      <w:pPr>
        <w:keepNext/>
        <w:rPr>
          <w:color w:val="000000"/>
          <w:sz w:val="22"/>
          <w:szCs w:val="22"/>
        </w:rPr>
      </w:pPr>
    </w:p>
    <w:p w14:paraId="05B8B719" w14:textId="77777777" w:rsidR="007B5D76" w:rsidRPr="006774D3" w:rsidRDefault="007B5D76" w:rsidP="00632D98">
      <w:pPr>
        <w:pStyle w:val="BodyText2"/>
        <w:ind w:right="0"/>
        <w:rPr>
          <w:color w:val="000000"/>
          <w:szCs w:val="22"/>
        </w:rPr>
      </w:pPr>
      <w:r w:rsidRPr="006774D3">
        <w:rPr>
          <w:color w:val="000000"/>
          <w:szCs w:val="22"/>
        </w:rPr>
        <w:t>Sjúklingar með langt gengna illkynja sjúkdóma geta verið með ýmis konar truflandi sjúkdóms</w:t>
      </w:r>
      <w:r w:rsidRPr="006774D3">
        <w:rPr>
          <w:color w:val="000000"/>
          <w:szCs w:val="22"/>
        </w:rPr>
        <w:softHyphen/>
        <w:t>ástand sem gerir erfitt um vik að meta orsakir aukaverkana vegna margs konar einkenna sem tengjast undirliggjandi sjúkdómnum, framvindu hans og samhliða notkun ýmissa lyfja.</w:t>
      </w:r>
    </w:p>
    <w:p w14:paraId="05B8B71A" w14:textId="77777777" w:rsidR="007B5D76" w:rsidRPr="006774D3" w:rsidRDefault="007B5D76" w:rsidP="00F77C66">
      <w:pPr>
        <w:rPr>
          <w:color w:val="000000"/>
          <w:sz w:val="22"/>
          <w:szCs w:val="22"/>
        </w:rPr>
      </w:pPr>
    </w:p>
    <w:p w14:paraId="05B8B71B" w14:textId="77777777" w:rsidR="007B5D76" w:rsidRPr="006774D3" w:rsidRDefault="007B5D76" w:rsidP="00F77C66">
      <w:pPr>
        <w:rPr>
          <w:color w:val="000000"/>
          <w:sz w:val="22"/>
          <w:szCs w:val="22"/>
        </w:rPr>
      </w:pPr>
      <w:r w:rsidRPr="006774D3">
        <w:rPr>
          <w:color w:val="000000"/>
          <w:sz w:val="22"/>
          <w:szCs w:val="22"/>
        </w:rPr>
        <w:t xml:space="preserve">Í klínískum rannsóknum á CML var notkun lyfsins hætt vegna lyfjatengdra aukaverkana hjá 2,4% nýlega greindra sjúklinga, 4% sjúklinga seint í stöðugum fasa eftir að meðferð með interferoni hafði brugðist, 4% sjúklinga í hröðunarfasa eftir að meðferð með interferoni hafði brugðist og hjá </w:t>
      </w:r>
      <w:r w:rsidRPr="006774D3">
        <w:rPr>
          <w:color w:val="000000"/>
          <w:sz w:val="22"/>
          <w:szCs w:val="22"/>
        </w:rPr>
        <w:lastRenderedPageBreak/>
        <w:t>5% sjúklinga í bráðafasa (blast crisis) eftir að meðferð með interferoni hafði brugðist. Í rannsóknum á GIST var notkun rannsóknar</w:t>
      </w:r>
      <w:r w:rsidRPr="006774D3">
        <w:rPr>
          <w:color w:val="000000"/>
          <w:sz w:val="22"/>
          <w:szCs w:val="22"/>
        </w:rPr>
        <w:softHyphen/>
        <w:t>lyfsins stöðvuð hjá 4% sjúklinga vegna lyfjatengdra aukaverkana.</w:t>
      </w:r>
    </w:p>
    <w:p w14:paraId="05B8B71C" w14:textId="77777777" w:rsidR="007B5D76" w:rsidRPr="006774D3" w:rsidRDefault="007B5D76" w:rsidP="00F77C66">
      <w:pPr>
        <w:rPr>
          <w:color w:val="000000"/>
          <w:sz w:val="22"/>
          <w:szCs w:val="22"/>
        </w:rPr>
      </w:pPr>
    </w:p>
    <w:p w14:paraId="05B8B71D" w14:textId="77777777" w:rsidR="007B5D76" w:rsidRPr="006774D3" w:rsidRDefault="007B5D76" w:rsidP="00F77C66">
      <w:pPr>
        <w:rPr>
          <w:color w:val="000000"/>
          <w:sz w:val="22"/>
          <w:szCs w:val="22"/>
        </w:rPr>
      </w:pPr>
      <w:r w:rsidRPr="006774D3">
        <w:rPr>
          <w:color w:val="000000"/>
          <w:sz w:val="22"/>
          <w:szCs w:val="22"/>
        </w:rPr>
        <w:t>Aukaverkanir voru svipaðar fyrir allar ábendingarnar, með tveimur undantekningum. Meiri mergbæling kom fram hjá CML sjúklingum heldur en GIST sjúklingum, sem er líklega vegna undir</w:t>
      </w:r>
      <w:r w:rsidRPr="006774D3">
        <w:rPr>
          <w:color w:val="000000"/>
          <w:sz w:val="22"/>
          <w:szCs w:val="22"/>
        </w:rPr>
        <w:softHyphen/>
        <w:t>liggjandi sjúkdómsins. Í rannsókninni hjá sjúklingum með óskurðtækt GIST og/eða GIST með meinvörpum fengu 7 (5%) sjúklinganna CTC (common toxicity criteria) gráðu 3/4 blæðingar í maga og þörmum (3 sjúklingar), innanæxlisblæðingar (3 sjúklingar) eða hvort tveggja (1 sjúklingur). Stað</w:t>
      </w:r>
      <w:r w:rsidRPr="006774D3">
        <w:rPr>
          <w:color w:val="000000"/>
          <w:sz w:val="22"/>
          <w:szCs w:val="22"/>
        </w:rPr>
        <w:softHyphen/>
        <w:t>setning æxlis í maga og þörmum kann að hafa verið upptök maga- og þarmablæðinga (sjá kafla 4.4). Maga- og þarmablæðing og æxlisblæðing getur verið alvarleg og stundum banvæn. Algengustu (≥ 10%) lyfja</w:t>
      </w:r>
      <w:r w:rsidRPr="006774D3">
        <w:rPr>
          <w:color w:val="000000"/>
          <w:sz w:val="22"/>
          <w:szCs w:val="22"/>
        </w:rPr>
        <w:softHyphen/>
        <w:t>tengdu aukaverkanirnar sem greint var frá hjá báðum hópunum voru væg ógleði, uppköst, niðurgangur, kviðverkir, þreyta, vöðvaþrautir, vöðvakrampar og útbrot. Yfirborðsbjúgur var algengur í öllum rannsóknum og var honum aðallega lýst sem bjúgi í kringum augu eða á ganglimum. Bjúgmyndunin var þó sjaldan alvarleg og hægt er að hafa stjórn á henni með þvagræsilyfjum, öðrum stuðningsaðgerðum eða með því að minnka skammt Glivec.</w:t>
      </w:r>
    </w:p>
    <w:p w14:paraId="05B8B71E" w14:textId="77777777" w:rsidR="007B5D76" w:rsidRPr="006774D3" w:rsidRDefault="007B5D76" w:rsidP="00F77C66">
      <w:pPr>
        <w:rPr>
          <w:color w:val="000000"/>
          <w:sz w:val="22"/>
          <w:szCs w:val="22"/>
        </w:rPr>
      </w:pPr>
    </w:p>
    <w:p w14:paraId="05B8B71F" w14:textId="77777777" w:rsidR="007B5D76" w:rsidRPr="006774D3" w:rsidRDefault="007B5D76" w:rsidP="00F77C66">
      <w:pPr>
        <w:rPr>
          <w:color w:val="000000"/>
          <w:sz w:val="22"/>
          <w:szCs w:val="22"/>
        </w:rPr>
      </w:pPr>
      <w:r w:rsidRPr="006774D3">
        <w:rPr>
          <w:color w:val="000000"/>
          <w:sz w:val="22"/>
          <w:szCs w:val="22"/>
        </w:rPr>
        <w:t>Þegar imatinib var notað í tengslum við háskammta krabbameinslyfjameðferð hjá sjúklingum með Ph+ ALL sáust tímabundnar eiturverkanir á lifur sem komu fram sem aukning transaminasa og hækkun á bilirubini í blóði. Að teknu tilliti til takmarkaðra upplýsinga um öryggi, eru þær aukaverkanir sem greint hefur verið frá hingað til hjá börnum í samræmi við þekktar upplýsingar um öryggi hjá fullorðnum sjúklingum með Ph+ ALL. Upplýsingar um öryggi hjá börnum með Ph+ ALL eru mjög takmarkaðar þrátt fyrir að engar nýjar upplýsingar um öryggi hafi komið fram.</w:t>
      </w:r>
    </w:p>
    <w:p w14:paraId="05B8B720" w14:textId="77777777" w:rsidR="007B5D76" w:rsidRPr="006774D3" w:rsidRDefault="007B5D76" w:rsidP="00F77C66">
      <w:pPr>
        <w:rPr>
          <w:color w:val="000000"/>
          <w:sz w:val="22"/>
          <w:szCs w:val="22"/>
        </w:rPr>
      </w:pPr>
    </w:p>
    <w:p w14:paraId="05B8B721" w14:textId="77777777" w:rsidR="007B5D76" w:rsidRPr="006774D3" w:rsidRDefault="007B5D76" w:rsidP="00F77C66">
      <w:pPr>
        <w:rPr>
          <w:color w:val="000000"/>
          <w:sz w:val="22"/>
          <w:szCs w:val="22"/>
        </w:rPr>
      </w:pPr>
      <w:r w:rsidRPr="006774D3">
        <w:rPr>
          <w:color w:val="000000"/>
          <w:sz w:val="22"/>
          <w:szCs w:val="22"/>
        </w:rPr>
        <w:t>Ýmiss konar aukaverkunum, svo sem fleiðruvökva, vökva í kviðarholi, lungnabjúg og hraðri þyngdar</w:t>
      </w:r>
      <w:r w:rsidRPr="006774D3">
        <w:rPr>
          <w:color w:val="000000"/>
          <w:sz w:val="22"/>
          <w:szCs w:val="22"/>
        </w:rPr>
        <w:softHyphen/>
        <w:t>aukningu með eða án yfirborðsbjúgs, er sameiginlega lýst sem „vökvasöfnun“. Yfirleitt næst stjórn á þessum aukaverkunum með því að stöðva meðferð með Glivec tímabundið og með þvagræsilyfjum og öðrum viðeigandi stuðningsaðgerðum. Hins vegar geta sumar þessara aukaverkana verið alvarlegar eða lífshættu</w:t>
      </w:r>
      <w:r w:rsidRPr="006774D3">
        <w:rPr>
          <w:color w:val="000000"/>
          <w:sz w:val="22"/>
          <w:szCs w:val="22"/>
        </w:rPr>
        <w:softHyphen/>
        <w:t>legar og nokkrir sjúklingar í kímfrumukreppu dóu með flókna sjúkrasögu um fleiðru</w:t>
      </w:r>
      <w:r w:rsidRPr="006774D3">
        <w:rPr>
          <w:color w:val="000000"/>
          <w:sz w:val="22"/>
          <w:szCs w:val="22"/>
        </w:rPr>
        <w:softHyphen/>
        <w:t>vökva, hjartabilun og nýrnabilun. Engar sértækar niðurstöður um öryggi komu fram í klínískum rannsóknum hjá börnum.</w:t>
      </w:r>
    </w:p>
    <w:p w14:paraId="05B8B722" w14:textId="77777777" w:rsidR="007B5D76" w:rsidRPr="006774D3" w:rsidRDefault="007B5D76" w:rsidP="00F77C66">
      <w:pPr>
        <w:rPr>
          <w:color w:val="000000"/>
          <w:sz w:val="22"/>
          <w:szCs w:val="22"/>
        </w:rPr>
      </w:pPr>
    </w:p>
    <w:p w14:paraId="05B8B723" w14:textId="77777777" w:rsidR="007B5D76" w:rsidRPr="006774D3" w:rsidRDefault="007B5D76" w:rsidP="00F77C66">
      <w:pPr>
        <w:pStyle w:val="Heading8"/>
        <w:ind w:right="0"/>
        <w:rPr>
          <w:b/>
          <w:color w:val="000000"/>
          <w:szCs w:val="22"/>
          <w:u w:val="none"/>
          <w:lang w:val="is-IS"/>
        </w:rPr>
      </w:pPr>
      <w:r w:rsidRPr="006774D3">
        <w:rPr>
          <w:b/>
          <w:color w:val="000000"/>
          <w:szCs w:val="22"/>
          <w:u w:val="none"/>
          <w:lang w:val="is-IS"/>
        </w:rPr>
        <w:t>Aukaverkanir</w:t>
      </w:r>
    </w:p>
    <w:p w14:paraId="05B8B724" w14:textId="77777777" w:rsidR="007B5D76" w:rsidRPr="006774D3" w:rsidRDefault="007B5D76" w:rsidP="00F77C66">
      <w:pPr>
        <w:rPr>
          <w:color w:val="000000"/>
          <w:sz w:val="22"/>
          <w:szCs w:val="22"/>
        </w:rPr>
      </w:pPr>
      <w:r w:rsidRPr="006774D3">
        <w:rPr>
          <w:color w:val="000000"/>
          <w:sz w:val="22"/>
          <w:szCs w:val="22"/>
        </w:rPr>
        <w:t>Aukaverkanir sem greint var frá oftar en sem einstök tilvik eru tilgreindar hér á eftir, flokkaðar eftir líffæra</w:t>
      </w:r>
      <w:r w:rsidRPr="006774D3">
        <w:rPr>
          <w:color w:val="000000"/>
          <w:sz w:val="22"/>
          <w:szCs w:val="22"/>
        </w:rPr>
        <w:softHyphen/>
        <w:t>kerfi og tíðni. Tíðniflokkar eru skilgreindir á eftirfarandi hátt: Mjög algengar (</w:t>
      </w:r>
      <w:r w:rsidRPr="006774D3">
        <w:rPr>
          <w:sz w:val="22"/>
          <w:szCs w:val="22"/>
        </w:rPr>
        <w:t>≥</w:t>
      </w:r>
      <w:r w:rsidRPr="006774D3">
        <w:rPr>
          <w:color w:val="000000"/>
          <w:sz w:val="22"/>
          <w:szCs w:val="22"/>
        </w:rPr>
        <w:t>1/10), algengar (</w:t>
      </w:r>
      <w:r w:rsidRPr="006774D3">
        <w:rPr>
          <w:sz w:val="22"/>
          <w:szCs w:val="22"/>
        </w:rPr>
        <w:t>≥</w:t>
      </w:r>
      <w:r w:rsidRPr="006774D3">
        <w:rPr>
          <w:color w:val="000000"/>
          <w:sz w:val="22"/>
          <w:szCs w:val="22"/>
        </w:rPr>
        <w:t>1/100 til &lt;1/10), sjaldgæfar (</w:t>
      </w:r>
      <w:r w:rsidRPr="006774D3">
        <w:rPr>
          <w:sz w:val="22"/>
          <w:szCs w:val="22"/>
        </w:rPr>
        <w:t>≥</w:t>
      </w:r>
      <w:r w:rsidRPr="006774D3">
        <w:rPr>
          <w:color w:val="000000"/>
          <w:sz w:val="22"/>
          <w:szCs w:val="22"/>
        </w:rPr>
        <w:t>1/1.000 til &lt;1/100), mjög sjaldgæfar (</w:t>
      </w:r>
      <w:r w:rsidRPr="006774D3">
        <w:rPr>
          <w:sz w:val="22"/>
          <w:szCs w:val="22"/>
        </w:rPr>
        <w:t xml:space="preserve">≥1/10.000 til </w:t>
      </w:r>
      <w:r w:rsidRPr="006774D3">
        <w:rPr>
          <w:color w:val="000000"/>
          <w:sz w:val="22"/>
          <w:szCs w:val="22"/>
        </w:rPr>
        <w:t>&lt;1/1.000), koma örsjaldan fyrir (&lt;1/10.000), tíðni ekki þekkt (ekki hægt að áætla tíðni út frá fyrirliggjandi gögnum).</w:t>
      </w:r>
    </w:p>
    <w:p w14:paraId="05B8B725" w14:textId="77777777" w:rsidR="007B5D76" w:rsidRPr="006774D3" w:rsidRDefault="007B5D76"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726" w14:textId="77777777" w:rsidR="007B5D76" w:rsidRPr="006774D3" w:rsidRDefault="007B5D76"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Innan tíðniflokka eru aukaverkanirnar taldar upp eftir tíðni, hinar algengustu fyrst.</w:t>
      </w:r>
    </w:p>
    <w:p w14:paraId="05B8B727" w14:textId="77777777" w:rsidR="007B5D76" w:rsidRPr="006774D3" w:rsidRDefault="007B5D76"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728"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Aukaverkanir og tíðni þeirra, er tilgreind er í töflu 1.</w:t>
      </w:r>
    </w:p>
    <w:p w14:paraId="05B8B729"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72A"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Tafla 1</w:t>
      </w:r>
      <w:r w:rsidRPr="006774D3">
        <w:rPr>
          <w:b/>
          <w:color w:val="000000"/>
          <w:sz w:val="22"/>
          <w:szCs w:val="22"/>
          <w:lang w:val="is-IS"/>
        </w:rPr>
        <w:tab/>
        <w:t>Tafla yfir aukaverkanir</w:t>
      </w:r>
    </w:p>
    <w:p w14:paraId="05B8B72B"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6817"/>
      </w:tblGrid>
      <w:tr w:rsidR="00F40B8C" w:rsidRPr="006774D3" w14:paraId="05B8B72D" w14:textId="77777777" w:rsidTr="00632D98">
        <w:trPr>
          <w:cantSplit/>
        </w:trPr>
        <w:tc>
          <w:tcPr>
            <w:tcW w:w="9286" w:type="dxa"/>
            <w:gridSpan w:val="2"/>
          </w:tcPr>
          <w:p w14:paraId="05B8B72C"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Sýkingar af völdum sýkla og sníkjudýra</w:t>
            </w:r>
          </w:p>
        </w:tc>
      </w:tr>
      <w:tr w:rsidR="00F40B8C" w:rsidRPr="006774D3" w14:paraId="05B8B730" w14:textId="77777777" w:rsidTr="00632D98">
        <w:trPr>
          <w:cantSplit/>
        </w:trPr>
        <w:tc>
          <w:tcPr>
            <w:tcW w:w="2287" w:type="dxa"/>
          </w:tcPr>
          <w:p w14:paraId="05B8B72E"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2F"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Ristill, áblástur, nefkoksbólga, lungnabólga</w:t>
            </w:r>
            <w:r w:rsidRPr="006774D3">
              <w:rPr>
                <w:color w:val="000000"/>
                <w:sz w:val="22"/>
                <w:szCs w:val="22"/>
                <w:vertAlign w:val="superscript"/>
                <w:lang w:val="is-IS"/>
              </w:rPr>
              <w:t>1</w:t>
            </w:r>
            <w:r w:rsidRPr="006774D3">
              <w:rPr>
                <w:color w:val="000000"/>
                <w:sz w:val="22"/>
                <w:szCs w:val="22"/>
                <w:lang w:val="is-IS"/>
              </w:rPr>
              <w:t>, skútabólga, húðbeðsbólga, sýking í efri öndunarvegum, inflúensa, þvagfærasýking, maga- og garnabólga, sýklasótt.</w:t>
            </w:r>
          </w:p>
        </w:tc>
      </w:tr>
      <w:tr w:rsidR="001C6E0C" w:rsidRPr="006774D3" w14:paraId="05B8B733" w14:textId="77777777" w:rsidTr="00632D98">
        <w:trPr>
          <w:cantSplit/>
        </w:trPr>
        <w:tc>
          <w:tcPr>
            <w:tcW w:w="2287" w:type="dxa"/>
          </w:tcPr>
          <w:p w14:paraId="05B8B731" w14:textId="77777777" w:rsidR="001C6E0C" w:rsidRPr="006774D3" w:rsidRDefault="001C6E0C" w:rsidP="00632D98">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32" w14:textId="77777777" w:rsidR="001C6E0C" w:rsidRPr="006774D3" w:rsidRDefault="001C6E0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Cs/>
                <w:color w:val="000000"/>
                <w:sz w:val="22"/>
                <w:szCs w:val="22"/>
                <w:lang w:val="is-IS"/>
              </w:rPr>
              <w:t>Endurvirkjun lifrarbólgu B*</w:t>
            </w:r>
          </w:p>
        </w:tc>
      </w:tr>
      <w:tr w:rsidR="00F40B8C" w:rsidRPr="006774D3" w14:paraId="05B8B736" w14:textId="77777777" w:rsidTr="00632D98">
        <w:trPr>
          <w:cantSplit/>
        </w:trPr>
        <w:tc>
          <w:tcPr>
            <w:tcW w:w="2287" w:type="dxa"/>
          </w:tcPr>
          <w:p w14:paraId="05B8B734"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735"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Sveppasýking.</w:t>
            </w:r>
          </w:p>
        </w:tc>
      </w:tr>
      <w:tr w:rsidR="00F40B8C" w:rsidRPr="006774D3" w14:paraId="05B8B738" w14:textId="77777777" w:rsidTr="00632D98">
        <w:trPr>
          <w:cantSplit/>
        </w:trPr>
        <w:tc>
          <w:tcPr>
            <w:tcW w:w="9286" w:type="dxa"/>
            <w:gridSpan w:val="2"/>
          </w:tcPr>
          <w:p w14:paraId="05B8B737"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Æxli, góðkynja og illkynja (einnig blöðrur og separ)</w:t>
            </w:r>
          </w:p>
        </w:tc>
      </w:tr>
      <w:tr w:rsidR="00F40B8C" w:rsidRPr="006774D3" w14:paraId="05B8B73B" w14:textId="77777777" w:rsidTr="00632D98">
        <w:trPr>
          <w:cantSplit/>
        </w:trPr>
        <w:tc>
          <w:tcPr>
            <w:tcW w:w="2287" w:type="dxa"/>
          </w:tcPr>
          <w:p w14:paraId="05B8B739"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73A"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Æxlislýsuheilkenni (tumour lysis syndrome).</w:t>
            </w:r>
          </w:p>
        </w:tc>
      </w:tr>
      <w:tr w:rsidR="00F40B8C" w:rsidRPr="006774D3" w14:paraId="05B8B73E" w14:textId="77777777" w:rsidTr="00632D98">
        <w:trPr>
          <w:cantSplit/>
        </w:trPr>
        <w:tc>
          <w:tcPr>
            <w:tcW w:w="2287" w:type="dxa"/>
          </w:tcPr>
          <w:p w14:paraId="05B8B73C"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3D"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Æxlisblæðing/æxlisdrep*.</w:t>
            </w:r>
          </w:p>
        </w:tc>
      </w:tr>
      <w:tr w:rsidR="00F40B8C" w:rsidRPr="006774D3" w14:paraId="05B8B740" w14:textId="77777777" w:rsidTr="00632D98">
        <w:trPr>
          <w:cantSplit/>
        </w:trPr>
        <w:tc>
          <w:tcPr>
            <w:tcW w:w="9286" w:type="dxa"/>
            <w:gridSpan w:val="2"/>
          </w:tcPr>
          <w:p w14:paraId="05B8B73F"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Ónæmiskerfi</w:t>
            </w:r>
          </w:p>
        </w:tc>
      </w:tr>
      <w:tr w:rsidR="00F40B8C" w:rsidRPr="006774D3" w14:paraId="05B8B743" w14:textId="77777777" w:rsidTr="00632D98">
        <w:trPr>
          <w:cantSplit/>
        </w:trPr>
        <w:tc>
          <w:tcPr>
            <w:tcW w:w="2287" w:type="dxa"/>
          </w:tcPr>
          <w:p w14:paraId="05B8B741"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42"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Bráðaofnæmislost*.</w:t>
            </w:r>
          </w:p>
        </w:tc>
      </w:tr>
      <w:tr w:rsidR="00F40B8C" w:rsidRPr="006774D3" w14:paraId="05B8B745" w14:textId="77777777" w:rsidTr="00632D98">
        <w:trPr>
          <w:cantSplit/>
        </w:trPr>
        <w:tc>
          <w:tcPr>
            <w:tcW w:w="9286" w:type="dxa"/>
            <w:gridSpan w:val="2"/>
          </w:tcPr>
          <w:p w14:paraId="05B8B744"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lastRenderedPageBreak/>
              <w:t>Blóð og eitlar</w:t>
            </w:r>
          </w:p>
        </w:tc>
      </w:tr>
      <w:tr w:rsidR="00F40B8C" w:rsidRPr="006774D3" w14:paraId="05B8B748" w14:textId="77777777" w:rsidTr="00632D98">
        <w:trPr>
          <w:cantSplit/>
        </w:trPr>
        <w:tc>
          <w:tcPr>
            <w:tcW w:w="2287" w:type="dxa"/>
          </w:tcPr>
          <w:p w14:paraId="05B8B746"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747"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Daufkyrningafæð, blóðflagnafæð, blóðleysi.</w:t>
            </w:r>
          </w:p>
        </w:tc>
      </w:tr>
      <w:tr w:rsidR="00F40B8C" w:rsidRPr="006774D3" w14:paraId="05B8B74B" w14:textId="77777777" w:rsidTr="00632D98">
        <w:trPr>
          <w:cantSplit/>
        </w:trPr>
        <w:tc>
          <w:tcPr>
            <w:tcW w:w="2287" w:type="dxa"/>
          </w:tcPr>
          <w:p w14:paraId="05B8B749"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4A"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Blóðfrumnafæð, daufkyrningafæð með hita.</w:t>
            </w:r>
          </w:p>
        </w:tc>
      </w:tr>
      <w:tr w:rsidR="00F40B8C" w:rsidRPr="006774D3" w14:paraId="05B8B74E" w14:textId="77777777" w:rsidTr="00632D98">
        <w:trPr>
          <w:cantSplit/>
        </w:trPr>
        <w:tc>
          <w:tcPr>
            <w:tcW w:w="2287" w:type="dxa"/>
          </w:tcPr>
          <w:p w14:paraId="05B8B74C"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4D" w14:textId="77777777" w:rsidR="00F40B8C" w:rsidRPr="006774D3" w:rsidRDefault="00F40B8C" w:rsidP="00632D98">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Blóðflagnafjölgun, eitilfrumnafæð, beinmergsbæling, rauðkyrningager, eitlakvilli.</w:t>
            </w:r>
          </w:p>
        </w:tc>
      </w:tr>
      <w:tr w:rsidR="00F40B8C" w:rsidRPr="006774D3" w14:paraId="05B8B751" w14:textId="77777777" w:rsidTr="00632D98">
        <w:trPr>
          <w:cantSplit/>
        </w:trPr>
        <w:tc>
          <w:tcPr>
            <w:tcW w:w="2287" w:type="dxa"/>
          </w:tcPr>
          <w:p w14:paraId="05B8B74F"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50"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Blóðlýsublóðleysi</w:t>
            </w:r>
            <w:r w:rsidR="00842EBF" w:rsidRPr="006774D3">
              <w:rPr>
                <w:color w:val="000000"/>
                <w:sz w:val="22"/>
                <w:szCs w:val="22"/>
                <w:lang w:val="is-IS"/>
              </w:rPr>
              <w:t>, segaöræðakvilli</w:t>
            </w:r>
            <w:r w:rsidRPr="006774D3">
              <w:rPr>
                <w:color w:val="000000"/>
                <w:sz w:val="22"/>
                <w:szCs w:val="22"/>
                <w:lang w:val="is-IS"/>
              </w:rPr>
              <w:t>.</w:t>
            </w:r>
          </w:p>
        </w:tc>
      </w:tr>
      <w:tr w:rsidR="00F40B8C" w:rsidRPr="006774D3" w14:paraId="05B8B753" w14:textId="77777777" w:rsidTr="00632D98">
        <w:trPr>
          <w:cantSplit/>
        </w:trPr>
        <w:tc>
          <w:tcPr>
            <w:tcW w:w="9286" w:type="dxa"/>
            <w:gridSpan w:val="2"/>
          </w:tcPr>
          <w:p w14:paraId="05B8B75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Efnaskipti og næring</w:t>
            </w:r>
          </w:p>
        </w:tc>
      </w:tr>
      <w:tr w:rsidR="00F40B8C" w:rsidRPr="006774D3" w14:paraId="05B8B756" w14:textId="77777777" w:rsidTr="00632D98">
        <w:trPr>
          <w:cantSplit/>
        </w:trPr>
        <w:tc>
          <w:tcPr>
            <w:tcW w:w="2287" w:type="dxa"/>
          </w:tcPr>
          <w:p w14:paraId="05B8B75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5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Lystarleysi.</w:t>
            </w:r>
          </w:p>
        </w:tc>
      </w:tr>
      <w:tr w:rsidR="00F40B8C" w:rsidRPr="006774D3" w14:paraId="05B8B759" w14:textId="77777777" w:rsidTr="00632D98">
        <w:trPr>
          <w:cantSplit/>
        </w:trPr>
        <w:tc>
          <w:tcPr>
            <w:tcW w:w="2287" w:type="dxa"/>
          </w:tcPr>
          <w:p w14:paraId="05B8B75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5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Blóðkalíumlækkun, aukin matarlyst, blóðfosfatlækkun, minnkuð matarlyst, vökvaskortur, þvagsýrugigt, blóðþvagsýruhækkun, blóðkalsíumhækkun, blóðsykurshækkun, blóðnatríumlækkun.</w:t>
            </w:r>
          </w:p>
        </w:tc>
      </w:tr>
      <w:tr w:rsidR="00F40B8C" w:rsidRPr="006774D3" w14:paraId="05B8B75C" w14:textId="77777777" w:rsidTr="00632D98">
        <w:trPr>
          <w:cantSplit/>
        </w:trPr>
        <w:tc>
          <w:tcPr>
            <w:tcW w:w="2287" w:type="dxa"/>
          </w:tcPr>
          <w:p w14:paraId="05B8B75A"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5B"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Blóðkalíumhækkun, blóðmagnesíumlækkun.</w:t>
            </w:r>
          </w:p>
        </w:tc>
      </w:tr>
      <w:tr w:rsidR="00F40B8C" w:rsidRPr="006774D3" w14:paraId="05B8B75E" w14:textId="77777777" w:rsidTr="00632D98">
        <w:trPr>
          <w:cantSplit/>
        </w:trPr>
        <w:tc>
          <w:tcPr>
            <w:tcW w:w="9286" w:type="dxa"/>
            <w:gridSpan w:val="2"/>
          </w:tcPr>
          <w:p w14:paraId="05B8B75D"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Geðræn vandamál</w:t>
            </w:r>
          </w:p>
        </w:tc>
      </w:tr>
      <w:tr w:rsidR="00F40B8C" w:rsidRPr="006774D3" w14:paraId="05B8B761" w14:textId="77777777" w:rsidTr="00632D98">
        <w:trPr>
          <w:cantSplit/>
        </w:trPr>
        <w:tc>
          <w:tcPr>
            <w:tcW w:w="2287" w:type="dxa"/>
          </w:tcPr>
          <w:p w14:paraId="05B8B75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60"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Svefnleysi.</w:t>
            </w:r>
          </w:p>
        </w:tc>
      </w:tr>
      <w:tr w:rsidR="00F40B8C" w:rsidRPr="006774D3" w14:paraId="05B8B764" w14:textId="77777777" w:rsidTr="00632D98">
        <w:trPr>
          <w:cantSplit/>
        </w:trPr>
        <w:tc>
          <w:tcPr>
            <w:tcW w:w="2287" w:type="dxa"/>
          </w:tcPr>
          <w:p w14:paraId="05B8B76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6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Þunglyndi, skert kynhvöt, kvíði.</w:t>
            </w:r>
          </w:p>
        </w:tc>
      </w:tr>
      <w:tr w:rsidR="00F40B8C" w:rsidRPr="006774D3" w14:paraId="05B8B767" w14:textId="77777777" w:rsidTr="00632D98">
        <w:trPr>
          <w:cantSplit/>
        </w:trPr>
        <w:tc>
          <w:tcPr>
            <w:tcW w:w="2287" w:type="dxa"/>
          </w:tcPr>
          <w:p w14:paraId="05B8B765"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66"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Ruglástand.</w:t>
            </w:r>
          </w:p>
        </w:tc>
      </w:tr>
      <w:tr w:rsidR="00F40B8C" w:rsidRPr="006774D3" w14:paraId="05B8B769" w14:textId="77777777" w:rsidTr="00632D98">
        <w:trPr>
          <w:cantSplit/>
        </w:trPr>
        <w:tc>
          <w:tcPr>
            <w:tcW w:w="9286" w:type="dxa"/>
            <w:gridSpan w:val="2"/>
          </w:tcPr>
          <w:p w14:paraId="05B8B76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Taugakerfi</w:t>
            </w:r>
          </w:p>
        </w:tc>
      </w:tr>
      <w:tr w:rsidR="00F40B8C" w:rsidRPr="006774D3" w14:paraId="05B8B76C" w14:textId="77777777" w:rsidTr="00632D98">
        <w:trPr>
          <w:cantSplit/>
        </w:trPr>
        <w:tc>
          <w:tcPr>
            <w:tcW w:w="2287" w:type="dxa"/>
          </w:tcPr>
          <w:p w14:paraId="05B8B76A"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76B"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Höfuðverkur</w:t>
            </w:r>
            <w:r w:rsidRPr="006774D3">
              <w:rPr>
                <w:color w:val="000000"/>
                <w:sz w:val="22"/>
                <w:szCs w:val="22"/>
                <w:vertAlign w:val="superscript"/>
                <w:lang w:val="is-IS"/>
              </w:rPr>
              <w:t>2</w:t>
            </w:r>
            <w:r w:rsidRPr="006774D3">
              <w:rPr>
                <w:color w:val="000000"/>
                <w:sz w:val="22"/>
                <w:szCs w:val="22"/>
                <w:lang w:val="is-IS"/>
              </w:rPr>
              <w:t>.</w:t>
            </w:r>
          </w:p>
        </w:tc>
      </w:tr>
      <w:tr w:rsidR="00F40B8C" w:rsidRPr="006774D3" w14:paraId="05B8B76F" w14:textId="77777777" w:rsidTr="00632D98">
        <w:trPr>
          <w:cantSplit/>
        </w:trPr>
        <w:tc>
          <w:tcPr>
            <w:tcW w:w="2287" w:type="dxa"/>
          </w:tcPr>
          <w:p w14:paraId="05B8B76D"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6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Sundl, dofi/náladofi, truflanir á bragðskyni, minnkað snertiskyn.</w:t>
            </w:r>
          </w:p>
        </w:tc>
      </w:tr>
      <w:tr w:rsidR="00F40B8C" w:rsidRPr="006774D3" w14:paraId="05B8B772" w14:textId="77777777" w:rsidTr="00632D98">
        <w:trPr>
          <w:cantSplit/>
        </w:trPr>
        <w:tc>
          <w:tcPr>
            <w:tcW w:w="2287" w:type="dxa"/>
          </w:tcPr>
          <w:p w14:paraId="05B8B770"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7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Mígreni, svefnhöfgi, yfirlið, úttaugakvilli, minnisskerðing, þjótak, fótaóeirð, skjálfti, heilablæðing.</w:t>
            </w:r>
          </w:p>
        </w:tc>
      </w:tr>
      <w:tr w:rsidR="00F40B8C" w:rsidRPr="006774D3" w14:paraId="05B8B775" w14:textId="77777777" w:rsidTr="00632D98">
        <w:trPr>
          <w:cantSplit/>
        </w:trPr>
        <w:tc>
          <w:tcPr>
            <w:tcW w:w="2287" w:type="dxa"/>
          </w:tcPr>
          <w:p w14:paraId="05B8B77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7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Aukinn innankúpuþrýstingur, krampar, sjóntaugarbólga.</w:t>
            </w:r>
          </w:p>
        </w:tc>
      </w:tr>
      <w:tr w:rsidR="00F40B8C" w:rsidRPr="006774D3" w14:paraId="05B8B778" w14:textId="77777777" w:rsidTr="00632D98">
        <w:trPr>
          <w:cantSplit/>
        </w:trPr>
        <w:tc>
          <w:tcPr>
            <w:tcW w:w="2287" w:type="dxa"/>
          </w:tcPr>
          <w:p w14:paraId="05B8B776"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77"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Heilabjúgur*.</w:t>
            </w:r>
          </w:p>
        </w:tc>
      </w:tr>
      <w:tr w:rsidR="00F40B8C" w:rsidRPr="006774D3" w14:paraId="05B8B77A" w14:textId="77777777" w:rsidTr="00632D98">
        <w:trPr>
          <w:cantSplit/>
        </w:trPr>
        <w:tc>
          <w:tcPr>
            <w:tcW w:w="9286" w:type="dxa"/>
            <w:gridSpan w:val="2"/>
          </w:tcPr>
          <w:p w14:paraId="05B8B77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Augu</w:t>
            </w:r>
          </w:p>
        </w:tc>
      </w:tr>
      <w:tr w:rsidR="00F40B8C" w:rsidRPr="006774D3" w14:paraId="05B8B77D" w14:textId="77777777" w:rsidTr="00632D98">
        <w:trPr>
          <w:cantSplit/>
        </w:trPr>
        <w:tc>
          <w:tcPr>
            <w:tcW w:w="2287" w:type="dxa"/>
          </w:tcPr>
          <w:p w14:paraId="05B8B77B"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7C"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Bjúgur á augnlokum, aukin táramyndun, tárublæðing, tárubólga, augnþurrkur, þokusýn.</w:t>
            </w:r>
          </w:p>
        </w:tc>
      </w:tr>
      <w:tr w:rsidR="00F40B8C" w:rsidRPr="006774D3" w14:paraId="05B8B780" w14:textId="77777777" w:rsidTr="00632D98">
        <w:trPr>
          <w:cantSplit/>
        </w:trPr>
        <w:tc>
          <w:tcPr>
            <w:tcW w:w="2287" w:type="dxa"/>
          </w:tcPr>
          <w:p w14:paraId="05B8B77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7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Augnerting, augnverkur, augntóttarbjúgur, hvítublæðing. sjónublæðing, hvarmabólga, sjónudepilsbjúgur.</w:t>
            </w:r>
          </w:p>
        </w:tc>
      </w:tr>
      <w:tr w:rsidR="00F40B8C" w:rsidRPr="006774D3" w14:paraId="05B8B783" w14:textId="77777777" w:rsidTr="00632D98">
        <w:trPr>
          <w:cantSplit/>
        </w:trPr>
        <w:tc>
          <w:tcPr>
            <w:tcW w:w="2287" w:type="dxa"/>
          </w:tcPr>
          <w:p w14:paraId="05B8B78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8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Drer á auga, gláka, doppubjúgur.</w:t>
            </w:r>
          </w:p>
        </w:tc>
      </w:tr>
      <w:tr w:rsidR="00F40B8C" w:rsidRPr="006774D3" w14:paraId="05B8B786" w14:textId="77777777" w:rsidTr="00632D98">
        <w:trPr>
          <w:cantSplit/>
        </w:trPr>
        <w:tc>
          <w:tcPr>
            <w:tcW w:w="2287" w:type="dxa"/>
          </w:tcPr>
          <w:p w14:paraId="05B8B784"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85"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Blæðing í glerhlaupi*.</w:t>
            </w:r>
          </w:p>
        </w:tc>
      </w:tr>
      <w:tr w:rsidR="00F40B8C" w:rsidRPr="006774D3" w14:paraId="05B8B788" w14:textId="77777777" w:rsidTr="00632D98">
        <w:trPr>
          <w:cantSplit/>
        </w:trPr>
        <w:tc>
          <w:tcPr>
            <w:tcW w:w="9286" w:type="dxa"/>
            <w:gridSpan w:val="2"/>
          </w:tcPr>
          <w:p w14:paraId="05B8B78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Eyru og völundarhús</w:t>
            </w:r>
          </w:p>
        </w:tc>
      </w:tr>
      <w:tr w:rsidR="00F40B8C" w:rsidRPr="006774D3" w14:paraId="05B8B78B" w14:textId="77777777" w:rsidTr="00632D98">
        <w:trPr>
          <w:cantSplit/>
        </w:trPr>
        <w:tc>
          <w:tcPr>
            <w:tcW w:w="2287" w:type="dxa"/>
          </w:tcPr>
          <w:p w14:paraId="05B8B789"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8A"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Svimi, eyrnasuð, heyrnartap.</w:t>
            </w:r>
          </w:p>
        </w:tc>
      </w:tr>
      <w:tr w:rsidR="00F40B8C" w:rsidRPr="006774D3" w14:paraId="05B8B78D" w14:textId="77777777" w:rsidTr="00632D98">
        <w:trPr>
          <w:cantSplit/>
        </w:trPr>
        <w:tc>
          <w:tcPr>
            <w:tcW w:w="9286" w:type="dxa"/>
            <w:gridSpan w:val="2"/>
          </w:tcPr>
          <w:p w14:paraId="05B8B78C"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Hjarta</w:t>
            </w:r>
          </w:p>
        </w:tc>
      </w:tr>
      <w:tr w:rsidR="00F40B8C" w:rsidRPr="006774D3" w14:paraId="05B8B790" w14:textId="77777777" w:rsidTr="00632D98">
        <w:trPr>
          <w:cantSplit/>
        </w:trPr>
        <w:tc>
          <w:tcPr>
            <w:tcW w:w="2287" w:type="dxa"/>
          </w:tcPr>
          <w:p w14:paraId="05B8B78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8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Hjartsláttarónot, hraðsláttur, hjartabilun</w:t>
            </w:r>
            <w:r w:rsidRPr="006774D3">
              <w:rPr>
                <w:color w:val="000000"/>
                <w:sz w:val="22"/>
                <w:szCs w:val="22"/>
                <w:vertAlign w:val="superscript"/>
                <w:lang w:val="is-IS"/>
              </w:rPr>
              <w:t>3</w:t>
            </w:r>
            <w:r w:rsidRPr="006774D3">
              <w:rPr>
                <w:color w:val="000000"/>
                <w:sz w:val="22"/>
                <w:szCs w:val="22"/>
                <w:lang w:val="is-IS"/>
              </w:rPr>
              <w:t>, lungnabjúgur.</w:t>
            </w:r>
          </w:p>
        </w:tc>
      </w:tr>
      <w:tr w:rsidR="00F40B8C" w:rsidRPr="006774D3" w14:paraId="05B8B793" w14:textId="77777777" w:rsidTr="00632D98">
        <w:trPr>
          <w:cantSplit/>
        </w:trPr>
        <w:tc>
          <w:tcPr>
            <w:tcW w:w="2287" w:type="dxa"/>
          </w:tcPr>
          <w:p w14:paraId="05B8B79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9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Hjartsláttaróregla, gáttatif, hjartastopp, hjartadrep, hjartaöng, gollurshússvökvi.</w:t>
            </w:r>
          </w:p>
        </w:tc>
      </w:tr>
      <w:tr w:rsidR="00F40B8C" w:rsidRPr="006774D3" w14:paraId="05B8B796" w14:textId="77777777" w:rsidTr="00632D98">
        <w:trPr>
          <w:cantSplit/>
        </w:trPr>
        <w:tc>
          <w:tcPr>
            <w:tcW w:w="2287" w:type="dxa"/>
          </w:tcPr>
          <w:p w14:paraId="05B8B794"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95"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Gollurshússbólga*, gollurshússþrenging*.</w:t>
            </w:r>
          </w:p>
        </w:tc>
      </w:tr>
      <w:tr w:rsidR="00F40B8C" w:rsidRPr="006774D3" w14:paraId="05B8B798" w14:textId="77777777" w:rsidTr="00632D98">
        <w:trPr>
          <w:cantSplit/>
        </w:trPr>
        <w:tc>
          <w:tcPr>
            <w:tcW w:w="9286" w:type="dxa"/>
            <w:gridSpan w:val="2"/>
          </w:tcPr>
          <w:p w14:paraId="05B8B79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b/>
                <w:color w:val="000000"/>
                <w:sz w:val="22"/>
                <w:szCs w:val="22"/>
                <w:lang w:val="is-IS"/>
              </w:rPr>
            </w:pPr>
            <w:r w:rsidRPr="006774D3">
              <w:rPr>
                <w:b/>
                <w:color w:val="000000"/>
                <w:sz w:val="22"/>
                <w:szCs w:val="22"/>
                <w:lang w:val="is-IS"/>
              </w:rPr>
              <w:t>Æðar</w:t>
            </w:r>
            <w:r w:rsidRPr="006774D3">
              <w:rPr>
                <w:b/>
                <w:color w:val="000000"/>
                <w:sz w:val="22"/>
                <w:szCs w:val="22"/>
                <w:vertAlign w:val="superscript"/>
                <w:lang w:val="is-IS"/>
              </w:rPr>
              <w:t>4</w:t>
            </w:r>
          </w:p>
        </w:tc>
      </w:tr>
      <w:tr w:rsidR="00F40B8C" w:rsidRPr="006774D3" w14:paraId="05B8B79B" w14:textId="77777777" w:rsidTr="00632D98">
        <w:trPr>
          <w:cantSplit/>
        </w:trPr>
        <w:tc>
          <w:tcPr>
            <w:tcW w:w="2287" w:type="dxa"/>
          </w:tcPr>
          <w:p w14:paraId="05B8B79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9A"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Hitaroði í andliti og/eða á hálsi, blæðing.</w:t>
            </w:r>
          </w:p>
        </w:tc>
      </w:tr>
      <w:tr w:rsidR="00F40B8C" w:rsidRPr="006774D3" w14:paraId="05B8B79E" w14:textId="77777777" w:rsidTr="00632D98">
        <w:trPr>
          <w:cantSplit/>
        </w:trPr>
        <w:tc>
          <w:tcPr>
            <w:tcW w:w="2287" w:type="dxa"/>
          </w:tcPr>
          <w:p w14:paraId="05B8B79C"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9D"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Háþrýstingur, margúll, innanbastsmargúll, kaldir útlimir, lágþrýstingur, æðakrampaheilkenni (Raynaud‘s phenomenon).</w:t>
            </w:r>
          </w:p>
        </w:tc>
      </w:tr>
      <w:tr w:rsidR="00F40B8C" w:rsidRPr="006774D3" w14:paraId="05B8B7A1" w14:textId="77777777" w:rsidTr="00632D98">
        <w:trPr>
          <w:cantSplit/>
        </w:trPr>
        <w:tc>
          <w:tcPr>
            <w:tcW w:w="2287" w:type="dxa"/>
          </w:tcPr>
          <w:p w14:paraId="05B8B79F"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A0"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Segamyndun/segarek*.</w:t>
            </w:r>
          </w:p>
        </w:tc>
      </w:tr>
      <w:tr w:rsidR="00F40B8C" w:rsidRPr="006774D3" w14:paraId="05B8B7A3" w14:textId="77777777" w:rsidTr="00632D98">
        <w:trPr>
          <w:cantSplit/>
        </w:trPr>
        <w:tc>
          <w:tcPr>
            <w:tcW w:w="9286" w:type="dxa"/>
            <w:gridSpan w:val="2"/>
          </w:tcPr>
          <w:p w14:paraId="05B8B7A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Öndunarfæri, brjósthol og miðmæti</w:t>
            </w:r>
          </w:p>
        </w:tc>
      </w:tr>
      <w:tr w:rsidR="00F40B8C" w:rsidRPr="006774D3" w14:paraId="05B8B7A6" w14:textId="77777777" w:rsidTr="00632D98">
        <w:trPr>
          <w:cantSplit/>
        </w:trPr>
        <w:tc>
          <w:tcPr>
            <w:tcW w:w="2287" w:type="dxa"/>
          </w:tcPr>
          <w:p w14:paraId="05B8B7A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A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Mæði, blóðnasir, hósti.</w:t>
            </w:r>
          </w:p>
        </w:tc>
      </w:tr>
      <w:tr w:rsidR="00F40B8C" w:rsidRPr="006774D3" w14:paraId="05B8B7A9" w14:textId="77777777" w:rsidTr="00632D98">
        <w:trPr>
          <w:cantSplit/>
        </w:trPr>
        <w:tc>
          <w:tcPr>
            <w:tcW w:w="2287" w:type="dxa"/>
          </w:tcPr>
          <w:p w14:paraId="05B8B7A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A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Fleiðruvökvi</w:t>
            </w:r>
            <w:r w:rsidRPr="006774D3">
              <w:rPr>
                <w:color w:val="000000"/>
                <w:sz w:val="22"/>
                <w:szCs w:val="22"/>
                <w:vertAlign w:val="superscript"/>
                <w:lang w:val="is-IS"/>
              </w:rPr>
              <w:t>5</w:t>
            </w:r>
            <w:r w:rsidRPr="006774D3">
              <w:rPr>
                <w:color w:val="000000"/>
                <w:sz w:val="22"/>
                <w:szCs w:val="22"/>
                <w:lang w:val="is-IS"/>
              </w:rPr>
              <w:t>, verkur í koki og barkakýli, kokbólga.</w:t>
            </w:r>
          </w:p>
        </w:tc>
      </w:tr>
      <w:tr w:rsidR="00F40B8C" w:rsidRPr="006774D3" w14:paraId="05B8B7AC" w14:textId="77777777" w:rsidTr="00632D98">
        <w:trPr>
          <w:cantSplit/>
        </w:trPr>
        <w:tc>
          <w:tcPr>
            <w:tcW w:w="2287" w:type="dxa"/>
          </w:tcPr>
          <w:p w14:paraId="05B8B7AA"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AB"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Fleiðruverkur, lungnatrefjun, lungnaháþrýstingur, lungnablæðing.</w:t>
            </w:r>
          </w:p>
        </w:tc>
      </w:tr>
      <w:tr w:rsidR="00F40B8C" w:rsidRPr="006774D3" w14:paraId="05B8B7AF" w14:textId="77777777" w:rsidTr="00632D98">
        <w:trPr>
          <w:cantSplit/>
        </w:trPr>
        <w:tc>
          <w:tcPr>
            <w:tcW w:w="2287" w:type="dxa"/>
          </w:tcPr>
          <w:p w14:paraId="05B8B7AD"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AE"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 öndunarbilun</w:t>
            </w:r>
            <w:r w:rsidR="00996A06" w:rsidRPr="006774D3">
              <w:rPr>
                <w:color w:val="000000"/>
                <w:sz w:val="22"/>
                <w:szCs w:val="22"/>
                <w:vertAlign w:val="superscript"/>
                <w:lang w:val="is-IS"/>
              </w:rPr>
              <w:t>11</w:t>
            </w:r>
            <w:r w:rsidRPr="006774D3">
              <w:rPr>
                <w:color w:val="000000"/>
                <w:sz w:val="22"/>
                <w:szCs w:val="22"/>
                <w:lang w:val="is-IS"/>
              </w:rPr>
              <w:t>*, millivefslungnasjúkdómur*.</w:t>
            </w:r>
          </w:p>
        </w:tc>
      </w:tr>
      <w:tr w:rsidR="00F40B8C" w:rsidRPr="006774D3" w14:paraId="05B8B7B1" w14:textId="77777777" w:rsidTr="00632D98">
        <w:trPr>
          <w:cantSplit/>
        </w:trPr>
        <w:tc>
          <w:tcPr>
            <w:tcW w:w="9286" w:type="dxa"/>
            <w:gridSpan w:val="2"/>
          </w:tcPr>
          <w:p w14:paraId="05B8B7B0"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lastRenderedPageBreak/>
              <w:t>Meltingarfæri</w:t>
            </w:r>
          </w:p>
        </w:tc>
      </w:tr>
      <w:tr w:rsidR="00F40B8C" w:rsidRPr="006774D3" w14:paraId="05B8B7B4" w14:textId="77777777" w:rsidTr="00632D98">
        <w:trPr>
          <w:cantSplit/>
        </w:trPr>
        <w:tc>
          <w:tcPr>
            <w:tcW w:w="2287" w:type="dxa"/>
          </w:tcPr>
          <w:p w14:paraId="05B8B7B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7B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Ógleði, niðurgangur, uppköst, meltingartruflun, kviðverkir</w:t>
            </w:r>
            <w:r w:rsidRPr="006774D3">
              <w:rPr>
                <w:color w:val="000000"/>
                <w:sz w:val="22"/>
                <w:szCs w:val="22"/>
                <w:vertAlign w:val="superscript"/>
                <w:lang w:val="is-IS"/>
              </w:rPr>
              <w:t>6</w:t>
            </w:r>
            <w:r w:rsidRPr="006774D3">
              <w:rPr>
                <w:color w:val="000000"/>
                <w:sz w:val="22"/>
                <w:szCs w:val="22"/>
                <w:lang w:val="is-IS"/>
              </w:rPr>
              <w:t>.</w:t>
            </w:r>
          </w:p>
        </w:tc>
      </w:tr>
      <w:tr w:rsidR="00F40B8C" w:rsidRPr="006774D3" w14:paraId="05B8B7B7" w14:textId="77777777" w:rsidTr="00632D98">
        <w:trPr>
          <w:cantSplit/>
        </w:trPr>
        <w:tc>
          <w:tcPr>
            <w:tcW w:w="2287" w:type="dxa"/>
          </w:tcPr>
          <w:p w14:paraId="05B8B7B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B6"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Vindgangur, þaninn kviður, maga-vélindabakflæði, hægðatregða, munnþurrkur, magabólga.</w:t>
            </w:r>
          </w:p>
        </w:tc>
      </w:tr>
      <w:tr w:rsidR="00F40B8C" w:rsidRPr="006774D3" w14:paraId="05B8B7BA" w14:textId="77777777" w:rsidTr="00632D98">
        <w:trPr>
          <w:cantSplit/>
        </w:trPr>
        <w:tc>
          <w:tcPr>
            <w:tcW w:w="2287" w:type="dxa"/>
          </w:tcPr>
          <w:p w14:paraId="05B8B7B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B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Munnbólga, munnsæri, blæðing í meltingarfærum</w:t>
            </w:r>
            <w:r w:rsidRPr="006774D3">
              <w:rPr>
                <w:color w:val="000000"/>
                <w:sz w:val="22"/>
                <w:szCs w:val="22"/>
                <w:vertAlign w:val="superscript"/>
                <w:lang w:val="is-IS"/>
              </w:rPr>
              <w:t>7</w:t>
            </w:r>
            <w:r w:rsidRPr="006774D3">
              <w:rPr>
                <w:color w:val="000000"/>
                <w:sz w:val="22"/>
                <w:szCs w:val="22"/>
                <w:lang w:val="is-IS"/>
              </w:rPr>
              <w:t>, ropi, sortusaur, vélindabólga, skinuholsvökvi, magasár, blóðug uppköst, varaþroti, kyngingartregða, brisbólga.</w:t>
            </w:r>
          </w:p>
        </w:tc>
      </w:tr>
      <w:tr w:rsidR="00F40B8C" w:rsidRPr="006774D3" w14:paraId="05B8B7BD" w14:textId="77777777" w:rsidTr="00632D98">
        <w:trPr>
          <w:cantSplit/>
        </w:trPr>
        <w:tc>
          <w:tcPr>
            <w:tcW w:w="2287" w:type="dxa"/>
          </w:tcPr>
          <w:p w14:paraId="05B8B7BB"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BC"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Ristilbólga, garnastífla, garnabólgusjúkdómur.</w:t>
            </w:r>
          </w:p>
        </w:tc>
      </w:tr>
      <w:tr w:rsidR="00F40B8C" w:rsidRPr="006774D3" w14:paraId="05B8B7C0" w14:textId="77777777" w:rsidTr="00632D98">
        <w:trPr>
          <w:cantSplit/>
        </w:trPr>
        <w:tc>
          <w:tcPr>
            <w:tcW w:w="2287" w:type="dxa"/>
          </w:tcPr>
          <w:p w14:paraId="05B8B7BE"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BF"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Garnastífla/teppa í meltingarvegi*, garnarof*, sarpbólga*, GAVE (víkkun lítilla blóðæða í neðsta hluta magans [</w:t>
            </w:r>
            <w:r w:rsidRPr="006774D3">
              <w:rPr>
                <w:sz w:val="22"/>
                <w:szCs w:val="22"/>
                <w:lang w:val="is-IS"/>
              </w:rPr>
              <w:t>gastric antral vascular ectasia])*</w:t>
            </w:r>
            <w:r w:rsidRPr="006774D3">
              <w:rPr>
                <w:color w:val="000000"/>
                <w:sz w:val="22"/>
                <w:szCs w:val="22"/>
                <w:lang w:val="is-IS"/>
              </w:rPr>
              <w:t>.</w:t>
            </w:r>
          </w:p>
        </w:tc>
      </w:tr>
      <w:tr w:rsidR="00F40B8C" w:rsidRPr="006774D3" w14:paraId="05B8B7C2" w14:textId="77777777" w:rsidTr="00632D98">
        <w:trPr>
          <w:cantSplit/>
        </w:trPr>
        <w:tc>
          <w:tcPr>
            <w:tcW w:w="9286" w:type="dxa"/>
            <w:gridSpan w:val="2"/>
          </w:tcPr>
          <w:p w14:paraId="05B8B7C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Lifur og gall</w:t>
            </w:r>
          </w:p>
        </w:tc>
      </w:tr>
      <w:tr w:rsidR="00F40B8C" w:rsidRPr="006774D3" w14:paraId="05B8B7C5" w14:textId="77777777" w:rsidTr="00632D98">
        <w:trPr>
          <w:cantSplit/>
        </w:trPr>
        <w:tc>
          <w:tcPr>
            <w:tcW w:w="2287" w:type="dxa"/>
          </w:tcPr>
          <w:p w14:paraId="05B8B7C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C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Hækkuð lifrarensím.</w:t>
            </w:r>
          </w:p>
        </w:tc>
      </w:tr>
      <w:tr w:rsidR="00F40B8C" w:rsidRPr="006774D3" w14:paraId="05B8B7C8" w14:textId="77777777" w:rsidTr="00632D98">
        <w:trPr>
          <w:cantSplit/>
        </w:trPr>
        <w:tc>
          <w:tcPr>
            <w:tcW w:w="2287" w:type="dxa"/>
          </w:tcPr>
          <w:p w14:paraId="05B8B7C6"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C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Blóðbilirubinhækkun, lifrarbólga, gula.</w:t>
            </w:r>
          </w:p>
        </w:tc>
      </w:tr>
      <w:tr w:rsidR="00F40B8C" w:rsidRPr="006774D3" w14:paraId="05B8B7CB" w14:textId="77777777" w:rsidTr="00632D98">
        <w:trPr>
          <w:cantSplit/>
        </w:trPr>
        <w:tc>
          <w:tcPr>
            <w:tcW w:w="2287" w:type="dxa"/>
          </w:tcPr>
          <w:p w14:paraId="05B8B7C9"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CA"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Lifrarbilun</w:t>
            </w:r>
            <w:r w:rsidRPr="006774D3">
              <w:rPr>
                <w:color w:val="000000"/>
                <w:sz w:val="22"/>
                <w:szCs w:val="22"/>
                <w:vertAlign w:val="superscript"/>
                <w:lang w:val="is-IS"/>
              </w:rPr>
              <w:t>8</w:t>
            </w:r>
            <w:r w:rsidRPr="006774D3">
              <w:rPr>
                <w:color w:val="000000"/>
                <w:sz w:val="22"/>
                <w:szCs w:val="22"/>
                <w:lang w:val="is-IS"/>
              </w:rPr>
              <w:t>, lifrardrep.</w:t>
            </w:r>
          </w:p>
        </w:tc>
      </w:tr>
      <w:tr w:rsidR="00F40B8C" w:rsidRPr="006774D3" w14:paraId="05B8B7CD" w14:textId="77777777" w:rsidTr="00632D98">
        <w:trPr>
          <w:cantSplit/>
        </w:trPr>
        <w:tc>
          <w:tcPr>
            <w:tcW w:w="9286" w:type="dxa"/>
            <w:gridSpan w:val="2"/>
          </w:tcPr>
          <w:p w14:paraId="05B8B7CC"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Húð og undirhúð</w:t>
            </w:r>
          </w:p>
        </w:tc>
      </w:tr>
      <w:tr w:rsidR="00F40B8C" w:rsidRPr="006774D3" w14:paraId="05B8B7D0" w14:textId="77777777" w:rsidTr="00632D98">
        <w:trPr>
          <w:cantSplit/>
        </w:trPr>
        <w:tc>
          <w:tcPr>
            <w:tcW w:w="2287" w:type="dxa"/>
          </w:tcPr>
          <w:p w14:paraId="05B8B7C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7C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Bjúgur umhverfis augu, húðbólga/exem/útbrot.</w:t>
            </w:r>
          </w:p>
        </w:tc>
      </w:tr>
      <w:tr w:rsidR="00F40B8C" w:rsidRPr="006774D3" w14:paraId="05B8B7D3" w14:textId="77777777" w:rsidTr="00632D98">
        <w:trPr>
          <w:cantSplit/>
        </w:trPr>
        <w:tc>
          <w:tcPr>
            <w:tcW w:w="2287" w:type="dxa"/>
          </w:tcPr>
          <w:p w14:paraId="05B8B7D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D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Kláði, andlitsbjúgur, húðþurrkur, hörundsroði, hárlos, nætursviti, ljósnæmis</w:t>
            </w:r>
            <w:r w:rsidRPr="006774D3">
              <w:rPr>
                <w:color w:val="000000"/>
                <w:sz w:val="22"/>
                <w:szCs w:val="22"/>
                <w:lang w:val="is-IS"/>
              </w:rPr>
              <w:softHyphen/>
              <w:t>viðbragð.</w:t>
            </w:r>
          </w:p>
        </w:tc>
      </w:tr>
      <w:tr w:rsidR="00F40B8C" w:rsidRPr="006774D3" w14:paraId="05B8B7D6" w14:textId="77777777" w:rsidTr="00632D98">
        <w:trPr>
          <w:cantSplit/>
        </w:trPr>
        <w:tc>
          <w:tcPr>
            <w:tcW w:w="2287" w:type="dxa"/>
          </w:tcPr>
          <w:p w14:paraId="05B8B7D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D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Bóluútbrot, mar, aukin svitamyndun, ofsakláði, flekkblæðingar, mar af minna tilefni en áður, gisið hár, vanlitun í húð, skinnflagningsbólga, brotnar neglur, hársekksbólga, depilblæðingar, sóri, purpuri, oflitun í húð, blöðruútsláttur.</w:t>
            </w:r>
          </w:p>
        </w:tc>
      </w:tr>
      <w:tr w:rsidR="00F40B8C" w:rsidRPr="006774D3" w14:paraId="05B8B7D9" w14:textId="77777777" w:rsidTr="00632D98">
        <w:trPr>
          <w:cantSplit/>
        </w:trPr>
        <w:tc>
          <w:tcPr>
            <w:tcW w:w="2287" w:type="dxa"/>
          </w:tcPr>
          <w:p w14:paraId="05B8B7D7"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D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Bráð daufkyrningahúðsótt með sótthita (Sweets heilkenni), mislitun nagla, ofsa</w:t>
            </w:r>
            <w:r w:rsidRPr="006774D3">
              <w:rPr>
                <w:color w:val="000000"/>
                <w:sz w:val="22"/>
                <w:szCs w:val="22"/>
                <w:lang w:val="is-IS"/>
              </w:rPr>
              <w:softHyphen/>
              <w:t>bjúgur, útbrot með blöðrum, regnbogaroðaþot, ofnæmisæðabólga, Stevens-Johnson heilkenni, bráð almenn bóluútbrot (AGEP).</w:t>
            </w:r>
          </w:p>
        </w:tc>
      </w:tr>
      <w:tr w:rsidR="00F40B8C" w:rsidRPr="006774D3" w14:paraId="05B8B7DC" w14:textId="77777777" w:rsidTr="00632D98">
        <w:trPr>
          <w:cantSplit/>
        </w:trPr>
        <w:tc>
          <w:tcPr>
            <w:tcW w:w="2287" w:type="dxa"/>
          </w:tcPr>
          <w:p w14:paraId="05B8B7DA"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DB" w14:textId="77777777" w:rsidR="00F40B8C" w:rsidRPr="006774D3" w:rsidRDefault="00F40B8C" w:rsidP="00F77C66">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Handa- og fótaheilkenni (palmoplantar erythrodysesthesia syndrome)*, hornlagsskæningur (lichenoid keratosis)*, flatskæningur*, eitrunardreplos húðþekju*, l</w:t>
            </w:r>
            <w:r w:rsidRPr="006774D3">
              <w:rPr>
                <w:bCs/>
                <w:color w:val="000000"/>
                <w:sz w:val="22"/>
                <w:szCs w:val="22"/>
                <w:lang w:val="is-IS"/>
              </w:rPr>
              <w:t>yfjaútbrot</w:t>
            </w:r>
            <w:r w:rsidRPr="006774D3">
              <w:rPr>
                <w:color w:val="000000"/>
                <w:sz w:val="22"/>
                <w:szCs w:val="22"/>
                <w:lang w:val="is-IS"/>
              </w:rPr>
              <w:t xml:space="preserve"> ásamt rauðkyrningageri og altækum einkennum (</w:t>
            </w:r>
            <w:r w:rsidRPr="006774D3">
              <w:rPr>
                <w:bCs/>
                <w:color w:val="000000"/>
                <w:sz w:val="22"/>
                <w:szCs w:val="22"/>
                <w:lang w:val="is-IS"/>
              </w:rPr>
              <w:t>DRESS</w:t>
            </w:r>
            <w:r w:rsidRPr="006774D3">
              <w:rPr>
                <w:color w:val="000000"/>
                <w:sz w:val="22"/>
                <w:szCs w:val="22"/>
                <w:lang w:val="is-IS"/>
              </w:rPr>
              <w:t>)</w:t>
            </w:r>
            <w:r w:rsidR="003A33D0" w:rsidRPr="006774D3">
              <w:rPr>
                <w:color w:val="000000"/>
                <w:sz w:val="22"/>
                <w:szCs w:val="22"/>
                <w:lang w:val="is-IS"/>
              </w:rPr>
              <w:t>, sýndarporfyría</w:t>
            </w:r>
            <w:r w:rsidR="00DC6F77" w:rsidRPr="006774D3">
              <w:rPr>
                <w:color w:val="000000"/>
                <w:sz w:val="22"/>
                <w:szCs w:val="22"/>
                <w:lang w:val="is-IS"/>
              </w:rPr>
              <w:t>*</w:t>
            </w:r>
          </w:p>
        </w:tc>
      </w:tr>
      <w:tr w:rsidR="00F40B8C" w:rsidRPr="006774D3" w14:paraId="05B8B7DE" w14:textId="77777777" w:rsidTr="00632D98">
        <w:trPr>
          <w:cantSplit/>
        </w:trPr>
        <w:tc>
          <w:tcPr>
            <w:tcW w:w="9286" w:type="dxa"/>
            <w:gridSpan w:val="2"/>
          </w:tcPr>
          <w:p w14:paraId="05B8B7DD"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Stoðkerfi og stoðvefur</w:t>
            </w:r>
          </w:p>
        </w:tc>
      </w:tr>
      <w:tr w:rsidR="00F40B8C" w:rsidRPr="006774D3" w14:paraId="05B8B7E1" w14:textId="77777777" w:rsidTr="00632D98">
        <w:trPr>
          <w:cantSplit/>
        </w:trPr>
        <w:tc>
          <w:tcPr>
            <w:tcW w:w="2287" w:type="dxa"/>
          </w:tcPr>
          <w:p w14:paraId="05B8B7D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7E0"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Vöðvakippir og krampar, stoðkerfisverkir þar með taldir vöðvaverkir</w:t>
            </w:r>
            <w:r w:rsidR="00996A06" w:rsidRPr="006774D3">
              <w:rPr>
                <w:color w:val="000000"/>
                <w:sz w:val="22"/>
                <w:szCs w:val="22"/>
                <w:vertAlign w:val="superscript"/>
                <w:lang w:val="is-IS"/>
              </w:rPr>
              <w:t>9</w:t>
            </w:r>
            <w:r w:rsidRPr="006774D3">
              <w:rPr>
                <w:color w:val="000000"/>
                <w:sz w:val="22"/>
                <w:szCs w:val="22"/>
                <w:lang w:val="is-IS"/>
              </w:rPr>
              <w:t>, liðverkir og beinverkir</w:t>
            </w:r>
            <w:r w:rsidR="00996A06" w:rsidRPr="006774D3">
              <w:rPr>
                <w:color w:val="000000"/>
                <w:sz w:val="22"/>
                <w:szCs w:val="22"/>
                <w:vertAlign w:val="superscript"/>
                <w:lang w:val="is-IS"/>
              </w:rPr>
              <w:t>10</w:t>
            </w:r>
            <w:r w:rsidRPr="006774D3">
              <w:rPr>
                <w:color w:val="000000"/>
                <w:sz w:val="22"/>
                <w:szCs w:val="22"/>
                <w:lang w:val="is-IS"/>
              </w:rPr>
              <w:t>.</w:t>
            </w:r>
          </w:p>
        </w:tc>
      </w:tr>
      <w:tr w:rsidR="00F40B8C" w:rsidRPr="006774D3" w14:paraId="05B8B7E4" w14:textId="77777777" w:rsidTr="00632D98">
        <w:trPr>
          <w:cantSplit/>
        </w:trPr>
        <w:tc>
          <w:tcPr>
            <w:tcW w:w="2287" w:type="dxa"/>
          </w:tcPr>
          <w:p w14:paraId="05B8B7E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7E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Liðbólga.</w:t>
            </w:r>
          </w:p>
        </w:tc>
      </w:tr>
      <w:tr w:rsidR="00F40B8C" w:rsidRPr="006774D3" w14:paraId="05B8B7E7" w14:textId="77777777" w:rsidTr="00632D98">
        <w:trPr>
          <w:cantSplit/>
        </w:trPr>
        <w:tc>
          <w:tcPr>
            <w:tcW w:w="2287" w:type="dxa"/>
          </w:tcPr>
          <w:p w14:paraId="05B8B7E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E6"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Stífleiki í liðum og vöðvum.</w:t>
            </w:r>
          </w:p>
        </w:tc>
      </w:tr>
      <w:tr w:rsidR="00F40B8C" w:rsidRPr="006774D3" w14:paraId="05B8B7EA" w14:textId="77777777" w:rsidTr="00632D98">
        <w:trPr>
          <w:cantSplit/>
        </w:trPr>
        <w:tc>
          <w:tcPr>
            <w:tcW w:w="2287" w:type="dxa"/>
          </w:tcPr>
          <w:p w14:paraId="05B8B7E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sjaldgæfar:</w:t>
            </w:r>
          </w:p>
        </w:tc>
        <w:tc>
          <w:tcPr>
            <w:tcW w:w="6999" w:type="dxa"/>
          </w:tcPr>
          <w:p w14:paraId="05B8B7E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Vöðvamáttleysi, liðbólga, rákvöðvalýsa/vöðvakvilli.</w:t>
            </w:r>
          </w:p>
        </w:tc>
      </w:tr>
      <w:tr w:rsidR="00F40B8C" w:rsidRPr="006774D3" w14:paraId="05B8B7ED" w14:textId="77777777" w:rsidTr="00632D98">
        <w:trPr>
          <w:cantSplit/>
        </w:trPr>
        <w:tc>
          <w:tcPr>
            <w:tcW w:w="2287" w:type="dxa"/>
          </w:tcPr>
          <w:p w14:paraId="05B8B7EB"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EC"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Blóðþurrðardrep/drep í mjöðm*, vaxtarskerðing hjá börnum*.</w:t>
            </w:r>
          </w:p>
        </w:tc>
      </w:tr>
      <w:tr w:rsidR="00F40B8C" w:rsidRPr="006774D3" w14:paraId="05B8B7EF" w14:textId="77777777" w:rsidTr="00632D98">
        <w:trPr>
          <w:cantSplit/>
        </w:trPr>
        <w:tc>
          <w:tcPr>
            <w:tcW w:w="9286" w:type="dxa"/>
            <w:gridSpan w:val="2"/>
          </w:tcPr>
          <w:p w14:paraId="05B8B7EE" w14:textId="77777777" w:rsidR="00F40B8C" w:rsidRPr="006774D3" w:rsidRDefault="00F40B8C"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Nýru og þvagfæri</w:t>
            </w:r>
          </w:p>
        </w:tc>
      </w:tr>
      <w:tr w:rsidR="00F40B8C" w:rsidRPr="006774D3" w14:paraId="05B8B7F2" w14:textId="77777777" w:rsidTr="00632D98">
        <w:trPr>
          <w:cantSplit/>
        </w:trPr>
        <w:tc>
          <w:tcPr>
            <w:tcW w:w="2287" w:type="dxa"/>
          </w:tcPr>
          <w:p w14:paraId="05B8B7F0" w14:textId="77777777" w:rsidR="00F40B8C" w:rsidRPr="006774D3" w:rsidRDefault="00F40B8C"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F1" w14:textId="77777777" w:rsidR="00F40B8C" w:rsidRPr="006774D3" w:rsidRDefault="00F40B8C" w:rsidP="00F77C66">
            <w:pPr>
              <w:pStyle w:val="EndnoteText"/>
              <w:keepLines/>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Nýrnaverkir, blóð í þvagi, bráð nýrnabilun, aukin tíðni þvagláta.</w:t>
            </w:r>
          </w:p>
        </w:tc>
      </w:tr>
      <w:tr w:rsidR="00D959D7" w:rsidRPr="006774D3" w14:paraId="05B8B7F5" w14:textId="77777777" w:rsidTr="00632D98">
        <w:trPr>
          <w:cantSplit/>
        </w:trPr>
        <w:tc>
          <w:tcPr>
            <w:tcW w:w="2287" w:type="dxa"/>
          </w:tcPr>
          <w:p w14:paraId="05B8B7F3" w14:textId="77777777" w:rsidR="00D959D7" w:rsidRPr="006774D3" w:rsidRDefault="00D959D7" w:rsidP="00FA5D6F">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Tíðni ekki þekkt:</w:t>
            </w:r>
          </w:p>
        </w:tc>
        <w:tc>
          <w:tcPr>
            <w:tcW w:w="6999" w:type="dxa"/>
          </w:tcPr>
          <w:p w14:paraId="05B8B7F4" w14:textId="77777777" w:rsidR="00D959D7" w:rsidRPr="006774D3" w:rsidRDefault="00D959D7" w:rsidP="00FA5D6F">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Langvarandi nýrnabilun.</w:t>
            </w:r>
          </w:p>
        </w:tc>
      </w:tr>
      <w:tr w:rsidR="00F40B8C" w:rsidRPr="006774D3" w14:paraId="05B8B7F7" w14:textId="77777777" w:rsidTr="00632D98">
        <w:trPr>
          <w:cantSplit/>
        </w:trPr>
        <w:tc>
          <w:tcPr>
            <w:tcW w:w="9286" w:type="dxa"/>
            <w:gridSpan w:val="2"/>
          </w:tcPr>
          <w:p w14:paraId="05B8B7F6"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Æxlunarfæri og brjóst</w:t>
            </w:r>
          </w:p>
        </w:tc>
      </w:tr>
      <w:tr w:rsidR="00F40B8C" w:rsidRPr="006774D3" w14:paraId="05B8B7FA" w14:textId="77777777" w:rsidTr="00632D98">
        <w:trPr>
          <w:cantSplit/>
        </w:trPr>
        <w:tc>
          <w:tcPr>
            <w:tcW w:w="2287" w:type="dxa"/>
          </w:tcPr>
          <w:p w14:paraId="05B8B7F8"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7F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Brjóstastækkun hjá körlum, ristruflanir, miklar tíðablæðingar, óreglulegar tíðablæðingar, truflanir á kynlífi, sárar geirvörtur, brjóstastækkun, pungbjúgur.</w:t>
            </w:r>
          </w:p>
        </w:tc>
      </w:tr>
      <w:tr w:rsidR="00F40B8C" w:rsidRPr="006774D3" w14:paraId="05B8B7FD" w14:textId="77777777" w:rsidTr="00632D98">
        <w:trPr>
          <w:cantSplit/>
        </w:trPr>
        <w:tc>
          <w:tcPr>
            <w:tcW w:w="2287" w:type="dxa"/>
          </w:tcPr>
          <w:p w14:paraId="05B8B7FB"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7FC"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Blæðandi gulbú/blæðandi blaðra á eggjastokk.</w:t>
            </w:r>
          </w:p>
        </w:tc>
      </w:tr>
      <w:tr w:rsidR="00F40B8C" w:rsidRPr="006774D3" w14:paraId="05B8B7FF" w14:textId="77777777" w:rsidTr="00632D98">
        <w:trPr>
          <w:cantSplit/>
        </w:trPr>
        <w:tc>
          <w:tcPr>
            <w:tcW w:w="9286" w:type="dxa"/>
            <w:gridSpan w:val="2"/>
          </w:tcPr>
          <w:p w14:paraId="05B8B7F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t>Almennar aukaverkanir og aukaverkanir á íkomustað</w:t>
            </w:r>
          </w:p>
        </w:tc>
      </w:tr>
      <w:tr w:rsidR="00F40B8C" w:rsidRPr="006774D3" w14:paraId="05B8B802" w14:textId="77777777" w:rsidTr="00632D98">
        <w:trPr>
          <w:cantSplit/>
        </w:trPr>
        <w:tc>
          <w:tcPr>
            <w:tcW w:w="2287" w:type="dxa"/>
          </w:tcPr>
          <w:p w14:paraId="05B8B800"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Mjög algengar:</w:t>
            </w:r>
          </w:p>
        </w:tc>
        <w:tc>
          <w:tcPr>
            <w:tcW w:w="6999" w:type="dxa"/>
          </w:tcPr>
          <w:p w14:paraId="05B8B80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Vökvasöfnun og bjúgur, þreyta.</w:t>
            </w:r>
          </w:p>
        </w:tc>
      </w:tr>
      <w:tr w:rsidR="00F40B8C" w:rsidRPr="006774D3" w14:paraId="05B8B805" w14:textId="77777777" w:rsidTr="00632D98">
        <w:trPr>
          <w:cantSplit/>
        </w:trPr>
        <w:tc>
          <w:tcPr>
            <w:tcW w:w="2287" w:type="dxa"/>
          </w:tcPr>
          <w:p w14:paraId="05B8B803"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Algengar:</w:t>
            </w:r>
          </w:p>
        </w:tc>
        <w:tc>
          <w:tcPr>
            <w:tcW w:w="6999" w:type="dxa"/>
          </w:tcPr>
          <w:p w14:paraId="05B8B80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Máttleysi, hiti, holdbjúgur, kalda, kuldahrollur.</w:t>
            </w:r>
          </w:p>
        </w:tc>
      </w:tr>
      <w:tr w:rsidR="00F40B8C" w:rsidRPr="006774D3" w14:paraId="05B8B808" w14:textId="77777777" w:rsidTr="00632D98">
        <w:trPr>
          <w:cantSplit/>
        </w:trPr>
        <w:tc>
          <w:tcPr>
            <w:tcW w:w="2287" w:type="dxa"/>
          </w:tcPr>
          <w:p w14:paraId="05B8B806"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i/>
                <w:color w:val="000000"/>
                <w:sz w:val="22"/>
                <w:szCs w:val="22"/>
                <w:lang w:val="is-IS"/>
              </w:rPr>
              <w:t>Sjaldgæfar:</w:t>
            </w:r>
          </w:p>
        </w:tc>
        <w:tc>
          <w:tcPr>
            <w:tcW w:w="6999" w:type="dxa"/>
          </w:tcPr>
          <w:p w14:paraId="05B8B807"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Brjóstverkur, lasleiki.</w:t>
            </w:r>
          </w:p>
        </w:tc>
      </w:tr>
      <w:tr w:rsidR="00F40B8C" w:rsidRPr="006774D3" w14:paraId="05B8B80A" w14:textId="77777777" w:rsidTr="00632D98">
        <w:trPr>
          <w:cantSplit/>
        </w:trPr>
        <w:tc>
          <w:tcPr>
            <w:tcW w:w="9286" w:type="dxa"/>
            <w:gridSpan w:val="2"/>
          </w:tcPr>
          <w:p w14:paraId="05B8B809"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b/>
                <w:color w:val="000000"/>
                <w:sz w:val="22"/>
                <w:szCs w:val="22"/>
                <w:lang w:val="is-IS"/>
              </w:rPr>
              <w:lastRenderedPageBreak/>
              <w:t>Rannsóknaniðurstöður</w:t>
            </w:r>
          </w:p>
        </w:tc>
      </w:tr>
      <w:tr w:rsidR="00F40B8C" w:rsidRPr="006774D3" w14:paraId="05B8B80D" w14:textId="77777777" w:rsidTr="00632D98">
        <w:trPr>
          <w:cantSplit/>
        </w:trPr>
        <w:tc>
          <w:tcPr>
            <w:tcW w:w="2287" w:type="dxa"/>
          </w:tcPr>
          <w:p w14:paraId="05B8B80B"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algengar:</w:t>
            </w:r>
          </w:p>
        </w:tc>
        <w:tc>
          <w:tcPr>
            <w:tcW w:w="6999" w:type="dxa"/>
          </w:tcPr>
          <w:p w14:paraId="05B8B80C"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Þyngdaraukning.</w:t>
            </w:r>
          </w:p>
        </w:tc>
      </w:tr>
      <w:tr w:rsidR="00F40B8C" w:rsidRPr="006774D3" w14:paraId="05B8B810" w14:textId="77777777" w:rsidTr="00632D98">
        <w:trPr>
          <w:cantSplit/>
        </w:trPr>
        <w:tc>
          <w:tcPr>
            <w:tcW w:w="2287" w:type="dxa"/>
          </w:tcPr>
          <w:p w14:paraId="05B8B80E"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Algengar:</w:t>
            </w:r>
          </w:p>
        </w:tc>
        <w:tc>
          <w:tcPr>
            <w:tcW w:w="6999" w:type="dxa"/>
          </w:tcPr>
          <w:p w14:paraId="05B8B80F"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Þyngdartap.</w:t>
            </w:r>
          </w:p>
        </w:tc>
      </w:tr>
      <w:tr w:rsidR="00F40B8C" w:rsidRPr="006774D3" w14:paraId="05B8B813" w14:textId="77777777" w:rsidTr="00632D98">
        <w:trPr>
          <w:cantSplit/>
        </w:trPr>
        <w:tc>
          <w:tcPr>
            <w:tcW w:w="2287" w:type="dxa"/>
          </w:tcPr>
          <w:p w14:paraId="05B8B811"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Sjaldgæfar:</w:t>
            </w:r>
          </w:p>
        </w:tc>
        <w:tc>
          <w:tcPr>
            <w:tcW w:w="6999" w:type="dxa"/>
          </w:tcPr>
          <w:p w14:paraId="05B8B812"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Aukið kreatinin í blóði, aukinn kreatinfosfokinasi í blóði, aukinn lactat</w:t>
            </w:r>
            <w:r w:rsidRPr="006774D3">
              <w:rPr>
                <w:color w:val="000000"/>
                <w:sz w:val="22"/>
                <w:szCs w:val="22"/>
                <w:lang w:val="is-IS"/>
              </w:rPr>
              <w:softHyphen/>
              <w:t>dehydrogenasi í blóði, aukinn alkalískur fosfatasi í blóði.</w:t>
            </w:r>
          </w:p>
        </w:tc>
      </w:tr>
      <w:tr w:rsidR="00F40B8C" w:rsidRPr="006774D3" w14:paraId="05B8B816" w14:textId="77777777" w:rsidTr="00632D98">
        <w:trPr>
          <w:cantSplit/>
        </w:trPr>
        <w:tc>
          <w:tcPr>
            <w:tcW w:w="2287" w:type="dxa"/>
          </w:tcPr>
          <w:p w14:paraId="05B8B814"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i/>
                <w:color w:val="000000"/>
                <w:sz w:val="22"/>
                <w:szCs w:val="22"/>
                <w:lang w:val="is-IS"/>
              </w:rPr>
            </w:pPr>
            <w:r w:rsidRPr="006774D3">
              <w:rPr>
                <w:i/>
                <w:color w:val="000000"/>
                <w:sz w:val="22"/>
                <w:szCs w:val="22"/>
                <w:lang w:val="is-IS"/>
              </w:rPr>
              <w:t>Mjög sjaldgæfar:</w:t>
            </w:r>
          </w:p>
        </w:tc>
        <w:tc>
          <w:tcPr>
            <w:tcW w:w="6999" w:type="dxa"/>
          </w:tcPr>
          <w:p w14:paraId="05B8B815" w14:textId="77777777" w:rsidR="00F40B8C" w:rsidRPr="006774D3" w:rsidRDefault="00F40B8C" w:rsidP="00FA5D6F">
            <w:pPr>
              <w:pStyle w:val="EndnoteText"/>
              <w:keepNext/>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Aukinn amylasi í blóði.</w:t>
            </w:r>
          </w:p>
        </w:tc>
      </w:tr>
    </w:tbl>
    <w:p w14:paraId="05B8B817" w14:textId="77777777" w:rsidR="00F40B8C" w:rsidRPr="006774D3" w:rsidRDefault="00F40B8C" w:rsidP="00FA5D6F">
      <w:pPr>
        <w:keepNext/>
        <w:rPr>
          <w:color w:val="000000"/>
          <w:sz w:val="22"/>
          <w:szCs w:val="22"/>
        </w:rPr>
      </w:pPr>
    </w:p>
    <w:p w14:paraId="05B8B818"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w:t>
      </w:r>
      <w:r w:rsidRPr="006774D3">
        <w:rPr>
          <w:color w:val="000000"/>
          <w:sz w:val="22"/>
          <w:szCs w:val="22"/>
          <w:lang w:val="is-IS"/>
        </w:rPr>
        <w:tab/>
        <w:t>Einkum hefur verið greint frá þessum aukaverkunum eftir markaðssetningu Glivec. Hér er um að ræða tilvik sem greint hefur verið frá við notkun lyfsins utan klínískra rannsókna sem og alvarlegar aukaverkanir úr yfirstandandi rannsóknum, framlengdum áætlunum um aðgang að lyfinu, klínískum lyfjafræðirannsóknum og rannsóknum í tengslum við ósamþykktar ábendingar. Vegna þess að hér er um að ræða tilkynningar úr þýði af óþekktri stærð, er ekki alltaf unnt að meta tíðni þeirra með vissu eða staðfesta orsakasamhengi við útsetningu fyrir imatinibi.</w:t>
      </w:r>
    </w:p>
    <w:p w14:paraId="05B8B819"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w:t>
      </w:r>
      <w:r w:rsidRPr="006774D3">
        <w:rPr>
          <w:color w:val="000000"/>
          <w:sz w:val="22"/>
          <w:szCs w:val="22"/>
          <w:lang w:val="is-IS"/>
        </w:rPr>
        <w:tab/>
        <w:t>Oftast var greint frá lungnabólgu hjá sjúklingum með umbreytt CML og hjá sjúklingum með GIST.</w:t>
      </w:r>
    </w:p>
    <w:p w14:paraId="05B8B81A"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2</w:t>
      </w:r>
      <w:r w:rsidRPr="006774D3">
        <w:rPr>
          <w:color w:val="000000"/>
          <w:sz w:val="22"/>
          <w:szCs w:val="22"/>
          <w:lang w:val="is-IS"/>
        </w:rPr>
        <w:tab/>
        <w:t>Höfuðverkur var algengasta aukaverkunin hjá sjúklingum með GIST.</w:t>
      </w:r>
    </w:p>
    <w:p w14:paraId="05B8B81B"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3</w:t>
      </w:r>
      <w:r w:rsidRPr="006774D3">
        <w:rPr>
          <w:color w:val="000000"/>
          <w:sz w:val="22"/>
          <w:szCs w:val="22"/>
          <w:lang w:val="is-IS"/>
        </w:rPr>
        <w:tab/>
        <w:t>Á grundvelli sjúklingsára tengdust hjartaatvik, þ.m.t. hjartabilun, oftar sjúklingum með umbreytt (transformed) CML en sjúklingum með langvarandi CML.</w:t>
      </w:r>
    </w:p>
    <w:p w14:paraId="05B8B81C"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4</w:t>
      </w:r>
      <w:r w:rsidRPr="006774D3">
        <w:rPr>
          <w:color w:val="000000"/>
          <w:sz w:val="22"/>
          <w:szCs w:val="22"/>
          <w:lang w:val="is-IS"/>
        </w:rPr>
        <w:tab/>
        <w:t>Hitaroði í andliti og/eða á hálsi kom oftast fyrir hjá sjúklingum með GIST og blæðing (margúll, blæðing) kom oftast fyrir hjá sjúklingum með GIST og hjá sjúklingum með umbreytt CML (CML</w:t>
      </w:r>
      <w:r w:rsidRPr="006774D3">
        <w:rPr>
          <w:color w:val="000000"/>
          <w:sz w:val="22"/>
          <w:szCs w:val="22"/>
          <w:lang w:val="is-IS"/>
        </w:rPr>
        <w:noBreakHyphen/>
        <w:t>AP og CML</w:t>
      </w:r>
      <w:r w:rsidRPr="006774D3">
        <w:rPr>
          <w:color w:val="000000"/>
          <w:sz w:val="22"/>
          <w:szCs w:val="22"/>
          <w:lang w:val="is-IS"/>
        </w:rPr>
        <w:noBreakHyphen/>
        <w:t>BC).</w:t>
      </w:r>
    </w:p>
    <w:p w14:paraId="05B8B81D"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5</w:t>
      </w:r>
      <w:r w:rsidRPr="006774D3">
        <w:rPr>
          <w:color w:val="000000"/>
          <w:sz w:val="22"/>
          <w:szCs w:val="22"/>
          <w:lang w:val="is-IS"/>
        </w:rPr>
        <w:tab/>
        <w:t>Oftar var greint frá fleiðruvökva hjá sjúklingum með GIST og hjá sjúklingum með umbreytt CML (CML</w:t>
      </w:r>
      <w:r w:rsidRPr="006774D3">
        <w:rPr>
          <w:color w:val="000000"/>
          <w:sz w:val="22"/>
          <w:szCs w:val="22"/>
          <w:lang w:val="is-IS"/>
        </w:rPr>
        <w:noBreakHyphen/>
        <w:t>AP og CML</w:t>
      </w:r>
      <w:r w:rsidRPr="006774D3">
        <w:rPr>
          <w:color w:val="000000"/>
          <w:sz w:val="22"/>
          <w:szCs w:val="22"/>
          <w:lang w:val="is-IS"/>
        </w:rPr>
        <w:noBreakHyphen/>
        <w:t>BC) en hjá sjúklingum með langvarandi CML.</w:t>
      </w:r>
    </w:p>
    <w:p w14:paraId="05B8B81E" w14:textId="77777777" w:rsidR="00F40B8C" w:rsidRPr="006774D3" w:rsidRDefault="00F40B8C"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6+7</w:t>
      </w:r>
      <w:r w:rsidRPr="006774D3">
        <w:rPr>
          <w:color w:val="000000"/>
          <w:sz w:val="22"/>
          <w:szCs w:val="22"/>
          <w:lang w:val="is-IS"/>
        </w:rPr>
        <w:tab/>
        <w:t>Kviðverkir og blæðingar í meltingarvegi sáust oftast sjá sjúklingum með GIST.</w:t>
      </w:r>
    </w:p>
    <w:p w14:paraId="05B8B81F" w14:textId="77777777" w:rsidR="00F40B8C" w:rsidRPr="006774D3" w:rsidRDefault="00F40B8C" w:rsidP="00FA5D6F">
      <w:pPr>
        <w:pStyle w:val="EndnoteText"/>
        <w:keepNext/>
        <w:keepLines/>
        <w:overflowPunct w:val="0"/>
        <w:autoSpaceDE w:val="0"/>
        <w:autoSpaceDN w:val="0"/>
        <w:adjustRightInd w:val="0"/>
        <w:spacing w:before="0" w:after="0"/>
        <w:ind w:left="0" w:firstLine="0"/>
        <w:textAlignment w:val="baseline"/>
        <w:rPr>
          <w:color w:val="000000"/>
          <w:sz w:val="22"/>
          <w:szCs w:val="22"/>
          <w:lang w:val="is-IS"/>
        </w:rPr>
      </w:pPr>
      <w:r w:rsidRPr="006774D3">
        <w:rPr>
          <w:color w:val="000000"/>
          <w:sz w:val="22"/>
          <w:szCs w:val="22"/>
          <w:lang w:val="is-IS"/>
        </w:rPr>
        <w:t>8</w:t>
      </w:r>
      <w:r w:rsidRPr="006774D3">
        <w:rPr>
          <w:color w:val="000000"/>
          <w:sz w:val="22"/>
          <w:szCs w:val="22"/>
          <w:lang w:val="is-IS"/>
        </w:rPr>
        <w:tab/>
        <w:t>Greint hefur verið frá nokkrum tilvikum um banvæna lifrarbólgu og lifrardrep.</w:t>
      </w:r>
    </w:p>
    <w:p w14:paraId="05B8B820" w14:textId="77777777" w:rsidR="00996A06" w:rsidRPr="006774D3" w:rsidRDefault="00996A06"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9</w:t>
      </w:r>
      <w:r w:rsidRPr="006774D3">
        <w:rPr>
          <w:color w:val="000000"/>
          <w:sz w:val="22"/>
          <w:szCs w:val="22"/>
          <w:lang w:val="is-IS"/>
        </w:rPr>
        <w:tab/>
        <w:t>Stoðkerfisverkir meðan á meðferð með imatinibi stendur eða eftir að meðferð hefur verið hætt hafa komið fram eftir markaðssetningu lyfsins.</w:t>
      </w:r>
    </w:p>
    <w:p w14:paraId="05B8B821" w14:textId="77777777" w:rsidR="00F40B8C" w:rsidRPr="006774D3" w:rsidRDefault="00996A06" w:rsidP="00FA5D6F">
      <w:pPr>
        <w:pStyle w:val="EndnoteText"/>
        <w:keepNext/>
        <w:keepLines/>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10</w:t>
      </w:r>
      <w:r w:rsidR="00F40B8C" w:rsidRPr="006774D3">
        <w:rPr>
          <w:color w:val="000000"/>
          <w:sz w:val="22"/>
          <w:szCs w:val="22"/>
          <w:lang w:val="is-IS"/>
        </w:rPr>
        <w:tab/>
        <w:t>Stoðkerfisverkir og annað því um líkt kom oftar fyrir hjá sjúklingum með CML en hjá sjúklingum með GIST.</w:t>
      </w:r>
    </w:p>
    <w:p w14:paraId="05B8B822" w14:textId="77777777" w:rsidR="00F40B8C" w:rsidRPr="006774D3" w:rsidRDefault="00996A06" w:rsidP="00F77C66">
      <w:pPr>
        <w:pStyle w:val="EndnoteText"/>
        <w:overflowPunct w:val="0"/>
        <w:autoSpaceDE w:val="0"/>
        <w:autoSpaceDN w:val="0"/>
        <w:adjustRightInd w:val="0"/>
        <w:spacing w:before="0" w:after="0"/>
        <w:ind w:left="567" w:hanging="567"/>
        <w:textAlignment w:val="baseline"/>
        <w:rPr>
          <w:color w:val="000000"/>
          <w:sz w:val="22"/>
          <w:szCs w:val="22"/>
          <w:lang w:val="is-IS"/>
        </w:rPr>
      </w:pPr>
      <w:r w:rsidRPr="006774D3">
        <w:rPr>
          <w:color w:val="000000"/>
          <w:sz w:val="22"/>
          <w:szCs w:val="22"/>
          <w:lang w:val="is-IS"/>
        </w:rPr>
        <w:t>11</w:t>
      </w:r>
      <w:r w:rsidR="00F40B8C" w:rsidRPr="006774D3">
        <w:rPr>
          <w:color w:val="000000"/>
          <w:sz w:val="22"/>
          <w:szCs w:val="22"/>
          <w:lang w:val="is-IS"/>
        </w:rPr>
        <w:tab/>
        <w:t>Greint hefur verið frá banvænum tilvikum hjá sjúklingum með langt genginn sjúkdóm, alvarlegar sýkingar, alvarlega daufkyrningafæð og annað alvarlegt samhliða ástand.</w:t>
      </w:r>
    </w:p>
    <w:p w14:paraId="05B8B823" w14:textId="77777777" w:rsidR="00F40B8C" w:rsidRPr="006774D3" w:rsidRDefault="00F40B8C"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B824" w14:textId="77777777" w:rsidR="00F40B8C" w:rsidRPr="006774D3" w:rsidRDefault="00F40B8C" w:rsidP="00F77C66">
      <w:pPr>
        <w:keepNext/>
        <w:rPr>
          <w:color w:val="000000"/>
          <w:sz w:val="22"/>
          <w:szCs w:val="22"/>
          <w:u w:val="single"/>
        </w:rPr>
      </w:pPr>
      <w:r w:rsidRPr="006774D3">
        <w:rPr>
          <w:color w:val="000000"/>
          <w:sz w:val="22"/>
          <w:szCs w:val="22"/>
          <w:u w:val="single"/>
        </w:rPr>
        <w:t>Afbrigðileg rannsóknarstofupróf</w:t>
      </w:r>
    </w:p>
    <w:p w14:paraId="05B8B825" w14:textId="77777777" w:rsidR="00F40B8C" w:rsidRPr="006774D3" w:rsidRDefault="00F40B8C" w:rsidP="00F77C66">
      <w:pPr>
        <w:keepNext/>
        <w:rPr>
          <w:i/>
          <w:color w:val="000000"/>
          <w:sz w:val="22"/>
          <w:szCs w:val="22"/>
        </w:rPr>
      </w:pPr>
      <w:r w:rsidRPr="006774D3">
        <w:rPr>
          <w:i/>
          <w:color w:val="000000"/>
          <w:sz w:val="22"/>
          <w:szCs w:val="22"/>
        </w:rPr>
        <w:t>Blóðmynd</w:t>
      </w:r>
    </w:p>
    <w:p w14:paraId="05B8B826" w14:textId="77777777" w:rsidR="00F40B8C" w:rsidRPr="006774D3" w:rsidRDefault="00F40B8C" w:rsidP="00FA5D6F">
      <w:pPr>
        <w:rPr>
          <w:color w:val="000000"/>
          <w:sz w:val="22"/>
          <w:szCs w:val="22"/>
        </w:rPr>
      </w:pPr>
      <w:r w:rsidRPr="006774D3">
        <w:rPr>
          <w:color w:val="000000"/>
          <w:sz w:val="22"/>
          <w:szCs w:val="22"/>
        </w:rPr>
        <w:t>Hjá CML hefur frumufæð, einkum daufkyrningafæð og blóðflagnafæð, komið fram í öllum rannsóknum og hefur bent til hærri tíðni við stóra skammta, ≥ 750 mg (I. stigs rannsókn). Frumufæð var þó greinilega háð sjúkdómsstigi, þar sem tíðni daufkyrningafæðar af gráðu 3 eða 4 (ANC &lt; 1,0 x 10</w:t>
      </w:r>
      <w:r w:rsidRPr="006774D3">
        <w:rPr>
          <w:color w:val="000000"/>
          <w:sz w:val="22"/>
          <w:szCs w:val="22"/>
          <w:vertAlign w:val="superscript"/>
        </w:rPr>
        <w:t>9</w:t>
      </w:r>
      <w:r w:rsidRPr="006774D3">
        <w:rPr>
          <w:color w:val="000000"/>
          <w:sz w:val="22"/>
          <w:szCs w:val="22"/>
        </w:rPr>
        <w:t>/l) og blóðflagnafæðar (blóðflagnafjöldi &lt; 50 x 10</w:t>
      </w:r>
      <w:r w:rsidRPr="006774D3">
        <w:rPr>
          <w:color w:val="000000"/>
          <w:sz w:val="22"/>
          <w:szCs w:val="22"/>
          <w:vertAlign w:val="superscript"/>
        </w:rPr>
        <w:t>9</w:t>
      </w:r>
      <w:r w:rsidRPr="006774D3">
        <w:rPr>
          <w:color w:val="000000"/>
          <w:sz w:val="22"/>
          <w:szCs w:val="22"/>
        </w:rPr>
        <w:t>/l) var milli 4 og 6 sinnum hærri í bráðafasa (blast crisis) og hröðunarfasa (daufkyrningafæð 59</w:t>
      </w:r>
      <w:r w:rsidRPr="006774D3">
        <w:rPr>
          <w:color w:val="000000"/>
          <w:sz w:val="22"/>
          <w:szCs w:val="22"/>
        </w:rPr>
        <w:noBreakHyphen/>
        <w:t>64% og blóðflagnafæð 44</w:t>
      </w:r>
      <w:r w:rsidRPr="006774D3">
        <w:rPr>
          <w:color w:val="000000"/>
          <w:sz w:val="22"/>
          <w:szCs w:val="22"/>
        </w:rPr>
        <w:noBreakHyphen/>
        <w:t>63%) samanborið við nýgreinda sjúklinga í stöðugum fasa CML (daufkyrningafæð 16,7% og blóðflagnafæð 8,9%). Í nýgreindum stöðugum fasa CML kom fram dauf</w:t>
      </w:r>
      <w:r w:rsidRPr="006774D3">
        <w:rPr>
          <w:color w:val="000000"/>
          <w:sz w:val="22"/>
          <w:szCs w:val="22"/>
        </w:rPr>
        <w:softHyphen/>
        <w:t>kyrningafæð af gráðu 4 (ANC &lt; 0,5 x 10</w:t>
      </w:r>
      <w:r w:rsidRPr="006774D3">
        <w:rPr>
          <w:color w:val="000000"/>
          <w:sz w:val="22"/>
          <w:szCs w:val="22"/>
          <w:vertAlign w:val="superscript"/>
        </w:rPr>
        <w:t>9</w:t>
      </w:r>
      <w:r w:rsidRPr="006774D3">
        <w:rPr>
          <w:color w:val="000000"/>
          <w:sz w:val="22"/>
          <w:szCs w:val="22"/>
        </w:rPr>
        <w:t>/l) hjá 3,6% sjúklinga og blóðflagnafæð (blóðflagnafjöldi &lt; 10 x 10</w:t>
      </w:r>
      <w:r w:rsidRPr="006774D3">
        <w:rPr>
          <w:color w:val="000000"/>
          <w:sz w:val="22"/>
          <w:szCs w:val="22"/>
          <w:vertAlign w:val="superscript"/>
        </w:rPr>
        <w:t>9</w:t>
      </w:r>
      <w:r w:rsidRPr="006774D3">
        <w:rPr>
          <w:color w:val="000000"/>
          <w:sz w:val="22"/>
          <w:szCs w:val="22"/>
        </w:rPr>
        <w:t>/l) hjá &lt; 1% sjúklinga. Miðgildi þess tíma sem daufkyrningafæð stóð yfir var 2 til 3 vikur og 3 til 4 vikur fyrir blóðflagnafæð. Yfirleitt má ráða við þessar aukaverkanir með því annaðhvort að draga úr skammti eða rjúfa meðferð með Glivec, en í einstöku tilvikum getur þurft að hætta meðferð alveg. Hjá börnum með CML voru algengustu eiturverkanirnar sem sáust frumufæð af gráðu 3 eða 4 og var um að ræða daufkyrningafæð, blóð</w:t>
      </w:r>
      <w:r w:rsidRPr="006774D3">
        <w:rPr>
          <w:color w:val="000000"/>
          <w:sz w:val="22"/>
          <w:szCs w:val="22"/>
        </w:rPr>
        <w:softHyphen/>
        <w:t>flagnafæð og blóðleysi. Þetta kom yfirleitt fram á fyrstu mánuðum meðferðar.</w:t>
      </w:r>
    </w:p>
    <w:p w14:paraId="05B8B827" w14:textId="77777777" w:rsidR="007B5D76" w:rsidRPr="006774D3" w:rsidRDefault="007B5D76" w:rsidP="00F77C66">
      <w:pPr>
        <w:rPr>
          <w:color w:val="000000"/>
          <w:sz w:val="22"/>
          <w:szCs w:val="22"/>
        </w:rPr>
      </w:pPr>
    </w:p>
    <w:p w14:paraId="05B8B828" w14:textId="77777777" w:rsidR="007B5D76" w:rsidRPr="006774D3" w:rsidRDefault="007B5D76" w:rsidP="00F77C66">
      <w:pPr>
        <w:rPr>
          <w:color w:val="000000"/>
          <w:sz w:val="22"/>
          <w:szCs w:val="22"/>
        </w:rPr>
      </w:pPr>
      <w:r w:rsidRPr="006774D3">
        <w:rPr>
          <w:color w:val="000000"/>
          <w:sz w:val="22"/>
          <w:szCs w:val="22"/>
        </w:rPr>
        <w:t>Í rannsókninni hjá sjúklingum með óskurðtækt GIST og/eða GIST með meinvörpum var greint frá blóðleysi af gráðu 3 og 4 hjá 5,4% og 0,7% sjúklinga, tilgreint í sömu röð, sem gæti hafa verið tengt maga-, þarma- eða innanæxlisblæðingum hjá að minnsta kosti sumum þessara sjúklinga. Daufkyrningafæð af gráðu 3 og 4 kom fram hjá 7,5% og 2,7% sjúklinga, tilgreint í sömu röð, og blóðflagnafæð af gráðu 3 kom fram hjá 0,7% sjúklinga. Enginn sjúklingur fékk blóðflagnafæð af gráðu 4. Fækkun á fjölda hvítra blóðkorna (WBC) og daufkyrninga kom aðallega fram fyrstu sex vikur meðferðar, með nokkuð stöðug gildi eftir það.</w:t>
      </w:r>
    </w:p>
    <w:p w14:paraId="05B8B829" w14:textId="77777777" w:rsidR="007B5D76" w:rsidRPr="006774D3" w:rsidRDefault="007B5D76" w:rsidP="00F77C66">
      <w:pPr>
        <w:rPr>
          <w:color w:val="000000"/>
          <w:sz w:val="22"/>
          <w:szCs w:val="22"/>
        </w:rPr>
      </w:pPr>
    </w:p>
    <w:p w14:paraId="05B8B82A" w14:textId="77777777" w:rsidR="007B5D76" w:rsidRPr="006774D3" w:rsidRDefault="007B5D76" w:rsidP="00F77C66">
      <w:pPr>
        <w:keepNext/>
        <w:rPr>
          <w:i/>
          <w:color w:val="000000"/>
          <w:sz w:val="22"/>
          <w:szCs w:val="22"/>
        </w:rPr>
      </w:pPr>
      <w:r w:rsidRPr="006774D3">
        <w:rPr>
          <w:i/>
          <w:color w:val="000000"/>
          <w:sz w:val="22"/>
          <w:szCs w:val="22"/>
        </w:rPr>
        <w:lastRenderedPageBreak/>
        <w:t>Lífefnafræði</w:t>
      </w:r>
    </w:p>
    <w:p w14:paraId="05B8B82B" w14:textId="77777777" w:rsidR="007B5D76" w:rsidRPr="006774D3" w:rsidRDefault="007B5D76" w:rsidP="00F77C66">
      <w:pPr>
        <w:rPr>
          <w:color w:val="000000"/>
          <w:sz w:val="22"/>
          <w:szCs w:val="22"/>
        </w:rPr>
      </w:pPr>
      <w:r w:rsidRPr="006774D3">
        <w:rPr>
          <w:color w:val="000000"/>
          <w:sz w:val="22"/>
          <w:szCs w:val="22"/>
        </w:rPr>
        <w:t>Alvarleg hækkun transaminasa (&lt; 5%) eða bilirubins (&lt; 1%) kom fyrir hjá sjúklingum með CML og venjulega tókst að bregðast við henni með því að minnka skammt eða rjúfa meðferð (miðgildi tímalengdar þessara lota var u.þ.b. ein vika). Hjá innan við 1% sjúklinga með CML þurfti að hætta meðferð alveg vegna breytinga á lifrargildum. Hjá sjúklingum með GIST (rannsókn B2222) sást ALT (alaninaminotransferasi) hækkun af gráðu 3 eða 4 hjá 6,8% sjúklinga og AST (aspartat</w:t>
      </w:r>
      <w:r w:rsidRPr="006774D3">
        <w:rPr>
          <w:color w:val="000000"/>
          <w:sz w:val="22"/>
          <w:szCs w:val="22"/>
        </w:rPr>
        <w:softHyphen/>
        <w:t>aminotransferasi) hækkun af gráðu 3 eða 4 hjá 4,8% sjúklinga. Hækkun bilirubins kom fram hjá innan við 3% sjúklinga.</w:t>
      </w:r>
    </w:p>
    <w:p w14:paraId="05B8B82C" w14:textId="77777777" w:rsidR="007B5D76" w:rsidRPr="006774D3" w:rsidRDefault="007B5D76" w:rsidP="00F77C66">
      <w:pPr>
        <w:rPr>
          <w:color w:val="000000"/>
          <w:sz w:val="22"/>
          <w:szCs w:val="22"/>
        </w:rPr>
      </w:pPr>
    </w:p>
    <w:p w14:paraId="05B8B82D" w14:textId="77777777" w:rsidR="007B5D76" w:rsidRPr="006774D3" w:rsidRDefault="007B5D76" w:rsidP="00F77C66">
      <w:pPr>
        <w:rPr>
          <w:color w:val="000000"/>
          <w:sz w:val="22"/>
          <w:szCs w:val="22"/>
        </w:rPr>
      </w:pPr>
      <w:r w:rsidRPr="006774D3">
        <w:rPr>
          <w:color w:val="000000"/>
          <w:sz w:val="22"/>
          <w:szCs w:val="22"/>
        </w:rPr>
        <w:t>Komið hafa fram tilvik um frumueyðandi lifrarbólgu og gallteppulifrarbólgu og lifrarbilun; í sumum tilvikum leiddi það til dauða, þar á meðal hjá einum sjúklingi á stórum skömmtum af paracetamoli.</w:t>
      </w:r>
    </w:p>
    <w:p w14:paraId="05B8B82E" w14:textId="77777777" w:rsidR="001C6E0C" w:rsidRPr="006774D3" w:rsidRDefault="001C6E0C" w:rsidP="00F77C66">
      <w:pPr>
        <w:widowControl w:val="0"/>
        <w:tabs>
          <w:tab w:val="left" w:pos="567"/>
        </w:tabs>
        <w:rPr>
          <w:sz w:val="22"/>
          <w:szCs w:val="20"/>
        </w:rPr>
      </w:pPr>
    </w:p>
    <w:p w14:paraId="05B8B82F" w14:textId="77777777" w:rsidR="001C6E0C" w:rsidRPr="006774D3" w:rsidRDefault="001C6E0C" w:rsidP="00F77C66">
      <w:pPr>
        <w:keepNext/>
        <w:widowControl w:val="0"/>
        <w:tabs>
          <w:tab w:val="left" w:pos="567"/>
        </w:tabs>
        <w:rPr>
          <w:sz w:val="22"/>
          <w:szCs w:val="20"/>
          <w:u w:val="single"/>
        </w:rPr>
      </w:pPr>
      <w:r w:rsidRPr="006774D3">
        <w:rPr>
          <w:sz w:val="22"/>
          <w:szCs w:val="20"/>
          <w:u w:val="single"/>
        </w:rPr>
        <w:t>Lýsing á völdum aukaverkunum</w:t>
      </w:r>
    </w:p>
    <w:p w14:paraId="05B8B830" w14:textId="77777777" w:rsidR="001C6E0C" w:rsidRPr="006774D3" w:rsidRDefault="001C6E0C" w:rsidP="00F77C66">
      <w:pPr>
        <w:keepNext/>
        <w:widowControl w:val="0"/>
        <w:tabs>
          <w:tab w:val="left" w:pos="567"/>
        </w:tabs>
        <w:rPr>
          <w:i/>
          <w:sz w:val="22"/>
          <w:szCs w:val="20"/>
          <w:u w:val="single"/>
        </w:rPr>
      </w:pPr>
      <w:r w:rsidRPr="006774D3">
        <w:rPr>
          <w:i/>
          <w:sz w:val="22"/>
          <w:szCs w:val="20"/>
          <w:u w:val="single"/>
        </w:rPr>
        <w:t>Endurvirkjun lifrarbólgu B</w:t>
      </w:r>
    </w:p>
    <w:p w14:paraId="05B8B831" w14:textId="77777777" w:rsidR="001C6E0C" w:rsidRPr="006774D3" w:rsidRDefault="001C6E0C" w:rsidP="00F77C66">
      <w:pPr>
        <w:widowControl w:val="0"/>
        <w:tabs>
          <w:tab w:val="left" w:pos="567"/>
        </w:tabs>
        <w:rPr>
          <w:sz w:val="22"/>
          <w:szCs w:val="20"/>
        </w:rPr>
      </w:pPr>
      <w:r w:rsidRPr="006774D3">
        <w:rPr>
          <w:sz w:val="22"/>
          <w:szCs w:val="20"/>
        </w:rPr>
        <w:t>Í tengslum við BCR-ABL týrosínkínasahemla hefur verið greint frá endurvirkjun lifrarbólgu B. Sum tilvik enduðu í bráðri lifrarbilun eða svæsinni lifrarbólgu sem leiddi til lifrarígræðslu eða dauða (sjá kafla 4.4).</w:t>
      </w:r>
    </w:p>
    <w:p w14:paraId="05B8B832" w14:textId="77777777" w:rsidR="007B5D76" w:rsidRPr="006774D3" w:rsidRDefault="007B5D76" w:rsidP="00F77C66">
      <w:pPr>
        <w:rPr>
          <w:sz w:val="22"/>
          <w:szCs w:val="22"/>
        </w:rPr>
      </w:pPr>
    </w:p>
    <w:p w14:paraId="05B8B833" w14:textId="77777777" w:rsidR="007B5D76" w:rsidRPr="006774D3" w:rsidRDefault="007B5D76" w:rsidP="00F77C66">
      <w:pPr>
        <w:keepNext/>
        <w:rPr>
          <w:sz w:val="22"/>
          <w:szCs w:val="22"/>
        </w:rPr>
      </w:pPr>
      <w:r w:rsidRPr="006774D3">
        <w:rPr>
          <w:sz w:val="22"/>
          <w:szCs w:val="22"/>
          <w:u w:val="single"/>
        </w:rPr>
        <w:t>Tilkynning aukaverkana sem grunur er um að tengist lyfinu</w:t>
      </w:r>
    </w:p>
    <w:p w14:paraId="05B8B834" w14:textId="77777777" w:rsidR="007B5D76" w:rsidRPr="006774D3" w:rsidRDefault="007B5D76" w:rsidP="00F77C66">
      <w:pPr>
        <w:rPr>
          <w:sz w:val="22"/>
          <w:szCs w:val="22"/>
        </w:rPr>
      </w:pPr>
      <w:r w:rsidRPr="006774D3">
        <w:rPr>
          <w:sz w:val="22"/>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6774D3">
        <w:rPr>
          <w:sz w:val="22"/>
          <w:szCs w:val="22"/>
          <w:shd w:val="pct15" w:color="auto" w:fill="auto"/>
        </w:rPr>
        <w:t xml:space="preserve">samkvæmt fyrirkomulagi sem gildir í hverju landi fyrir sig, sjá </w:t>
      </w:r>
      <w:hyperlink r:id="rId15" w:history="1">
        <w:r w:rsidRPr="006774D3">
          <w:rPr>
            <w:rStyle w:val="Hyperlink"/>
            <w:sz w:val="22"/>
            <w:szCs w:val="22"/>
            <w:shd w:val="pct15" w:color="auto" w:fill="auto"/>
          </w:rPr>
          <w:t>Appendix V</w:t>
        </w:r>
      </w:hyperlink>
      <w:r w:rsidRPr="006774D3">
        <w:rPr>
          <w:sz w:val="22"/>
          <w:szCs w:val="22"/>
        </w:rPr>
        <w:t>.</w:t>
      </w:r>
    </w:p>
    <w:p w14:paraId="05B8B835" w14:textId="77777777" w:rsidR="007B5D76" w:rsidRPr="006774D3" w:rsidRDefault="007B5D76" w:rsidP="00F77C66">
      <w:pPr>
        <w:rPr>
          <w:color w:val="000000"/>
          <w:sz w:val="22"/>
          <w:szCs w:val="22"/>
        </w:rPr>
      </w:pPr>
    </w:p>
    <w:p w14:paraId="05B8B836" w14:textId="77777777" w:rsidR="007B5D76" w:rsidRPr="006774D3" w:rsidRDefault="007B5D76" w:rsidP="00F77C66">
      <w:pPr>
        <w:keepNext/>
        <w:rPr>
          <w:color w:val="000000"/>
          <w:sz w:val="22"/>
          <w:szCs w:val="22"/>
        </w:rPr>
      </w:pPr>
      <w:r w:rsidRPr="006774D3">
        <w:rPr>
          <w:b/>
          <w:color w:val="000000"/>
          <w:sz w:val="22"/>
          <w:szCs w:val="22"/>
        </w:rPr>
        <w:t>4.9</w:t>
      </w:r>
      <w:r w:rsidRPr="006774D3">
        <w:rPr>
          <w:b/>
          <w:color w:val="000000"/>
          <w:sz w:val="22"/>
          <w:szCs w:val="22"/>
        </w:rPr>
        <w:tab/>
        <w:t>Ofskömmtun</w:t>
      </w:r>
    </w:p>
    <w:p w14:paraId="05B8B837" w14:textId="77777777" w:rsidR="007B5D76" w:rsidRPr="006774D3" w:rsidRDefault="007B5D76" w:rsidP="00F77C66">
      <w:pPr>
        <w:keepNext/>
        <w:rPr>
          <w:color w:val="000000"/>
          <w:sz w:val="22"/>
          <w:szCs w:val="22"/>
        </w:rPr>
      </w:pPr>
    </w:p>
    <w:p w14:paraId="05B8B838" w14:textId="77777777" w:rsidR="007B5D76" w:rsidRPr="006774D3" w:rsidRDefault="007B5D76" w:rsidP="00FA5D6F">
      <w:pPr>
        <w:rPr>
          <w:color w:val="000000"/>
          <w:sz w:val="22"/>
          <w:szCs w:val="22"/>
        </w:rPr>
      </w:pPr>
      <w:r w:rsidRPr="006774D3">
        <w:rPr>
          <w:color w:val="000000"/>
          <w:sz w:val="22"/>
          <w:szCs w:val="22"/>
        </w:rPr>
        <w:t>Takmörkuð reynsla er af stærri skömmtum en ráðlögðum meðferðarskömmtum. Greint hefur verið frá einstökum tilvikum um ofskömmtun með Glivec með almennum aukaverkanatilkynningum og í rituðum heimildum. Ef ofskömmtun á sér stað skal fylgjast með sjúklingnum og veita honum viðeigandi meðferð við einkennum. Almennt var skráð niðurstaða þessara tilvika sú að ástand sjúklingsins batnaði eða hann náði sér að fullu. Greint hefur verið frá eftirtöldum tilvikum við mismunandi skammtabil:</w:t>
      </w:r>
    </w:p>
    <w:p w14:paraId="05B8B839" w14:textId="77777777" w:rsidR="007B5D76" w:rsidRPr="006774D3" w:rsidRDefault="007B5D76" w:rsidP="00F77C66">
      <w:pPr>
        <w:rPr>
          <w:color w:val="000000"/>
          <w:sz w:val="22"/>
          <w:szCs w:val="22"/>
        </w:rPr>
      </w:pPr>
    </w:p>
    <w:p w14:paraId="05B8B83A" w14:textId="77777777" w:rsidR="007B5D76" w:rsidRPr="006774D3" w:rsidRDefault="007B5D76" w:rsidP="00F77C66">
      <w:pPr>
        <w:keepNext/>
        <w:rPr>
          <w:i/>
          <w:color w:val="000000"/>
          <w:sz w:val="22"/>
          <w:szCs w:val="22"/>
        </w:rPr>
      </w:pPr>
      <w:r w:rsidRPr="006774D3">
        <w:rPr>
          <w:i/>
          <w:color w:val="000000"/>
          <w:sz w:val="22"/>
          <w:szCs w:val="22"/>
        </w:rPr>
        <w:t>Fullorðnir</w:t>
      </w:r>
    </w:p>
    <w:p w14:paraId="05B8B83B" w14:textId="77777777" w:rsidR="007B5D76" w:rsidRPr="006774D3" w:rsidRDefault="007B5D7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1200 til 1600 mg (meðferðarlengd á bilinu 1 til 10 sólarhringar): Ógleði, uppköst, niðurgangur, útbrot, roðaþot, bjúgur, þroti, þreyta, vöðvakrampar, blóðflagnafæð, blóðfrumnafæð, kviðverkir, höfuðverkur, skert matarlyst.</w:t>
      </w:r>
    </w:p>
    <w:p w14:paraId="05B8B83C" w14:textId="77777777" w:rsidR="007B5D76" w:rsidRPr="006774D3" w:rsidRDefault="007B5D7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1800 til 3200 mg (allt að 3200 mg á sólarhring í 6 daga): Þróttleysi, vöðvaverkir, hækkun kreatinfosfokinasa, hækkun bilirubins, kviðverkir.</w:t>
      </w:r>
    </w:p>
    <w:p w14:paraId="05B8B83D" w14:textId="77777777" w:rsidR="007B5D76" w:rsidRPr="006774D3" w:rsidRDefault="007B5D7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6400 mg (stakur skammtur): Greint hefur verið frá einu tilviki um einn sjúkling sem fann fyrir ógleði, uppköstum, kviðverkjum, hita, þrota í andliti og greindist með fækkun hvítra blóðkorna og transaminasahækkun.</w:t>
      </w:r>
    </w:p>
    <w:p w14:paraId="05B8B83E" w14:textId="77777777" w:rsidR="007B5D76" w:rsidRPr="006774D3" w:rsidRDefault="007B5D7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8 til 10 g (stakur skammtur): Greint hefur verið frá uppköstum og kviðverkjum.</w:t>
      </w:r>
    </w:p>
    <w:p w14:paraId="05B8B83F" w14:textId="77777777" w:rsidR="007B5D76" w:rsidRPr="006774D3" w:rsidRDefault="007B5D76" w:rsidP="00F77C66">
      <w:pPr>
        <w:pStyle w:val="Authors"/>
        <w:keepNext w:val="0"/>
        <w:spacing w:before="0"/>
        <w:rPr>
          <w:rFonts w:ascii="Times New Roman" w:hAnsi="Times New Roman"/>
          <w:color w:val="000000"/>
          <w:szCs w:val="22"/>
          <w:lang w:val="is-IS"/>
        </w:rPr>
      </w:pPr>
    </w:p>
    <w:p w14:paraId="05B8B840" w14:textId="77777777" w:rsidR="007B5D76" w:rsidRPr="006774D3" w:rsidRDefault="007B5D76" w:rsidP="00F77C66">
      <w:pPr>
        <w:pStyle w:val="Authors"/>
        <w:spacing w:before="0"/>
        <w:rPr>
          <w:rFonts w:ascii="Times New Roman" w:hAnsi="Times New Roman"/>
          <w:i/>
          <w:color w:val="000000"/>
          <w:szCs w:val="22"/>
          <w:lang w:val="is-IS"/>
        </w:rPr>
      </w:pPr>
      <w:r w:rsidRPr="006774D3">
        <w:rPr>
          <w:rFonts w:ascii="Times New Roman" w:hAnsi="Times New Roman"/>
          <w:i/>
          <w:color w:val="000000"/>
          <w:szCs w:val="22"/>
          <w:lang w:val="is-IS"/>
        </w:rPr>
        <w:t>Börn</w:t>
      </w:r>
    </w:p>
    <w:p w14:paraId="05B8B841" w14:textId="77777777" w:rsidR="007B5D76" w:rsidRPr="006774D3" w:rsidRDefault="007B5D76" w:rsidP="00F77C66">
      <w:pPr>
        <w:pStyle w:val="Authors"/>
        <w:keepNext w:val="0"/>
        <w:spacing w:before="0"/>
        <w:rPr>
          <w:rFonts w:ascii="Times New Roman" w:hAnsi="Times New Roman"/>
          <w:color w:val="000000"/>
          <w:szCs w:val="22"/>
          <w:lang w:val="is-IS"/>
        </w:rPr>
      </w:pPr>
      <w:r w:rsidRPr="006774D3">
        <w:rPr>
          <w:rFonts w:ascii="Times New Roman" w:hAnsi="Times New Roman"/>
          <w:color w:val="000000"/>
          <w:szCs w:val="22"/>
          <w:lang w:val="is-IS"/>
        </w:rPr>
        <w:t>Einn 3 ára drengur sem tók inn stakan 400 mg skammt fékk ógleði, niðurgang og lystarleysi og annar 3 ára drengur sem tók inn stakan 980 mg skammt greindist með fækkun hvítra blóðkorna og niðurgang.</w:t>
      </w:r>
    </w:p>
    <w:p w14:paraId="05B8B842" w14:textId="77777777" w:rsidR="007B5D76" w:rsidRPr="006774D3" w:rsidRDefault="007B5D76" w:rsidP="00F77C66">
      <w:pPr>
        <w:rPr>
          <w:color w:val="000000"/>
          <w:sz w:val="22"/>
          <w:szCs w:val="22"/>
        </w:rPr>
      </w:pPr>
    </w:p>
    <w:p w14:paraId="05B8B843" w14:textId="77777777" w:rsidR="007B5D76" w:rsidRPr="006774D3" w:rsidRDefault="007B5D76" w:rsidP="00F77C66">
      <w:pPr>
        <w:rPr>
          <w:color w:val="000000"/>
          <w:sz w:val="22"/>
          <w:szCs w:val="22"/>
        </w:rPr>
      </w:pPr>
      <w:r w:rsidRPr="006774D3">
        <w:rPr>
          <w:color w:val="000000"/>
          <w:sz w:val="22"/>
          <w:szCs w:val="22"/>
        </w:rPr>
        <w:t>Eigi ofskömmtun sér stað skal fylgjast með sjúklingnum og veita viðeigandi stuðningsmeðferð.</w:t>
      </w:r>
    </w:p>
    <w:p w14:paraId="05B8B844" w14:textId="77777777" w:rsidR="007B5D76" w:rsidRPr="006774D3" w:rsidRDefault="007B5D76" w:rsidP="00F77C66">
      <w:pPr>
        <w:rPr>
          <w:color w:val="000000"/>
          <w:sz w:val="22"/>
          <w:szCs w:val="22"/>
        </w:rPr>
      </w:pPr>
    </w:p>
    <w:p w14:paraId="05B8B845" w14:textId="77777777" w:rsidR="007B5D76" w:rsidRPr="006774D3" w:rsidRDefault="007B5D76" w:rsidP="00F77C66">
      <w:pPr>
        <w:rPr>
          <w:color w:val="000000"/>
          <w:sz w:val="22"/>
          <w:szCs w:val="22"/>
        </w:rPr>
      </w:pPr>
    </w:p>
    <w:p w14:paraId="05B8B846" w14:textId="77777777" w:rsidR="007B5D76" w:rsidRPr="006774D3" w:rsidRDefault="007B5D76" w:rsidP="00F77C66">
      <w:pPr>
        <w:keepNext/>
        <w:rPr>
          <w:caps/>
          <w:color w:val="000000"/>
          <w:sz w:val="22"/>
          <w:szCs w:val="22"/>
        </w:rPr>
      </w:pPr>
      <w:r w:rsidRPr="006774D3">
        <w:rPr>
          <w:b/>
          <w:caps/>
          <w:color w:val="000000"/>
          <w:sz w:val="22"/>
          <w:szCs w:val="22"/>
        </w:rPr>
        <w:lastRenderedPageBreak/>
        <w:t>5.</w:t>
      </w:r>
      <w:r w:rsidRPr="006774D3">
        <w:rPr>
          <w:b/>
          <w:caps/>
          <w:color w:val="000000"/>
          <w:sz w:val="22"/>
          <w:szCs w:val="22"/>
        </w:rPr>
        <w:tab/>
      </w:r>
      <w:r w:rsidRPr="006774D3">
        <w:rPr>
          <w:b/>
          <w:color w:val="000000"/>
          <w:sz w:val="22"/>
          <w:szCs w:val="22"/>
        </w:rPr>
        <w:t>LYFJAFRÆÐILEGAR UPPLÝSINGAR</w:t>
      </w:r>
    </w:p>
    <w:p w14:paraId="05B8B847" w14:textId="77777777" w:rsidR="007B5D76" w:rsidRPr="006774D3" w:rsidRDefault="007B5D76" w:rsidP="00F77C66">
      <w:pPr>
        <w:keepNext/>
        <w:rPr>
          <w:color w:val="000000"/>
          <w:sz w:val="22"/>
          <w:szCs w:val="22"/>
        </w:rPr>
      </w:pPr>
    </w:p>
    <w:p w14:paraId="05B8B848" w14:textId="77777777" w:rsidR="007B5D76" w:rsidRPr="006774D3" w:rsidRDefault="007B5D76" w:rsidP="00F77C66">
      <w:pPr>
        <w:keepNext/>
        <w:rPr>
          <w:color w:val="000000"/>
          <w:sz w:val="22"/>
          <w:szCs w:val="22"/>
        </w:rPr>
      </w:pPr>
      <w:r w:rsidRPr="006774D3">
        <w:rPr>
          <w:b/>
          <w:color w:val="000000"/>
          <w:sz w:val="22"/>
          <w:szCs w:val="22"/>
        </w:rPr>
        <w:t>5.1</w:t>
      </w:r>
      <w:r w:rsidRPr="006774D3">
        <w:rPr>
          <w:b/>
          <w:color w:val="000000"/>
          <w:sz w:val="22"/>
          <w:szCs w:val="22"/>
        </w:rPr>
        <w:tab/>
        <w:t>Lyfhrif</w:t>
      </w:r>
    </w:p>
    <w:p w14:paraId="05B8B849" w14:textId="77777777" w:rsidR="007B5D76" w:rsidRPr="006774D3" w:rsidRDefault="007B5D76" w:rsidP="00F77C66">
      <w:pPr>
        <w:keepNext/>
        <w:rPr>
          <w:color w:val="000000"/>
          <w:sz w:val="22"/>
          <w:szCs w:val="22"/>
        </w:rPr>
      </w:pPr>
    </w:p>
    <w:p w14:paraId="05B8B84A" w14:textId="77777777" w:rsidR="007B5D76" w:rsidRPr="006774D3" w:rsidRDefault="007B5D76" w:rsidP="00F77C66">
      <w:pPr>
        <w:keepNext/>
        <w:outlineLvl w:val="0"/>
        <w:rPr>
          <w:color w:val="000000"/>
          <w:sz w:val="22"/>
          <w:szCs w:val="22"/>
        </w:rPr>
      </w:pPr>
      <w:r w:rsidRPr="006774D3">
        <w:rPr>
          <w:color w:val="000000"/>
          <w:sz w:val="22"/>
          <w:szCs w:val="22"/>
        </w:rPr>
        <w:t>Flokkun eftir verkun: Próteinkínasahemill, ATC</w:t>
      </w:r>
      <w:r w:rsidRPr="006774D3">
        <w:rPr>
          <w:color w:val="000000"/>
          <w:sz w:val="22"/>
          <w:szCs w:val="22"/>
        </w:rPr>
        <w:noBreakHyphen/>
        <w:t>flokkur: L01XE01.</w:t>
      </w:r>
    </w:p>
    <w:p w14:paraId="05B8B84B" w14:textId="77777777" w:rsidR="007B5D76" w:rsidRPr="006774D3" w:rsidRDefault="007B5D76" w:rsidP="00FA5D6F">
      <w:pPr>
        <w:pStyle w:val="Authors"/>
        <w:spacing w:before="0"/>
        <w:outlineLvl w:val="0"/>
        <w:rPr>
          <w:rFonts w:ascii="Times New Roman" w:hAnsi="Times New Roman"/>
          <w:color w:val="000000"/>
          <w:szCs w:val="22"/>
          <w:lang w:val="is-IS"/>
        </w:rPr>
      </w:pPr>
    </w:p>
    <w:p w14:paraId="05B8B84C" w14:textId="77777777" w:rsidR="007B5D76" w:rsidRPr="006774D3" w:rsidRDefault="007B5D76" w:rsidP="00FA5D6F">
      <w:pPr>
        <w:pStyle w:val="Authors"/>
        <w:spacing w:before="0"/>
        <w:outlineLvl w:val="0"/>
        <w:rPr>
          <w:rFonts w:ascii="Times New Roman" w:hAnsi="Times New Roman"/>
          <w:color w:val="000000"/>
          <w:szCs w:val="22"/>
          <w:u w:val="single"/>
          <w:lang w:val="is-IS"/>
        </w:rPr>
      </w:pPr>
      <w:r w:rsidRPr="006774D3">
        <w:rPr>
          <w:rFonts w:ascii="Times New Roman" w:hAnsi="Times New Roman"/>
          <w:color w:val="000000"/>
          <w:szCs w:val="22"/>
          <w:u w:val="single"/>
          <w:lang w:val="is-IS"/>
        </w:rPr>
        <w:t>Verkunarháttur</w:t>
      </w:r>
    </w:p>
    <w:p w14:paraId="05B8B84D" w14:textId="77777777" w:rsidR="007B5D76" w:rsidRPr="006774D3" w:rsidRDefault="007B5D76" w:rsidP="00F77C66">
      <w:pPr>
        <w:pStyle w:val="Authors"/>
        <w:keepNext w:val="0"/>
        <w:spacing w:before="0"/>
        <w:outlineLvl w:val="0"/>
        <w:rPr>
          <w:rFonts w:ascii="Times New Roman" w:hAnsi="Times New Roman"/>
          <w:color w:val="000000"/>
          <w:szCs w:val="22"/>
          <w:lang w:val="is-IS"/>
        </w:rPr>
      </w:pPr>
      <w:r w:rsidRPr="006774D3">
        <w:rPr>
          <w:rFonts w:ascii="Times New Roman" w:hAnsi="Times New Roman"/>
          <w:color w:val="000000"/>
          <w:szCs w:val="22"/>
          <w:lang w:val="is-IS"/>
        </w:rPr>
        <w:t>Imatinib er prótein</w:t>
      </w:r>
      <w:r w:rsidRPr="006774D3">
        <w:rPr>
          <w:rFonts w:ascii="Times New Roman" w:hAnsi="Times New Roman"/>
          <w:color w:val="000000"/>
          <w:szCs w:val="22"/>
          <w:lang w:val="is-IS"/>
        </w:rPr>
        <w:noBreakHyphen/>
        <w:t>týrosínkínasahemill sem er lítil sameind og veldur öflugri hömlun á virkni Bcr</w:t>
      </w:r>
      <w:r w:rsidRPr="006774D3">
        <w:rPr>
          <w:rFonts w:ascii="Times New Roman" w:hAnsi="Times New Roman"/>
          <w:color w:val="000000"/>
          <w:szCs w:val="22"/>
          <w:lang w:val="is-IS"/>
        </w:rPr>
        <w:noBreakHyphen/>
        <w:t>Abl týrosínkínasa, sem og ýmissa viðtaka týrosínkínasa: Kit, viðtakinn fyrir stofnfrumuþátt sem c-Kit for-æxlisgen (proto-oncogen) kóðar fyrir, DDR1 og DDR2 (discoidin domain receptors), vaxtarhvataviðtakinn (colony stimulating factor receptor) (CSF-1R) og blóðflagnaafleiddi vaxtarþátturinn alfa og beta (PDGFR-alfa og PDGFR-beta). Imatinib getur einnig hamlað frumuferlum sem stjórnast af virkjun þessara viðtakakínasa.</w:t>
      </w:r>
    </w:p>
    <w:p w14:paraId="05B8B84E" w14:textId="77777777" w:rsidR="007B5D76" w:rsidRPr="006774D3" w:rsidRDefault="007B5D76" w:rsidP="00F77C66">
      <w:pPr>
        <w:pStyle w:val="Authors"/>
        <w:keepNext w:val="0"/>
        <w:spacing w:before="0"/>
        <w:outlineLvl w:val="0"/>
        <w:rPr>
          <w:rFonts w:ascii="Times New Roman" w:hAnsi="Times New Roman"/>
          <w:color w:val="000000"/>
          <w:szCs w:val="22"/>
          <w:lang w:val="is-IS"/>
        </w:rPr>
      </w:pPr>
    </w:p>
    <w:p w14:paraId="05B8B84F" w14:textId="77777777" w:rsidR="007B5D76" w:rsidRPr="006774D3" w:rsidRDefault="007B5D76" w:rsidP="00F77C66">
      <w:pPr>
        <w:keepNext/>
        <w:outlineLvl w:val="0"/>
        <w:rPr>
          <w:color w:val="000000"/>
          <w:sz w:val="22"/>
          <w:szCs w:val="22"/>
          <w:u w:val="single"/>
        </w:rPr>
      </w:pPr>
      <w:r w:rsidRPr="006774D3">
        <w:rPr>
          <w:color w:val="000000"/>
          <w:sz w:val="22"/>
          <w:szCs w:val="22"/>
          <w:u w:val="single"/>
        </w:rPr>
        <w:t>Lyfhrif</w:t>
      </w:r>
    </w:p>
    <w:p w14:paraId="05B8B850" w14:textId="77777777" w:rsidR="007B5D76" w:rsidRPr="006774D3" w:rsidRDefault="007B5D76" w:rsidP="00F77C66">
      <w:pPr>
        <w:outlineLvl w:val="0"/>
        <w:rPr>
          <w:color w:val="000000"/>
          <w:sz w:val="22"/>
          <w:szCs w:val="22"/>
        </w:rPr>
      </w:pPr>
      <w:r w:rsidRPr="006774D3">
        <w:rPr>
          <w:color w:val="000000"/>
          <w:sz w:val="22"/>
          <w:szCs w:val="22"/>
        </w:rPr>
        <w:t>Imatinib er prótein</w:t>
      </w:r>
      <w:r w:rsidRPr="006774D3">
        <w:rPr>
          <w:color w:val="000000"/>
          <w:sz w:val="22"/>
          <w:szCs w:val="22"/>
        </w:rPr>
        <w:noBreakHyphen/>
        <w:t>týrosínkínasahemill sem veldur öflugri hömlun á Bcr</w:t>
      </w:r>
      <w:r w:rsidRPr="006774D3">
        <w:rPr>
          <w:color w:val="000000"/>
          <w:sz w:val="22"/>
          <w:szCs w:val="22"/>
        </w:rPr>
        <w:noBreakHyphen/>
        <w:t xml:space="preserve">Abl týrosínkínasa við </w:t>
      </w:r>
      <w:r w:rsidRPr="006774D3">
        <w:rPr>
          <w:i/>
          <w:color w:val="000000"/>
          <w:sz w:val="22"/>
          <w:szCs w:val="22"/>
        </w:rPr>
        <w:t>in vitro</w:t>
      </w:r>
      <w:r w:rsidRPr="006774D3">
        <w:rPr>
          <w:iCs/>
          <w:color w:val="000000"/>
          <w:sz w:val="22"/>
          <w:szCs w:val="22"/>
        </w:rPr>
        <w:t>,</w:t>
      </w:r>
      <w:r w:rsidRPr="006774D3">
        <w:rPr>
          <w:color w:val="000000"/>
          <w:sz w:val="22"/>
          <w:szCs w:val="22"/>
        </w:rPr>
        <w:t xml:space="preserve"> innan frumna og </w:t>
      </w:r>
      <w:r w:rsidRPr="006774D3">
        <w:rPr>
          <w:i/>
          <w:color w:val="000000"/>
          <w:sz w:val="22"/>
          <w:szCs w:val="22"/>
        </w:rPr>
        <w:t>in vivo</w:t>
      </w:r>
      <w:r w:rsidRPr="006774D3">
        <w:rPr>
          <w:iCs/>
          <w:color w:val="000000"/>
          <w:sz w:val="22"/>
          <w:szCs w:val="22"/>
        </w:rPr>
        <w:t xml:space="preserve"> þéttni</w:t>
      </w:r>
      <w:r w:rsidRPr="006774D3">
        <w:rPr>
          <w:color w:val="000000"/>
          <w:sz w:val="22"/>
          <w:szCs w:val="22"/>
        </w:rPr>
        <w:t>. Efnið veldur sértækri hömlun á frumufjölgun og kemur af stað stýrðum frumudauða (apoptosis) í Bcr</w:t>
      </w:r>
      <w:r w:rsidRPr="006774D3">
        <w:rPr>
          <w:color w:val="000000"/>
          <w:sz w:val="22"/>
          <w:szCs w:val="22"/>
        </w:rPr>
        <w:noBreakHyphen/>
        <w:t>Abl jákvæðum frumulínum jafnt sem nýjum hvítblæðifrumum hjá sjúklingum með Fíladelfíulitnings jákvætt CML og brátt eitilfrumuhvítblæði (ALL).</w:t>
      </w:r>
    </w:p>
    <w:p w14:paraId="05B8B851" w14:textId="77777777" w:rsidR="007B5D76" w:rsidRPr="006774D3" w:rsidRDefault="007B5D76" w:rsidP="00F77C66">
      <w:pPr>
        <w:outlineLvl w:val="0"/>
        <w:rPr>
          <w:color w:val="000000"/>
          <w:sz w:val="22"/>
          <w:szCs w:val="22"/>
        </w:rPr>
      </w:pPr>
    </w:p>
    <w:p w14:paraId="05B8B852" w14:textId="77777777" w:rsidR="007B5D76" w:rsidRPr="006774D3" w:rsidRDefault="007B5D76" w:rsidP="00F77C66">
      <w:pPr>
        <w:outlineLvl w:val="0"/>
        <w:rPr>
          <w:color w:val="000000"/>
          <w:sz w:val="22"/>
          <w:szCs w:val="22"/>
        </w:rPr>
      </w:pPr>
      <w:r w:rsidRPr="006774D3">
        <w:rPr>
          <w:i/>
          <w:color w:val="000000"/>
          <w:sz w:val="22"/>
          <w:szCs w:val="22"/>
        </w:rPr>
        <w:t>In vivo</w:t>
      </w:r>
      <w:r w:rsidRPr="006774D3">
        <w:rPr>
          <w:color w:val="000000"/>
          <w:sz w:val="22"/>
          <w:szCs w:val="22"/>
        </w:rPr>
        <w:t xml:space="preserve"> hefur efnið æxlishamlandi verkun eitt og sér, í dýralíkönum þar sem notaðar eru Bcr</w:t>
      </w:r>
      <w:r w:rsidRPr="006774D3">
        <w:rPr>
          <w:color w:val="000000"/>
          <w:sz w:val="22"/>
          <w:szCs w:val="22"/>
        </w:rPr>
        <w:noBreakHyphen/>
        <w:t>Abl jákvæðar æxlisfrumur.</w:t>
      </w:r>
    </w:p>
    <w:p w14:paraId="05B8B853" w14:textId="77777777" w:rsidR="007B5D76" w:rsidRPr="006774D3" w:rsidRDefault="007B5D76" w:rsidP="00F77C66">
      <w:pPr>
        <w:outlineLvl w:val="0"/>
        <w:rPr>
          <w:color w:val="000000"/>
          <w:sz w:val="22"/>
          <w:szCs w:val="22"/>
        </w:rPr>
      </w:pPr>
    </w:p>
    <w:p w14:paraId="05B8B854" w14:textId="77777777" w:rsidR="007B5D76" w:rsidRPr="006774D3" w:rsidRDefault="007B5D76" w:rsidP="00F77C66">
      <w:pPr>
        <w:outlineLvl w:val="0"/>
        <w:rPr>
          <w:color w:val="000000"/>
          <w:sz w:val="22"/>
          <w:szCs w:val="22"/>
        </w:rPr>
      </w:pPr>
      <w:r w:rsidRPr="006774D3">
        <w:rPr>
          <w:color w:val="000000"/>
          <w:sz w:val="22"/>
          <w:szCs w:val="22"/>
        </w:rPr>
        <w:t>Imatinib er einnig hemill týrosínkínasaviðtaka fyrir blóðflagnaafleidda vaxtarþáttinn (platelate-derived growth factor [PDGF]), PDGF</w:t>
      </w:r>
      <w:r w:rsidRPr="006774D3">
        <w:rPr>
          <w:color w:val="000000"/>
          <w:sz w:val="22"/>
          <w:szCs w:val="22"/>
        </w:rPr>
        <w:noBreakHyphen/>
        <w:t>R og stofnfrumuþáttinn (stem cell factor [SCF]) c</w:t>
      </w:r>
      <w:r w:rsidRPr="006774D3">
        <w:rPr>
          <w:color w:val="000000"/>
          <w:sz w:val="22"/>
          <w:szCs w:val="22"/>
        </w:rPr>
        <w:noBreakHyphen/>
        <w:t xml:space="preserve">Kit og hamlar PDGF- og SCF-miðluðum frumuferlum. </w:t>
      </w:r>
      <w:r w:rsidRPr="006774D3">
        <w:rPr>
          <w:i/>
          <w:color w:val="000000"/>
          <w:sz w:val="22"/>
          <w:szCs w:val="22"/>
        </w:rPr>
        <w:t>In vitro</w:t>
      </w:r>
      <w:r w:rsidRPr="006774D3">
        <w:rPr>
          <w:color w:val="000000"/>
          <w:sz w:val="22"/>
          <w:szCs w:val="22"/>
        </w:rPr>
        <w:t xml:space="preserve"> hamlar imatinib frumufjölgun og veldur stýrðum frumudauða (apoptosis) í æxlisfrumum í stoðvef maga og þarma (GIST), sem tjá virkjaða </w:t>
      </w:r>
      <w:r w:rsidRPr="006774D3">
        <w:rPr>
          <w:i/>
          <w:color w:val="000000"/>
          <w:sz w:val="22"/>
          <w:szCs w:val="22"/>
        </w:rPr>
        <w:t>kit </w:t>
      </w:r>
      <w:r w:rsidRPr="006774D3">
        <w:rPr>
          <w:color w:val="000000"/>
          <w:sz w:val="22"/>
          <w:szCs w:val="22"/>
        </w:rPr>
        <w:t>stökk</w:t>
      </w:r>
      <w:r w:rsidRPr="006774D3">
        <w:rPr>
          <w:color w:val="000000"/>
          <w:sz w:val="22"/>
          <w:szCs w:val="22"/>
        </w:rPr>
        <w:softHyphen/>
        <w:t>breytingu. Sívirk (constitutive) virkjun PDGF viðtaka eða Abl proteintyrosinkinasa sem afleiðing samruna við ýmis fylgi</w:t>
      </w:r>
      <w:r w:rsidRPr="006774D3">
        <w:rPr>
          <w:color w:val="000000"/>
          <w:sz w:val="22"/>
          <w:szCs w:val="22"/>
        </w:rPr>
        <w:softHyphen/>
        <w:t>prótein (partner proteins) eða sívirk myndun PDGF hefur verið talin tengjast meinmyndun MDS/MPD, HES/CEL og DFSP. Imatinib hamlar frumuboðum og frumufjölgun sem knúin er áfram af PDGFR og Abl kinasa virkni sem ekki lætur að stjórn.</w:t>
      </w:r>
    </w:p>
    <w:p w14:paraId="05B8B855" w14:textId="77777777" w:rsidR="007B5D76" w:rsidRPr="006774D3" w:rsidRDefault="007B5D76" w:rsidP="00F77C66">
      <w:pPr>
        <w:outlineLvl w:val="0"/>
        <w:rPr>
          <w:color w:val="000000"/>
          <w:sz w:val="22"/>
          <w:szCs w:val="22"/>
        </w:rPr>
      </w:pPr>
    </w:p>
    <w:p w14:paraId="05B8B856" w14:textId="77777777" w:rsidR="007B5D76" w:rsidRPr="006774D3" w:rsidRDefault="007B5D76"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Klínískar rannsóknir á langvarandi kyrningahvítblæði</w:t>
      </w:r>
    </w:p>
    <w:p w14:paraId="05B8B857" w14:textId="77777777" w:rsidR="007B5D76" w:rsidRPr="006774D3" w:rsidRDefault="007B5D76" w:rsidP="00FA5D6F">
      <w:pPr>
        <w:outlineLvl w:val="0"/>
        <w:rPr>
          <w:color w:val="000000"/>
          <w:sz w:val="22"/>
          <w:szCs w:val="22"/>
        </w:rPr>
      </w:pPr>
      <w:r w:rsidRPr="006774D3">
        <w:rPr>
          <w:color w:val="000000"/>
          <w:sz w:val="22"/>
          <w:szCs w:val="22"/>
        </w:rPr>
        <w:t>Verkun Glivec grundvallast á heildar blóð- og litningasvörun og lifun án versnunar sjúkdóms. Engar klínískar samanburðarrannsóknir sýna fram á klínískan ávinning, svo sem bata á sjúkdómstengdum einkennum eða aukinni lifun, nema hvað varðar nýgreint CML í stöðugum fasa.</w:t>
      </w:r>
    </w:p>
    <w:p w14:paraId="05B8B858" w14:textId="77777777" w:rsidR="007B5D76" w:rsidRPr="006774D3" w:rsidRDefault="007B5D76" w:rsidP="00F77C66">
      <w:pPr>
        <w:outlineLvl w:val="0"/>
        <w:rPr>
          <w:color w:val="000000"/>
          <w:sz w:val="22"/>
          <w:szCs w:val="22"/>
        </w:rPr>
      </w:pPr>
    </w:p>
    <w:p w14:paraId="05B8B859" w14:textId="77777777" w:rsidR="007B5D76" w:rsidRPr="006774D3" w:rsidRDefault="007B5D76" w:rsidP="00F77C66">
      <w:pPr>
        <w:outlineLvl w:val="0"/>
        <w:rPr>
          <w:color w:val="000000"/>
          <w:sz w:val="22"/>
          <w:szCs w:val="22"/>
        </w:rPr>
      </w:pPr>
      <w:r w:rsidRPr="006774D3">
        <w:rPr>
          <w:color w:val="000000"/>
          <w:sz w:val="22"/>
          <w:szCs w:val="22"/>
        </w:rPr>
        <w:t>Þrjár stórar, alþjóðlegar, opnar II. stigs rannsóknir án samanburðar voru gerðar hjá sjúklingum með Fíladelfíulitnings jákvætt (Ph+) CML í stöðugum, bráðafasa eða hröðunarfasa sjúkdómsins, önnur Ph+ hvítblæði eða með CML í stöðugum fasa sem svaraði ekki fyrri meðferð með interferoni</w:t>
      </w:r>
      <w:r w:rsidRPr="006774D3">
        <w:rPr>
          <w:color w:val="000000"/>
          <w:sz w:val="22"/>
          <w:szCs w:val="22"/>
        </w:rPr>
        <w:noBreakHyphen/>
        <w:t>alfa (IFN). Ein stór, opin, fjölsetra, alþjóðleg, slembuð III. stigs rannsókn hefur verið gerð hjá sjúklingum með nýgreindan Ph+ CML. Að auki hafa börn verið meðhöndluð í tveimur I. stigs rannsóknum og einni II. stigs rannsókn.</w:t>
      </w:r>
    </w:p>
    <w:p w14:paraId="05B8B85A" w14:textId="77777777" w:rsidR="007B5D76" w:rsidRPr="006774D3" w:rsidRDefault="007B5D76" w:rsidP="00F77C66">
      <w:pPr>
        <w:outlineLvl w:val="0"/>
        <w:rPr>
          <w:color w:val="000000"/>
          <w:sz w:val="22"/>
          <w:szCs w:val="22"/>
        </w:rPr>
      </w:pPr>
    </w:p>
    <w:p w14:paraId="05B8B85B" w14:textId="77777777" w:rsidR="007B5D76" w:rsidRPr="006774D3" w:rsidRDefault="007B5D76" w:rsidP="00F77C66">
      <w:pPr>
        <w:outlineLvl w:val="0"/>
        <w:rPr>
          <w:color w:val="000000"/>
          <w:sz w:val="22"/>
          <w:szCs w:val="22"/>
        </w:rPr>
      </w:pPr>
      <w:r w:rsidRPr="006774D3">
        <w:rPr>
          <w:color w:val="000000"/>
          <w:sz w:val="22"/>
          <w:szCs w:val="22"/>
        </w:rPr>
        <w:t>Í öllum klínískum rannsóknum voru 38</w:t>
      </w:r>
      <w:r w:rsidRPr="006774D3">
        <w:rPr>
          <w:color w:val="000000"/>
          <w:sz w:val="22"/>
          <w:szCs w:val="22"/>
        </w:rPr>
        <w:noBreakHyphen/>
        <w:t>40% sjúklinga ≥ 60 ára og 10</w:t>
      </w:r>
      <w:r w:rsidRPr="006774D3">
        <w:rPr>
          <w:color w:val="000000"/>
          <w:sz w:val="22"/>
          <w:szCs w:val="22"/>
        </w:rPr>
        <w:noBreakHyphen/>
        <w:t>12% sjúklinga voru ≥ 70 ára.</w:t>
      </w:r>
    </w:p>
    <w:p w14:paraId="05B8B85C" w14:textId="77777777" w:rsidR="007B5D76" w:rsidRPr="006774D3" w:rsidRDefault="007B5D76" w:rsidP="00F77C66">
      <w:pPr>
        <w:outlineLvl w:val="0"/>
        <w:rPr>
          <w:color w:val="000000"/>
          <w:sz w:val="22"/>
          <w:szCs w:val="22"/>
        </w:rPr>
      </w:pPr>
    </w:p>
    <w:p w14:paraId="05B8B85D" w14:textId="77777777" w:rsidR="007B5D76" w:rsidRPr="006774D3" w:rsidRDefault="007B5D76" w:rsidP="00F77C66">
      <w:pPr>
        <w:outlineLvl w:val="0"/>
        <w:rPr>
          <w:color w:val="000000"/>
          <w:sz w:val="22"/>
          <w:szCs w:val="22"/>
        </w:rPr>
      </w:pPr>
      <w:r w:rsidRPr="006774D3">
        <w:rPr>
          <w:i/>
          <w:color w:val="000000"/>
          <w:sz w:val="22"/>
          <w:szCs w:val="22"/>
        </w:rPr>
        <w:t>Stöðugur fasi, nýgreindur</w:t>
      </w:r>
      <w:r w:rsidRPr="006774D3">
        <w:rPr>
          <w:iCs/>
          <w:color w:val="000000"/>
          <w:sz w:val="22"/>
          <w:szCs w:val="22"/>
        </w:rPr>
        <w:t xml:space="preserve">: </w:t>
      </w:r>
      <w:r w:rsidRPr="006774D3">
        <w:rPr>
          <w:color w:val="000000"/>
          <w:sz w:val="22"/>
          <w:szCs w:val="22"/>
        </w:rPr>
        <w:t>Þessi III. stigs rannsókn hjá fullorðnum sjúklingum bar meðferð með Glivec einu og sér saman við samsetta meðferð með interferoni</w:t>
      </w:r>
      <w:r w:rsidRPr="006774D3">
        <w:rPr>
          <w:color w:val="000000"/>
          <w:sz w:val="22"/>
          <w:szCs w:val="22"/>
        </w:rPr>
        <w:noBreakHyphen/>
        <w:t>alfa (IFN) og cytarabini (Ara</w:t>
      </w:r>
      <w:r w:rsidRPr="006774D3">
        <w:rPr>
          <w:color w:val="000000"/>
          <w:sz w:val="22"/>
          <w:szCs w:val="22"/>
        </w:rPr>
        <w:noBreakHyphen/>
        <w:t xml:space="preserve">C). Sjúklingar sem sýndu enga svörun (vöntun á </w:t>
      </w:r>
      <w:r w:rsidR="008C146A" w:rsidRPr="006774D3">
        <w:rPr>
          <w:color w:val="000000"/>
          <w:sz w:val="22"/>
          <w:szCs w:val="22"/>
        </w:rPr>
        <w:t>heildar</w:t>
      </w:r>
      <w:r w:rsidRPr="006774D3">
        <w:rPr>
          <w:color w:val="000000"/>
          <w:sz w:val="22"/>
          <w:szCs w:val="22"/>
        </w:rPr>
        <w:t>blóðsvörun (CHR) eftir 6 mánuði, aukningu í WBC, enga meiriháttar litninga</w:t>
      </w:r>
      <w:r w:rsidRPr="006774D3">
        <w:rPr>
          <w:color w:val="000000"/>
          <w:sz w:val="22"/>
          <w:szCs w:val="22"/>
        </w:rPr>
        <w:softHyphen/>
        <w:t>svörun (MCyR) eftir 24 mánuði), stöðvun á svörun (CHR eða MCyR hættir) eða alvarlegt óþol gegn meðferðinni fengu að skipta yfir í hinn meðferðarmöguleikann. Í Glivec hópnum fengu sjúklingar 400 mg daglega. Í IFN hópnum fengu sjúklingarnir markskammtinn 5 milljón a.e./m²/sólar</w:t>
      </w:r>
      <w:r w:rsidRPr="006774D3">
        <w:rPr>
          <w:color w:val="000000"/>
          <w:sz w:val="22"/>
          <w:szCs w:val="22"/>
        </w:rPr>
        <w:softHyphen/>
        <w:t>hring af IFN undir húð ásamt því að fá Ara</w:t>
      </w:r>
      <w:r w:rsidRPr="006774D3">
        <w:rPr>
          <w:color w:val="000000"/>
          <w:sz w:val="22"/>
          <w:szCs w:val="22"/>
        </w:rPr>
        <w:noBreakHyphen/>
        <w:t>C 20 mg/m²/sólarhring undir húð í 10 daga/mánuð.</w:t>
      </w:r>
    </w:p>
    <w:p w14:paraId="05B8B85E" w14:textId="77777777" w:rsidR="007B5D76" w:rsidRPr="006774D3" w:rsidRDefault="007B5D76" w:rsidP="00F77C66">
      <w:pPr>
        <w:outlineLvl w:val="0"/>
        <w:rPr>
          <w:color w:val="000000"/>
          <w:sz w:val="22"/>
          <w:szCs w:val="22"/>
        </w:rPr>
      </w:pPr>
    </w:p>
    <w:p w14:paraId="05B8B85F" w14:textId="77777777" w:rsidR="007B5D76" w:rsidRPr="006774D3" w:rsidRDefault="007B5D76" w:rsidP="00F77C66">
      <w:pPr>
        <w:outlineLvl w:val="0"/>
        <w:rPr>
          <w:color w:val="000000"/>
          <w:sz w:val="22"/>
          <w:szCs w:val="22"/>
        </w:rPr>
      </w:pPr>
      <w:r w:rsidRPr="006774D3">
        <w:rPr>
          <w:color w:val="000000"/>
          <w:sz w:val="22"/>
          <w:szCs w:val="22"/>
        </w:rPr>
        <w:t>Alls var 1.106 sjúklingum skipt með slembivali, 553 í hvorn hóp. Upphafseinkenni voru í góðu jafnvægi á milli hópanna tveggja. Miðgildi aldurs var 51 ár (á bilinu 18</w:t>
      </w:r>
      <w:r w:rsidRPr="006774D3">
        <w:rPr>
          <w:color w:val="000000"/>
          <w:sz w:val="22"/>
          <w:szCs w:val="22"/>
        </w:rPr>
        <w:noBreakHyphen/>
        <w:t xml:space="preserve">70 ára) og voru 21,9% </w:t>
      </w:r>
      <w:r w:rsidRPr="006774D3">
        <w:rPr>
          <w:color w:val="000000"/>
          <w:sz w:val="22"/>
          <w:szCs w:val="22"/>
        </w:rPr>
        <w:lastRenderedPageBreak/>
        <w:t>sjúklinga ≥ 60 ára. Karlar voru 59% og konur 41%; 89,9% voru af hvíta kynstofninum og 4,7% voru þeldökkir sjúklingar. Sjö árum eftir að síðasti sjúklingurinn var tekinn inn í rannsóknina var miðgildi meðferðarlengdar þegar um fyrstu (first</w:t>
      </w:r>
      <w:r w:rsidRPr="006774D3">
        <w:rPr>
          <w:color w:val="000000"/>
          <w:sz w:val="22"/>
          <w:szCs w:val="22"/>
        </w:rPr>
        <w:noBreakHyphen/>
        <w:t>line) meðferð var að ræða, 82 mánuðir hjá hópnum sem fékk Glivec og 8 mánuðir hjá IFN hópnum. Miðgildi meðferðarlengdar, þegar um aðra (second</w:t>
      </w:r>
      <w:r w:rsidRPr="006774D3">
        <w:rPr>
          <w:color w:val="000000"/>
          <w:sz w:val="22"/>
          <w:szCs w:val="22"/>
        </w:rPr>
        <w:noBreakHyphen/>
        <w:t>line) meðferð með Glivec var að ræða, var 64 mánuðir. Á heildina litið var sólarhringsskammtur að meðaltali 406 ± 76 mg hjá sjúklingum sem fengu Glivec sem fyrstu meðferð. Fyrsti endapunktur verkunar í rannsókninni er lifun án versnunar. Versnun var skilgreind sem einhver eftirtalinna þátta: Versnun í hröðunarfasa eða bráðafasa (blast crisis), andlát, stöðvun á CHR eða MCyR, eða aukning á WBC hjá sjúklingum sem ekki voru að ná CHR þrátt fyrir viðeigandi meðferð. Meiriháttar litningasvörun, blóðsvörun, sameindasvörun (mat á lágmarks sjúkdómshreytum (minimal residual disease)), tími að hröðunarfasa eða bráðafasa og lifun eru helstu aðrir (secondary) endapunktar. Upplýsingar um svörun koma fram í töflu </w:t>
      </w:r>
      <w:r w:rsidR="00F40B8C" w:rsidRPr="006774D3">
        <w:rPr>
          <w:color w:val="000000"/>
          <w:sz w:val="22"/>
          <w:szCs w:val="22"/>
        </w:rPr>
        <w:t>2</w:t>
      </w:r>
      <w:r w:rsidRPr="006774D3">
        <w:rPr>
          <w:color w:val="000000"/>
          <w:sz w:val="22"/>
          <w:szCs w:val="22"/>
        </w:rPr>
        <w:t>.</w:t>
      </w:r>
    </w:p>
    <w:p w14:paraId="05B8B860" w14:textId="77777777" w:rsidR="007B5D76" w:rsidRPr="006774D3" w:rsidRDefault="007B5D76" w:rsidP="00F77C66">
      <w:pPr>
        <w:pStyle w:val="EndnoteText"/>
        <w:spacing w:before="0" w:after="0"/>
        <w:ind w:left="0" w:firstLine="0"/>
        <w:rPr>
          <w:rStyle w:val="PageNumber"/>
          <w:color w:val="000000"/>
          <w:sz w:val="22"/>
          <w:szCs w:val="22"/>
          <w:lang w:val="is-IS"/>
        </w:rPr>
      </w:pPr>
    </w:p>
    <w:p w14:paraId="05B8B861" w14:textId="77777777" w:rsidR="007B5D76" w:rsidRPr="006774D3" w:rsidRDefault="007B5D76" w:rsidP="00FA5D6F">
      <w:pPr>
        <w:pStyle w:val="EndnoteText"/>
        <w:keepNext/>
        <w:tabs>
          <w:tab w:val="left" w:pos="1134"/>
        </w:tabs>
        <w:spacing w:before="0" w:after="0"/>
        <w:ind w:left="0" w:firstLine="0"/>
        <w:rPr>
          <w:rStyle w:val="PageNumber"/>
          <w:b/>
          <w:color w:val="000000"/>
          <w:sz w:val="22"/>
          <w:szCs w:val="22"/>
          <w:lang w:val="is-IS"/>
        </w:rPr>
      </w:pPr>
      <w:r w:rsidRPr="006774D3">
        <w:rPr>
          <w:rStyle w:val="PageNumber"/>
          <w:b/>
          <w:color w:val="000000"/>
          <w:sz w:val="22"/>
          <w:szCs w:val="22"/>
          <w:lang w:val="is-IS"/>
        </w:rPr>
        <w:t>Tafla </w:t>
      </w:r>
      <w:r w:rsidR="00F40B8C" w:rsidRPr="006774D3">
        <w:rPr>
          <w:rStyle w:val="PageNumber"/>
          <w:b/>
          <w:color w:val="000000"/>
          <w:sz w:val="22"/>
          <w:szCs w:val="22"/>
          <w:lang w:val="is-IS"/>
        </w:rPr>
        <w:t>2</w:t>
      </w:r>
      <w:r w:rsidRPr="006774D3">
        <w:rPr>
          <w:rStyle w:val="PageNumber"/>
          <w:b/>
          <w:color w:val="000000"/>
          <w:sz w:val="22"/>
          <w:szCs w:val="22"/>
          <w:lang w:val="is-IS"/>
        </w:rPr>
        <w:tab/>
        <w:t>Svörun í rannsókn hjá sjúklingum með nýgreint CML (84 mánaða upplýsingar)</w:t>
      </w:r>
    </w:p>
    <w:p w14:paraId="05B8B862" w14:textId="77777777" w:rsidR="007B5D76" w:rsidRPr="006774D3" w:rsidRDefault="007B5D76" w:rsidP="00FA5D6F">
      <w:pPr>
        <w:pStyle w:val="EndnoteText"/>
        <w:keepNext/>
        <w:spacing w:before="0" w:after="0"/>
        <w:ind w:left="0" w:firstLine="0"/>
        <w:rPr>
          <w:rStyle w:val="PageNumber"/>
          <w:color w:val="000000"/>
          <w:sz w:val="22"/>
          <w:szCs w:val="22"/>
          <w:lang w:val="is-IS"/>
        </w:rPr>
      </w:pPr>
    </w:p>
    <w:tbl>
      <w:tblPr>
        <w:tblW w:w="9322" w:type="dxa"/>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753"/>
        <w:gridCol w:w="2775"/>
      </w:tblGrid>
      <w:tr w:rsidR="007B5D76" w:rsidRPr="006774D3" w14:paraId="05B8B866" w14:textId="77777777" w:rsidTr="00FA5D6F">
        <w:trPr>
          <w:cantSplit/>
        </w:trPr>
        <w:tc>
          <w:tcPr>
            <w:tcW w:w="3794" w:type="dxa"/>
            <w:tcBorders>
              <w:top w:val="single" w:sz="4" w:space="0" w:color="auto"/>
              <w:left w:val="single" w:sz="4" w:space="0" w:color="auto"/>
              <w:bottom w:val="nil"/>
            </w:tcBorders>
          </w:tcPr>
          <w:p w14:paraId="05B8B863"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p>
        </w:tc>
        <w:tc>
          <w:tcPr>
            <w:tcW w:w="2753" w:type="dxa"/>
            <w:tcBorders>
              <w:top w:val="single" w:sz="4" w:space="0" w:color="auto"/>
              <w:bottom w:val="nil"/>
            </w:tcBorders>
          </w:tcPr>
          <w:p w14:paraId="05B8B864" w14:textId="77777777" w:rsidR="007B5D76" w:rsidRPr="006774D3" w:rsidRDefault="007B5D76" w:rsidP="00FA5D6F">
            <w:pPr>
              <w:pStyle w:val="Table"/>
              <w:keepLines w:val="0"/>
              <w:spacing w:before="0" w:after="0"/>
              <w:jc w:val="center"/>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Glivec</w:t>
            </w:r>
          </w:p>
        </w:tc>
        <w:tc>
          <w:tcPr>
            <w:tcW w:w="2775" w:type="dxa"/>
            <w:tcBorders>
              <w:top w:val="single" w:sz="4" w:space="0" w:color="auto"/>
              <w:bottom w:val="nil"/>
              <w:right w:val="single" w:sz="4" w:space="0" w:color="auto"/>
            </w:tcBorders>
          </w:tcPr>
          <w:p w14:paraId="05B8B865" w14:textId="77777777" w:rsidR="007B5D76" w:rsidRPr="006774D3" w:rsidRDefault="007B5D76" w:rsidP="00FA5D6F">
            <w:pPr>
              <w:pStyle w:val="Table"/>
              <w:keepLines w:val="0"/>
              <w:spacing w:before="0" w:after="0"/>
              <w:jc w:val="center"/>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IFN+Ara</w:t>
            </w:r>
            <w:r w:rsidRPr="006774D3">
              <w:rPr>
                <w:rStyle w:val="PageNumber"/>
                <w:rFonts w:ascii="Times New Roman" w:hAnsi="Times New Roman"/>
                <w:b/>
                <w:color w:val="000000"/>
                <w:sz w:val="22"/>
                <w:szCs w:val="22"/>
              </w:rPr>
              <w:noBreakHyphen/>
              <w:t>C</w:t>
            </w:r>
          </w:p>
        </w:tc>
      </w:tr>
      <w:tr w:rsidR="007B5D76" w:rsidRPr="006774D3" w14:paraId="05B8B86A" w14:textId="77777777" w:rsidTr="00FA5D6F">
        <w:trPr>
          <w:cantSplit/>
        </w:trPr>
        <w:tc>
          <w:tcPr>
            <w:tcW w:w="3794" w:type="dxa"/>
            <w:tcBorders>
              <w:top w:val="nil"/>
              <w:left w:val="single" w:sz="4" w:space="0" w:color="auto"/>
              <w:bottom w:val="single" w:sz="4" w:space="0" w:color="auto"/>
            </w:tcBorders>
          </w:tcPr>
          <w:p w14:paraId="05B8B867" w14:textId="77777777" w:rsidR="007B5D76" w:rsidRPr="006774D3" w:rsidRDefault="007B5D76" w:rsidP="00FA5D6F">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(Bestu svörunarhlutföll)</w:t>
            </w:r>
          </w:p>
        </w:tc>
        <w:tc>
          <w:tcPr>
            <w:tcW w:w="2753" w:type="dxa"/>
            <w:tcBorders>
              <w:top w:val="nil"/>
              <w:bottom w:val="single" w:sz="4" w:space="0" w:color="auto"/>
            </w:tcBorders>
          </w:tcPr>
          <w:p w14:paraId="05B8B868"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n=553</w:t>
            </w:r>
          </w:p>
        </w:tc>
        <w:tc>
          <w:tcPr>
            <w:tcW w:w="2775" w:type="dxa"/>
            <w:tcBorders>
              <w:top w:val="nil"/>
              <w:bottom w:val="single" w:sz="4" w:space="0" w:color="auto"/>
              <w:right w:val="single" w:sz="4" w:space="0" w:color="auto"/>
            </w:tcBorders>
          </w:tcPr>
          <w:p w14:paraId="05B8B869"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n=553</w:t>
            </w:r>
          </w:p>
        </w:tc>
      </w:tr>
      <w:tr w:rsidR="007B5D76" w:rsidRPr="006774D3" w14:paraId="05B8B86E" w14:textId="77777777" w:rsidTr="00FA5D6F">
        <w:trPr>
          <w:cantSplit/>
        </w:trPr>
        <w:tc>
          <w:tcPr>
            <w:tcW w:w="3794" w:type="dxa"/>
            <w:tcBorders>
              <w:top w:val="nil"/>
              <w:left w:val="single" w:sz="4" w:space="0" w:color="auto"/>
            </w:tcBorders>
          </w:tcPr>
          <w:p w14:paraId="05B8B86B" w14:textId="77777777" w:rsidR="007B5D76" w:rsidRPr="006774D3" w:rsidRDefault="007B5D76" w:rsidP="00FA5D6F">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Blóðsvörun</w:t>
            </w:r>
          </w:p>
        </w:tc>
        <w:tc>
          <w:tcPr>
            <w:tcW w:w="2753" w:type="dxa"/>
            <w:tcBorders>
              <w:top w:val="nil"/>
            </w:tcBorders>
          </w:tcPr>
          <w:p w14:paraId="05B8B86C"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c>
          <w:tcPr>
            <w:tcW w:w="2775" w:type="dxa"/>
            <w:tcBorders>
              <w:top w:val="nil"/>
              <w:right w:val="single" w:sz="4" w:space="0" w:color="auto"/>
            </w:tcBorders>
          </w:tcPr>
          <w:p w14:paraId="05B8B86D"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r>
      <w:tr w:rsidR="007B5D76" w:rsidRPr="006774D3" w14:paraId="05B8B872" w14:textId="77777777" w:rsidTr="00FA5D6F">
        <w:trPr>
          <w:cantSplit/>
        </w:trPr>
        <w:tc>
          <w:tcPr>
            <w:tcW w:w="3794" w:type="dxa"/>
            <w:tcBorders>
              <w:top w:val="nil"/>
              <w:left w:val="single" w:sz="4" w:space="0" w:color="auto"/>
            </w:tcBorders>
          </w:tcPr>
          <w:p w14:paraId="05B8B86F"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CHR hlutfall n (%)</w:t>
            </w:r>
          </w:p>
        </w:tc>
        <w:tc>
          <w:tcPr>
            <w:tcW w:w="2753" w:type="dxa"/>
            <w:tcBorders>
              <w:top w:val="nil"/>
            </w:tcBorders>
          </w:tcPr>
          <w:p w14:paraId="05B8B870"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534 (96,6%)*</w:t>
            </w:r>
          </w:p>
        </w:tc>
        <w:tc>
          <w:tcPr>
            <w:tcW w:w="2775" w:type="dxa"/>
            <w:tcBorders>
              <w:top w:val="nil"/>
              <w:right w:val="single" w:sz="4" w:space="0" w:color="auto"/>
            </w:tcBorders>
          </w:tcPr>
          <w:p w14:paraId="05B8B871"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313 (56,6%)*</w:t>
            </w:r>
          </w:p>
        </w:tc>
      </w:tr>
      <w:tr w:rsidR="007B5D76" w:rsidRPr="006774D3" w14:paraId="05B8B876" w14:textId="77777777" w:rsidTr="00FA5D6F">
        <w:trPr>
          <w:cantSplit/>
        </w:trPr>
        <w:tc>
          <w:tcPr>
            <w:tcW w:w="3794" w:type="dxa"/>
            <w:tcBorders>
              <w:left w:val="single" w:sz="4" w:space="0" w:color="auto"/>
            </w:tcBorders>
          </w:tcPr>
          <w:p w14:paraId="05B8B873"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[95% CI]</w:t>
            </w:r>
          </w:p>
        </w:tc>
        <w:tc>
          <w:tcPr>
            <w:tcW w:w="2753" w:type="dxa"/>
          </w:tcPr>
          <w:p w14:paraId="05B8B874"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[94,7%, 97,9%]</w:t>
            </w:r>
          </w:p>
        </w:tc>
        <w:tc>
          <w:tcPr>
            <w:tcW w:w="2775" w:type="dxa"/>
            <w:tcBorders>
              <w:right w:val="single" w:sz="4" w:space="0" w:color="auto"/>
            </w:tcBorders>
          </w:tcPr>
          <w:p w14:paraId="05B8B875"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[52,4%, 60,8%]</w:t>
            </w:r>
          </w:p>
        </w:tc>
      </w:tr>
      <w:tr w:rsidR="007B5D76" w:rsidRPr="006774D3" w14:paraId="05B8B87A" w14:textId="77777777" w:rsidTr="00FA5D6F">
        <w:trPr>
          <w:cantSplit/>
        </w:trPr>
        <w:tc>
          <w:tcPr>
            <w:tcW w:w="3794" w:type="dxa"/>
            <w:tcBorders>
              <w:left w:val="single" w:sz="4" w:space="0" w:color="auto"/>
            </w:tcBorders>
          </w:tcPr>
          <w:p w14:paraId="05B8B877"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p>
        </w:tc>
        <w:tc>
          <w:tcPr>
            <w:tcW w:w="2753" w:type="dxa"/>
          </w:tcPr>
          <w:p w14:paraId="05B8B878"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c>
          <w:tcPr>
            <w:tcW w:w="2775" w:type="dxa"/>
            <w:tcBorders>
              <w:right w:val="single" w:sz="4" w:space="0" w:color="auto"/>
            </w:tcBorders>
          </w:tcPr>
          <w:p w14:paraId="05B8B879"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r>
      <w:tr w:rsidR="007B5D76" w:rsidRPr="006774D3" w14:paraId="05B8B87E" w14:textId="77777777" w:rsidTr="00FA5D6F">
        <w:trPr>
          <w:cantSplit/>
        </w:trPr>
        <w:tc>
          <w:tcPr>
            <w:tcW w:w="3794" w:type="dxa"/>
            <w:tcBorders>
              <w:left w:val="single" w:sz="4" w:space="0" w:color="auto"/>
            </w:tcBorders>
          </w:tcPr>
          <w:p w14:paraId="05B8B87B" w14:textId="77777777" w:rsidR="007B5D76" w:rsidRPr="006774D3" w:rsidRDefault="007B5D76" w:rsidP="00FA5D6F">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Litningasvörun</w:t>
            </w:r>
          </w:p>
        </w:tc>
        <w:tc>
          <w:tcPr>
            <w:tcW w:w="2753" w:type="dxa"/>
          </w:tcPr>
          <w:p w14:paraId="05B8B87C"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c>
          <w:tcPr>
            <w:tcW w:w="2775" w:type="dxa"/>
            <w:tcBorders>
              <w:right w:val="single" w:sz="4" w:space="0" w:color="auto"/>
            </w:tcBorders>
          </w:tcPr>
          <w:p w14:paraId="05B8B87D"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r>
      <w:tr w:rsidR="007B5D76" w:rsidRPr="006774D3" w14:paraId="05B8B882" w14:textId="77777777" w:rsidTr="00FA5D6F">
        <w:trPr>
          <w:cantSplit/>
        </w:trPr>
        <w:tc>
          <w:tcPr>
            <w:tcW w:w="3794" w:type="dxa"/>
            <w:tcBorders>
              <w:left w:val="single" w:sz="4" w:space="0" w:color="auto"/>
            </w:tcBorders>
          </w:tcPr>
          <w:p w14:paraId="05B8B87F"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n (%)</w:t>
            </w:r>
          </w:p>
        </w:tc>
        <w:tc>
          <w:tcPr>
            <w:tcW w:w="2753" w:type="dxa"/>
          </w:tcPr>
          <w:p w14:paraId="05B8B880"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490 (88,6%)*</w:t>
            </w:r>
          </w:p>
        </w:tc>
        <w:tc>
          <w:tcPr>
            <w:tcW w:w="2775" w:type="dxa"/>
            <w:tcBorders>
              <w:right w:val="single" w:sz="4" w:space="0" w:color="auto"/>
            </w:tcBorders>
          </w:tcPr>
          <w:p w14:paraId="05B8B881"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129 (23,3%)*</w:t>
            </w:r>
          </w:p>
        </w:tc>
      </w:tr>
      <w:tr w:rsidR="007B5D76" w:rsidRPr="006774D3" w14:paraId="05B8B886" w14:textId="77777777" w:rsidTr="00FA5D6F">
        <w:trPr>
          <w:cantSplit/>
        </w:trPr>
        <w:tc>
          <w:tcPr>
            <w:tcW w:w="3794" w:type="dxa"/>
            <w:tcBorders>
              <w:left w:val="single" w:sz="4" w:space="0" w:color="auto"/>
            </w:tcBorders>
          </w:tcPr>
          <w:p w14:paraId="05B8B883"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[95% CI]</w:t>
            </w:r>
          </w:p>
        </w:tc>
        <w:tc>
          <w:tcPr>
            <w:tcW w:w="2753" w:type="dxa"/>
          </w:tcPr>
          <w:p w14:paraId="05B8B884"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[85,7%, 91,1%]</w:t>
            </w:r>
          </w:p>
        </w:tc>
        <w:tc>
          <w:tcPr>
            <w:tcW w:w="2775" w:type="dxa"/>
            <w:tcBorders>
              <w:right w:val="single" w:sz="4" w:space="0" w:color="auto"/>
            </w:tcBorders>
          </w:tcPr>
          <w:p w14:paraId="05B8B885"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[19,9%, 27,1%]</w:t>
            </w:r>
          </w:p>
        </w:tc>
      </w:tr>
      <w:tr w:rsidR="007B5D76" w:rsidRPr="006774D3" w14:paraId="05B8B88A" w14:textId="77777777" w:rsidTr="00FA5D6F">
        <w:trPr>
          <w:cantSplit/>
        </w:trPr>
        <w:tc>
          <w:tcPr>
            <w:tcW w:w="3794" w:type="dxa"/>
            <w:tcBorders>
              <w:left w:val="single" w:sz="4" w:space="0" w:color="auto"/>
            </w:tcBorders>
          </w:tcPr>
          <w:p w14:paraId="05B8B887"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Full CyR n (%)</w:t>
            </w:r>
          </w:p>
        </w:tc>
        <w:tc>
          <w:tcPr>
            <w:tcW w:w="2753" w:type="dxa"/>
          </w:tcPr>
          <w:p w14:paraId="05B8B888"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456 (82,5%)*</w:t>
            </w:r>
          </w:p>
        </w:tc>
        <w:tc>
          <w:tcPr>
            <w:tcW w:w="2775" w:type="dxa"/>
            <w:tcBorders>
              <w:right w:val="single" w:sz="4" w:space="0" w:color="auto"/>
            </w:tcBorders>
          </w:tcPr>
          <w:p w14:paraId="05B8B889"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64 (11,6%)*</w:t>
            </w:r>
          </w:p>
        </w:tc>
      </w:tr>
      <w:tr w:rsidR="007B5D76" w:rsidRPr="006774D3" w14:paraId="05B8B88E" w14:textId="77777777" w:rsidTr="00FA5D6F">
        <w:trPr>
          <w:cantSplit/>
        </w:trPr>
        <w:tc>
          <w:tcPr>
            <w:tcW w:w="3794" w:type="dxa"/>
            <w:tcBorders>
              <w:left w:val="single" w:sz="4" w:space="0" w:color="auto"/>
            </w:tcBorders>
          </w:tcPr>
          <w:p w14:paraId="05B8B88B"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ab/>
              <w:t>Að hluta CyR n (%)</w:t>
            </w:r>
          </w:p>
        </w:tc>
        <w:tc>
          <w:tcPr>
            <w:tcW w:w="2753" w:type="dxa"/>
          </w:tcPr>
          <w:p w14:paraId="05B8B88C"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34 (6,1%)</w:t>
            </w:r>
          </w:p>
        </w:tc>
        <w:tc>
          <w:tcPr>
            <w:tcW w:w="2775" w:type="dxa"/>
            <w:tcBorders>
              <w:right w:val="single" w:sz="4" w:space="0" w:color="auto"/>
            </w:tcBorders>
          </w:tcPr>
          <w:p w14:paraId="05B8B88D"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65 (11,8%)</w:t>
            </w:r>
          </w:p>
        </w:tc>
      </w:tr>
      <w:tr w:rsidR="007B5D76" w:rsidRPr="006774D3" w14:paraId="05B8B892" w14:textId="77777777" w:rsidTr="00FA5D6F">
        <w:trPr>
          <w:cantSplit/>
        </w:trPr>
        <w:tc>
          <w:tcPr>
            <w:tcW w:w="3794" w:type="dxa"/>
            <w:tcBorders>
              <w:left w:val="single" w:sz="4" w:space="0" w:color="auto"/>
              <w:bottom w:val="nil"/>
            </w:tcBorders>
          </w:tcPr>
          <w:p w14:paraId="05B8B88F"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p>
        </w:tc>
        <w:tc>
          <w:tcPr>
            <w:tcW w:w="2753" w:type="dxa"/>
            <w:tcBorders>
              <w:bottom w:val="nil"/>
            </w:tcBorders>
          </w:tcPr>
          <w:p w14:paraId="05B8B890"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c>
          <w:tcPr>
            <w:tcW w:w="2775" w:type="dxa"/>
            <w:tcBorders>
              <w:bottom w:val="nil"/>
              <w:right w:val="single" w:sz="4" w:space="0" w:color="auto"/>
            </w:tcBorders>
          </w:tcPr>
          <w:p w14:paraId="05B8B891"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r>
      <w:tr w:rsidR="007B5D76" w:rsidRPr="006774D3" w14:paraId="05B8B896" w14:textId="77777777" w:rsidTr="00FA5D6F">
        <w:trPr>
          <w:cantSplit/>
        </w:trPr>
        <w:tc>
          <w:tcPr>
            <w:tcW w:w="3794" w:type="dxa"/>
            <w:tcBorders>
              <w:left w:val="single" w:sz="4" w:space="0" w:color="auto"/>
              <w:bottom w:val="nil"/>
            </w:tcBorders>
          </w:tcPr>
          <w:p w14:paraId="05B8B893" w14:textId="77777777" w:rsidR="007B5D76" w:rsidRPr="006774D3" w:rsidRDefault="007B5D76" w:rsidP="00FA5D6F">
            <w:pPr>
              <w:pStyle w:val="Table"/>
              <w:keepLines w:val="0"/>
              <w:spacing w:before="0" w:after="0"/>
              <w:rPr>
                <w:rStyle w:val="PageNumber"/>
                <w:rFonts w:ascii="Times New Roman" w:hAnsi="Times New Roman"/>
                <w:b/>
                <w:color w:val="000000"/>
                <w:sz w:val="22"/>
                <w:szCs w:val="22"/>
              </w:rPr>
            </w:pPr>
            <w:r w:rsidRPr="006774D3">
              <w:rPr>
                <w:rStyle w:val="PageNumber"/>
                <w:rFonts w:ascii="Times New Roman" w:hAnsi="Times New Roman"/>
                <w:b/>
                <w:color w:val="000000"/>
                <w:sz w:val="22"/>
                <w:szCs w:val="22"/>
              </w:rPr>
              <w:t>Sameindasvörun</w:t>
            </w:r>
            <w:r w:rsidRPr="006774D3">
              <w:rPr>
                <w:rStyle w:val="PageNumber"/>
                <w:rFonts w:ascii="Times New Roman" w:hAnsi="Times New Roman"/>
                <w:color w:val="000000"/>
                <w:sz w:val="22"/>
                <w:szCs w:val="22"/>
              </w:rPr>
              <w:t>**</w:t>
            </w:r>
          </w:p>
        </w:tc>
        <w:tc>
          <w:tcPr>
            <w:tcW w:w="2753" w:type="dxa"/>
            <w:tcBorders>
              <w:bottom w:val="nil"/>
            </w:tcBorders>
          </w:tcPr>
          <w:p w14:paraId="05B8B894"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c>
          <w:tcPr>
            <w:tcW w:w="2775" w:type="dxa"/>
            <w:tcBorders>
              <w:bottom w:val="nil"/>
              <w:right w:val="single" w:sz="4" w:space="0" w:color="auto"/>
            </w:tcBorders>
          </w:tcPr>
          <w:p w14:paraId="05B8B895"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p>
        </w:tc>
      </w:tr>
      <w:tr w:rsidR="007B5D76" w:rsidRPr="006774D3" w14:paraId="05B8B89A" w14:textId="77777777" w:rsidTr="00FA5D6F">
        <w:trPr>
          <w:cantSplit/>
        </w:trPr>
        <w:tc>
          <w:tcPr>
            <w:tcW w:w="3794" w:type="dxa"/>
            <w:tcBorders>
              <w:left w:val="single" w:sz="4" w:space="0" w:color="auto"/>
              <w:bottom w:val="nil"/>
            </w:tcBorders>
          </w:tcPr>
          <w:p w14:paraId="05B8B897"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12 mánuði (%)</w:t>
            </w:r>
          </w:p>
        </w:tc>
        <w:tc>
          <w:tcPr>
            <w:tcW w:w="2753" w:type="dxa"/>
            <w:tcBorders>
              <w:bottom w:val="nil"/>
            </w:tcBorders>
          </w:tcPr>
          <w:p w14:paraId="05B8B898"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153/305=50,2%</w:t>
            </w:r>
          </w:p>
        </w:tc>
        <w:tc>
          <w:tcPr>
            <w:tcW w:w="2775" w:type="dxa"/>
            <w:tcBorders>
              <w:bottom w:val="nil"/>
              <w:right w:val="single" w:sz="4" w:space="0" w:color="auto"/>
            </w:tcBorders>
          </w:tcPr>
          <w:p w14:paraId="05B8B899"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8/83=9,6%</w:t>
            </w:r>
          </w:p>
        </w:tc>
      </w:tr>
      <w:tr w:rsidR="007B5D76" w:rsidRPr="006774D3" w14:paraId="05B8B89E" w14:textId="77777777" w:rsidTr="00FA5D6F">
        <w:trPr>
          <w:cantSplit/>
        </w:trPr>
        <w:tc>
          <w:tcPr>
            <w:tcW w:w="3794" w:type="dxa"/>
            <w:tcBorders>
              <w:left w:val="single" w:sz="4" w:space="0" w:color="auto"/>
              <w:bottom w:val="nil"/>
            </w:tcBorders>
          </w:tcPr>
          <w:p w14:paraId="05B8B89B"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24 mánuði (%)</w:t>
            </w:r>
          </w:p>
        </w:tc>
        <w:tc>
          <w:tcPr>
            <w:tcW w:w="2753" w:type="dxa"/>
            <w:tcBorders>
              <w:bottom w:val="nil"/>
            </w:tcBorders>
          </w:tcPr>
          <w:p w14:paraId="05B8B89C"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73/104=70,2%</w:t>
            </w:r>
          </w:p>
        </w:tc>
        <w:tc>
          <w:tcPr>
            <w:tcW w:w="2775" w:type="dxa"/>
            <w:tcBorders>
              <w:bottom w:val="nil"/>
              <w:right w:val="single" w:sz="4" w:space="0" w:color="auto"/>
            </w:tcBorders>
          </w:tcPr>
          <w:p w14:paraId="05B8B89D" w14:textId="77777777" w:rsidR="007B5D76" w:rsidRPr="006774D3"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3/12=25%</w:t>
            </w:r>
          </w:p>
        </w:tc>
      </w:tr>
      <w:tr w:rsidR="007B5D76" w:rsidRPr="006774D3" w14:paraId="05B8B8A2" w14:textId="77777777" w:rsidTr="00FA5D6F">
        <w:trPr>
          <w:cantSplit/>
        </w:trPr>
        <w:tc>
          <w:tcPr>
            <w:tcW w:w="3794" w:type="dxa"/>
            <w:tcBorders>
              <w:left w:val="single" w:sz="4" w:space="0" w:color="auto"/>
              <w:bottom w:val="nil"/>
            </w:tcBorders>
          </w:tcPr>
          <w:p w14:paraId="05B8B89F" w14:textId="77777777" w:rsidR="007B5D76" w:rsidRPr="006774D3" w:rsidRDefault="007B5D76" w:rsidP="00FA5D6F">
            <w:pPr>
              <w:pStyle w:val="Table"/>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Meiriháttar svörun eftir 84 mánuði (%)</w:t>
            </w:r>
          </w:p>
        </w:tc>
        <w:tc>
          <w:tcPr>
            <w:tcW w:w="2753" w:type="dxa"/>
            <w:tcBorders>
              <w:bottom w:val="nil"/>
            </w:tcBorders>
          </w:tcPr>
          <w:p w14:paraId="05B8B8A0" w14:textId="77777777" w:rsidR="007B5D76" w:rsidRPr="006774D3" w:rsidDel="00072EEF"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102/116=87,9%</w:t>
            </w:r>
          </w:p>
        </w:tc>
        <w:tc>
          <w:tcPr>
            <w:tcW w:w="2775" w:type="dxa"/>
            <w:tcBorders>
              <w:bottom w:val="nil"/>
              <w:right w:val="single" w:sz="4" w:space="0" w:color="auto"/>
            </w:tcBorders>
          </w:tcPr>
          <w:p w14:paraId="05B8B8A1" w14:textId="77777777" w:rsidR="007B5D76" w:rsidRPr="006774D3" w:rsidDel="00072EEF" w:rsidRDefault="007B5D76" w:rsidP="00FA5D6F">
            <w:pPr>
              <w:pStyle w:val="Table"/>
              <w:keepLines w:val="0"/>
              <w:spacing w:before="0" w:after="0"/>
              <w:jc w:val="center"/>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3/4=75%</w:t>
            </w:r>
          </w:p>
        </w:tc>
      </w:tr>
      <w:tr w:rsidR="007B5D76" w:rsidRPr="006774D3" w14:paraId="05B8B8A9" w14:textId="77777777" w:rsidTr="00FA5D6F">
        <w:trPr>
          <w:cantSplit/>
        </w:trPr>
        <w:tc>
          <w:tcPr>
            <w:tcW w:w="9322" w:type="dxa"/>
            <w:gridSpan w:val="3"/>
            <w:tcBorders>
              <w:top w:val="single" w:sz="4" w:space="0" w:color="auto"/>
              <w:left w:val="single" w:sz="4" w:space="0" w:color="auto"/>
              <w:bottom w:val="single" w:sz="4" w:space="0" w:color="auto"/>
              <w:right w:val="single" w:sz="4" w:space="0" w:color="auto"/>
            </w:tcBorders>
          </w:tcPr>
          <w:p w14:paraId="05B8B8A3" w14:textId="77777777" w:rsidR="007B5D76" w:rsidRPr="006774D3" w:rsidRDefault="007B5D76" w:rsidP="00FA5D6F">
            <w:pPr>
              <w:pStyle w:val="Table"/>
              <w:keepNext w:val="0"/>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 p&lt;0,001, Fischers exact test</w:t>
            </w:r>
          </w:p>
          <w:p w14:paraId="05B8B8A4" w14:textId="77777777" w:rsidR="007B5D76" w:rsidRPr="006774D3" w:rsidRDefault="007B5D76" w:rsidP="00FA5D6F">
            <w:pPr>
              <w:pStyle w:val="Table"/>
              <w:keepNext w:val="0"/>
              <w:keepLines w:val="0"/>
              <w:spacing w:before="0" w:after="0"/>
              <w:rPr>
                <w:rStyle w:val="PageNumber"/>
                <w:rFonts w:ascii="Times New Roman" w:hAnsi="Times New Roman"/>
                <w:color w:val="000000"/>
                <w:sz w:val="22"/>
                <w:szCs w:val="22"/>
              </w:rPr>
            </w:pPr>
            <w:r w:rsidRPr="006774D3">
              <w:rPr>
                <w:rStyle w:val="PageNumber"/>
                <w:rFonts w:ascii="Times New Roman" w:hAnsi="Times New Roman"/>
                <w:color w:val="000000"/>
                <w:sz w:val="22"/>
                <w:szCs w:val="22"/>
              </w:rPr>
              <w:t>** Hlutfall sameindasvörunar er byggt á fyrirliggjandi úrtaki.</w:t>
            </w:r>
          </w:p>
          <w:p w14:paraId="05B8B8A5" w14:textId="77777777" w:rsidR="007B5D76" w:rsidRPr="006774D3" w:rsidRDefault="007B5D76" w:rsidP="00FA5D6F">
            <w:pPr>
              <w:outlineLvl w:val="0"/>
              <w:rPr>
                <w:color w:val="000000"/>
                <w:sz w:val="22"/>
                <w:szCs w:val="22"/>
              </w:rPr>
            </w:pPr>
            <w:r w:rsidRPr="006774D3">
              <w:rPr>
                <w:b/>
                <w:color w:val="000000"/>
                <w:sz w:val="22"/>
                <w:szCs w:val="22"/>
              </w:rPr>
              <w:t>Skilmerki blóðsvörunar (öll svörun skal staðfest eftir ≥ 4 vikur)</w:t>
            </w:r>
            <w:r w:rsidRPr="006774D3">
              <w:rPr>
                <w:color w:val="000000"/>
                <w:sz w:val="22"/>
                <w:szCs w:val="22"/>
              </w:rPr>
              <w:t>:</w:t>
            </w:r>
          </w:p>
          <w:p w14:paraId="05B8B8A6" w14:textId="77777777" w:rsidR="007B5D76" w:rsidRPr="006774D3" w:rsidRDefault="007B5D76" w:rsidP="00FA5D6F">
            <w:pPr>
              <w:outlineLvl w:val="0"/>
              <w:rPr>
                <w:color w:val="000000"/>
                <w:sz w:val="22"/>
                <w:szCs w:val="22"/>
              </w:rPr>
            </w:pPr>
            <w:r w:rsidRPr="006774D3">
              <w:rPr>
                <w:color w:val="000000"/>
                <w:sz w:val="22"/>
                <w:szCs w:val="22"/>
              </w:rPr>
              <w:t>WBC &lt; 10 x 10</w:t>
            </w:r>
            <w:r w:rsidRPr="006774D3">
              <w:rPr>
                <w:color w:val="000000"/>
                <w:sz w:val="22"/>
                <w:szCs w:val="22"/>
                <w:vertAlign w:val="superscript"/>
              </w:rPr>
              <w:t>9</w:t>
            </w:r>
            <w:r w:rsidRPr="006774D3">
              <w:rPr>
                <w:color w:val="000000"/>
                <w:sz w:val="22"/>
                <w:szCs w:val="22"/>
              </w:rPr>
              <w:t>/l, blóðflögur &lt; 450 x 10</w:t>
            </w:r>
            <w:r w:rsidRPr="006774D3">
              <w:rPr>
                <w:color w:val="000000"/>
                <w:sz w:val="22"/>
                <w:szCs w:val="22"/>
                <w:vertAlign w:val="superscript"/>
              </w:rPr>
              <w:t>9</w:t>
            </w:r>
            <w:r w:rsidRPr="006774D3">
              <w:rPr>
                <w:color w:val="000000"/>
                <w:sz w:val="22"/>
                <w:szCs w:val="22"/>
              </w:rPr>
              <w:t>/l, merglingar+miðmerglingar &lt; 5% í blóði, engar kímfrumur og formerglingar í blóði, blákyrningar &lt; 20%, engin utanmergstengsl.</w:t>
            </w:r>
          </w:p>
          <w:p w14:paraId="05B8B8A7" w14:textId="77777777" w:rsidR="007B5D76" w:rsidRPr="006774D3" w:rsidRDefault="007B5D76" w:rsidP="00FA5D6F">
            <w:pPr>
              <w:outlineLvl w:val="0"/>
              <w:rPr>
                <w:color w:val="000000"/>
                <w:sz w:val="22"/>
                <w:szCs w:val="22"/>
              </w:rPr>
            </w:pPr>
            <w:r w:rsidRPr="006774D3">
              <w:rPr>
                <w:b/>
                <w:color w:val="000000"/>
                <w:sz w:val="22"/>
                <w:szCs w:val="22"/>
              </w:rPr>
              <w:t>Skilmerki litningasvörunar</w:t>
            </w:r>
            <w:r w:rsidRPr="006774D3">
              <w:rPr>
                <w:color w:val="000000"/>
                <w:sz w:val="22"/>
                <w:szCs w:val="22"/>
              </w:rPr>
              <w:t>: Full (0% Ph+ metafasar), að hluta (1</w:t>
            </w:r>
            <w:r w:rsidRPr="006774D3">
              <w:rPr>
                <w:color w:val="000000"/>
                <w:sz w:val="22"/>
                <w:szCs w:val="22"/>
              </w:rPr>
              <w:noBreakHyphen/>
              <w:t>35%), lítil (36</w:t>
            </w:r>
            <w:r w:rsidRPr="006774D3">
              <w:rPr>
                <w:color w:val="000000"/>
                <w:sz w:val="22"/>
                <w:szCs w:val="22"/>
              </w:rPr>
              <w:noBreakHyphen/>
              <w:t>65%) eða lágmarks (66</w:t>
            </w:r>
            <w:r w:rsidRPr="006774D3">
              <w:rPr>
                <w:color w:val="000000"/>
                <w:sz w:val="22"/>
                <w:szCs w:val="22"/>
              </w:rPr>
              <w:noBreakHyphen/>
              <w:t>95%). Meiriháttar svörun (0</w:t>
            </w:r>
            <w:r w:rsidRPr="006774D3">
              <w:rPr>
                <w:color w:val="000000"/>
                <w:sz w:val="22"/>
                <w:szCs w:val="22"/>
              </w:rPr>
              <w:noBreakHyphen/>
              <w:t>35%) sameinar bæði full</w:t>
            </w:r>
            <w:r w:rsidR="0030257E" w:rsidRPr="006774D3">
              <w:rPr>
                <w:color w:val="000000"/>
                <w:sz w:val="22"/>
                <w:szCs w:val="22"/>
              </w:rPr>
              <w:t>a</w:t>
            </w:r>
            <w:r w:rsidRPr="006774D3">
              <w:rPr>
                <w:color w:val="000000"/>
                <w:sz w:val="22"/>
                <w:szCs w:val="22"/>
              </w:rPr>
              <w:t xml:space="preserve"> svörun og svörun að hluta.</w:t>
            </w:r>
          </w:p>
          <w:p w14:paraId="05B8B8A8" w14:textId="77777777" w:rsidR="007B5D76" w:rsidRPr="006774D3" w:rsidRDefault="007B5D76" w:rsidP="00FA5D6F">
            <w:pPr>
              <w:pStyle w:val="Table"/>
              <w:keepNext w:val="0"/>
              <w:keepLines w:val="0"/>
              <w:spacing w:before="0" w:after="0"/>
              <w:rPr>
                <w:rStyle w:val="PageNumber"/>
                <w:rFonts w:ascii="Times New Roman" w:hAnsi="Times New Roman"/>
                <w:color w:val="000000"/>
                <w:sz w:val="22"/>
                <w:szCs w:val="22"/>
              </w:rPr>
            </w:pPr>
            <w:r w:rsidRPr="006774D3">
              <w:rPr>
                <w:rFonts w:ascii="Times New Roman" w:hAnsi="Times New Roman"/>
                <w:b/>
                <w:color w:val="000000"/>
                <w:sz w:val="22"/>
                <w:szCs w:val="22"/>
              </w:rPr>
              <w:t>Skilmerki meiriháttar sameindasvörunar</w:t>
            </w:r>
            <w:r w:rsidRPr="006774D3">
              <w:rPr>
                <w:rFonts w:ascii="Times New Roman" w:hAnsi="Times New Roman"/>
                <w:color w:val="000000"/>
                <w:sz w:val="22"/>
                <w:szCs w:val="22"/>
              </w:rPr>
              <w:t>: Minnkun um ≥ 3 logaritma í magni Bcr</w:t>
            </w:r>
            <w:r w:rsidRPr="006774D3">
              <w:rPr>
                <w:rFonts w:ascii="Times New Roman" w:hAnsi="Times New Roman"/>
                <w:color w:val="000000"/>
                <w:sz w:val="22"/>
                <w:szCs w:val="22"/>
              </w:rPr>
              <w:noBreakHyphen/>
              <w:t>Abl afrita í útlægu blóði (mælt með rauntíma megindlegu „reverse transcriptasa“ PCR prófi) miðað við staðlað upphafsgildi.</w:t>
            </w:r>
          </w:p>
        </w:tc>
      </w:tr>
    </w:tbl>
    <w:p w14:paraId="05B8B8AA" w14:textId="77777777" w:rsidR="007B5D76" w:rsidRPr="006774D3" w:rsidRDefault="007B5D76" w:rsidP="00F77C66">
      <w:pPr>
        <w:pStyle w:val="EndnoteText"/>
        <w:spacing w:before="0" w:after="0"/>
        <w:ind w:left="0" w:firstLine="0"/>
        <w:rPr>
          <w:rStyle w:val="PageNumber"/>
          <w:color w:val="000000"/>
          <w:sz w:val="22"/>
          <w:szCs w:val="22"/>
          <w:lang w:val="is-IS"/>
        </w:rPr>
      </w:pPr>
    </w:p>
    <w:p w14:paraId="05B8B8AB" w14:textId="77777777" w:rsidR="007B5D76" w:rsidRPr="006774D3" w:rsidRDefault="007B5D76" w:rsidP="00F77C66">
      <w:pPr>
        <w:pStyle w:val="EndnoteText"/>
        <w:spacing w:before="0" w:after="0"/>
        <w:ind w:left="0" w:firstLine="0"/>
        <w:rPr>
          <w:rStyle w:val="PageNumber"/>
          <w:color w:val="000000"/>
          <w:sz w:val="22"/>
          <w:szCs w:val="22"/>
          <w:lang w:val="is-IS"/>
        </w:rPr>
      </w:pPr>
      <w:r w:rsidRPr="006774D3">
        <w:rPr>
          <w:rStyle w:val="PageNumber"/>
          <w:color w:val="000000"/>
          <w:sz w:val="22"/>
          <w:szCs w:val="22"/>
          <w:lang w:val="is-IS"/>
        </w:rPr>
        <w:t xml:space="preserve">Hlutföll </w:t>
      </w:r>
      <w:r w:rsidR="00172F56" w:rsidRPr="006774D3">
        <w:rPr>
          <w:rStyle w:val="PageNumber"/>
          <w:color w:val="000000"/>
          <w:sz w:val="22"/>
          <w:szCs w:val="22"/>
          <w:lang w:val="is-IS"/>
        </w:rPr>
        <w:t>heildar</w:t>
      </w:r>
      <w:r w:rsidRPr="006774D3">
        <w:rPr>
          <w:rStyle w:val="PageNumber"/>
          <w:color w:val="000000"/>
          <w:sz w:val="22"/>
          <w:szCs w:val="22"/>
          <w:lang w:val="is-IS"/>
        </w:rPr>
        <w:t>blóðsvörunar, meiriháttar litningasvörunar og full</w:t>
      </w:r>
      <w:r w:rsidR="00172F56" w:rsidRPr="006774D3">
        <w:rPr>
          <w:rStyle w:val="PageNumber"/>
          <w:color w:val="000000"/>
          <w:sz w:val="22"/>
          <w:szCs w:val="22"/>
          <w:lang w:val="is-IS"/>
        </w:rPr>
        <w:t>rar</w:t>
      </w:r>
      <w:r w:rsidRPr="006774D3">
        <w:rPr>
          <w:rStyle w:val="PageNumber"/>
          <w:color w:val="000000"/>
          <w:sz w:val="22"/>
          <w:szCs w:val="22"/>
          <w:lang w:val="is-IS"/>
        </w:rPr>
        <w:t xml:space="preserve"> litningasvörunar eftir fyrstu (first</w:t>
      </w:r>
      <w:r w:rsidRPr="006774D3">
        <w:rPr>
          <w:rStyle w:val="PageNumber"/>
          <w:color w:val="000000"/>
          <w:sz w:val="22"/>
          <w:szCs w:val="22"/>
          <w:lang w:val="is-IS"/>
        </w:rPr>
        <w:noBreakHyphen/>
        <w:t>line) meðferð voru metin með Kaplan</w:t>
      </w:r>
      <w:r w:rsidRPr="006774D3">
        <w:rPr>
          <w:rStyle w:val="PageNumber"/>
          <w:color w:val="000000"/>
          <w:sz w:val="22"/>
          <w:szCs w:val="22"/>
          <w:lang w:val="is-IS"/>
        </w:rPr>
        <w:noBreakHyphen/>
        <w:t>Meier aðferð og þeir sem ekki svöruðu meðferð voru ekki hafðir með í útreikningunum frá þeim degi þegar síðasta skoðun fór fram. Á grundvelli þessarar aðferðar er áætlaður ávinningur hvað varðar uppsöfnuð svörunarhlutföll fyrir fyrstu (first</w:t>
      </w:r>
      <w:r w:rsidRPr="006774D3">
        <w:rPr>
          <w:rStyle w:val="PageNumber"/>
          <w:color w:val="000000"/>
          <w:sz w:val="22"/>
          <w:szCs w:val="22"/>
          <w:lang w:val="is-IS"/>
        </w:rPr>
        <w:noBreakHyphen/>
        <w:t>line) meðferð með Glivec, frá 12 mánaða meðferð til 84 mánaða meðferð, sem hér segir: CHR fer úr 96,4% í 98,4% og CCyR fer úr 69,5% í 87,2%.</w:t>
      </w:r>
    </w:p>
    <w:p w14:paraId="05B8B8AC" w14:textId="77777777" w:rsidR="007B5D76" w:rsidRPr="006774D3" w:rsidRDefault="007B5D76" w:rsidP="00F77C66">
      <w:pPr>
        <w:pStyle w:val="EndnoteText"/>
        <w:spacing w:before="0" w:after="0"/>
        <w:ind w:left="0" w:firstLine="0"/>
        <w:rPr>
          <w:rStyle w:val="PageNumber"/>
          <w:color w:val="000000"/>
          <w:sz w:val="22"/>
          <w:szCs w:val="22"/>
          <w:lang w:val="is-IS"/>
        </w:rPr>
      </w:pPr>
    </w:p>
    <w:p w14:paraId="05B8B8AD" w14:textId="77777777" w:rsidR="007B5D76" w:rsidRPr="006774D3" w:rsidRDefault="007B5D76" w:rsidP="00F77C66">
      <w:pPr>
        <w:pStyle w:val="EndnoteText"/>
        <w:spacing w:before="0" w:after="0"/>
        <w:ind w:left="0" w:firstLine="0"/>
        <w:rPr>
          <w:rStyle w:val="PageNumber"/>
          <w:color w:val="000000"/>
          <w:sz w:val="22"/>
          <w:szCs w:val="22"/>
          <w:lang w:val="is-IS"/>
        </w:rPr>
      </w:pPr>
      <w:r w:rsidRPr="006774D3">
        <w:rPr>
          <w:rStyle w:val="PageNumber"/>
          <w:color w:val="000000"/>
          <w:sz w:val="22"/>
          <w:szCs w:val="22"/>
          <w:lang w:val="is-IS"/>
        </w:rPr>
        <w:t>Að lokinni 7 ára eftirfylgni voru 93 (16,8%) tilvik um versnun sjúkdómsins hjá hópnum sem fékk Glivec: Í 37 (6,7%) tilvikum var um að ræða versnun í hröðunarfasa/bráðafasa, í 31 (5,6%) tilvikum var um að ræða tap á MCyR, í 15 (2,7%) tilvikum var um að ræða tap á CHR eða fjölgun hvítra blóðkorna og í 10 (1,8%) tilvikum var um að ræða dauðsföll sem ekki tengdust CML. Á hinn bóginn voru 165 (29,8%) tilvik í hópnum sem fékk IFN+Ara</w:t>
      </w:r>
      <w:r w:rsidRPr="006774D3">
        <w:rPr>
          <w:rStyle w:val="PageNumber"/>
          <w:color w:val="000000"/>
          <w:sz w:val="22"/>
          <w:szCs w:val="22"/>
          <w:lang w:val="is-IS"/>
        </w:rPr>
        <w:noBreakHyphen/>
        <w:t>C, þar af 130 tilvik sem komu fyrir í fyrstu (first</w:t>
      </w:r>
      <w:r w:rsidRPr="006774D3">
        <w:rPr>
          <w:rStyle w:val="PageNumber"/>
          <w:color w:val="000000"/>
          <w:sz w:val="22"/>
          <w:szCs w:val="22"/>
          <w:lang w:val="is-IS"/>
        </w:rPr>
        <w:noBreakHyphen/>
        <w:t>line) meðferð með IFN+Ara</w:t>
      </w:r>
      <w:r w:rsidRPr="006774D3">
        <w:rPr>
          <w:rStyle w:val="PageNumber"/>
          <w:color w:val="000000"/>
          <w:sz w:val="22"/>
          <w:szCs w:val="22"/>
          <w:lang w:val="is-IS"/>
        </w:rPr>
        <w:noBreakHyphen/>
        <w:t>C.</w:t>
      </w:r>
    </w:p>
    <w:p w14:paraId="05B8B8AE" w14:textId="77777777" w:rsidR="007B5D76" w:rsidRPr="006774D3" w:rsidRDefault="007B5D76" w:rsidP="00F77C66">
      <w:pPr>
        <w:outlineLvl w:val="0"/>
        <w:rPr>
          <w:color w:val="000000"/>
          <w:sz w:val="22"/>
          <w:szCs w:val="22"/>
        </w:rPr>
      </w:pPr>
    </w:p>
    <w:p w14:paraId="05B8B8AF" w14:textId="77777777" w:rsidR="007B5D76" w:rsidRPr="006774D3" w:rsidRDefault="007B5D76" w:rsidP="00F77C66">
      <w:pPr>
        <w:outlineLvl w:val="0"/>
        <w:rPr>
          <w:color w:val="000000"/>
          <w:sz w:val="22"/>
          <w:szCs w:val="22"/>
        </w:rPr>
      </w:pPr>
      <w:r w:rsidRPr="006774D3">
        <w:rPr>
          <w:color w:val="000000"/>
          <w:sz w:val="22"/>
          <w:szCs w:val="22"/>
        </w:rPr>
        <w:lastRenderedPageBreak/>
        <w:t>Áætlað hlutfall sjúklinga sem voru án versnunar í hröðunarfasa eða bráðafasa eftir 84 mánuði var marktækt hærra fyrir Glivec hópinn samanborið við IFN hópinn (92,5% samanborið við 85,1%, p&lt;0,001). Árlegt hlutfall versnunar í hröðunarfasa eða bráðafasa minnkaði eftir því sem meðferðin var lengri og var innan við 1% á ári á fjórða og fimmta árinu. Áætlað hlutfall lifunar án versnunar eftir 84 mánuði var 81,2% í Glivec hópnum og 60,6% í samanburðarhópnum (p&lt;0,001). Árleg hlutföll hvaða versnunar sem er, fyrir Glivec, lækkuðu einnig með tímanum.</w:t>
      </w:r>
    </w:p>
    <w:p w14:paraId="05B8B8B0" w14:textId="77777777" w:rsidR="007B5D76" w:rsidRPr="006774D3" w:rsidRDefault="007B5D76" w:rsidP="00F77C66">
      <w:pPr>
        <w:outlineLvl w:val="0"/>
        <w:rPr>
          <w:color w:val="000000"/>
          <w:sz w:val="22"/>
          <w:szCs w:val="22"/>
        </w:rPr>
      </w:pPr>
    </w:p>
    <w:p w14:paraId="05B8B8B1" w14:textId="77777777" w:rsidR="007B5D76" w:rsidRPr="006774D3" w:rsidRDefault="007B5D76" w:rsidP="00F77C66">
      <w:pPr>
        <w:outlineLvl w:val="0"/>
        <w:rPr>
          <w:color w:val="000000"/>
          <w:sz w:val="22"/>
          <w:szCs w:val="22"/>
        </w:rPr>
      </w:pPr>
      <w:r w:rsidRPr="006774D3">
        <w:rPr>
          <w:color w:val="000000"/>
          <w:sz w:val="22"/>
          <w:szCs w:val="22"/>
        </w:rPr>
        <w:t>Alls dó 71 sjúklingur (12,8%) í hópnum sem fékk Glivec og 85 sjúklingar (15,4%) í hópnum sem fékk IFN+Ara</w:t>
      </w:r>
      <w:r w:rsidRPr="006774D3">
        <w:rPr>
          <w:color w:val="000000"/>
          <w:sz w:val="22"/>
          <w:szCs w:val="22"/>
        </w:rPr>
        <w:noBreakHyphen/>
        <w:t>C. Eftir 84 mánuði er áætluð heildarlifun 86,4% (83, 90) samanborið við 83,3% (80, 87) í slembuðu Glivec og IFN+Ara</w:t>
      </w:r>
      <w:r w:rsidRPr="006774D3">
        <w:rPr>
          <w:color w:val="000000"/>
          <w:sz w:val="22"/>
          <w:szCs w:val="22"/>
        </w:rPr>
        <w:noBreakHyphen/>
        <w:t>C hópunum, tilgreint í sömu röð (p=0,073, log</w:t>
      </w:r>
      <w:r w:rsidRPr="006774D3">
        <w:rPr>
          <w:color w:val="000000"/>
          <w:sz w:val="22"/>
          <w:szCs w:val="22"/>
        </w:rPr>
        <w:noBreakHyphen/>
        <w:t>rank próf). Þessi endapunktur, þ.e. tími fram að atviki, einkennist mjög af því hve margir skiptu úr IFN+Ara</w:t>
      </w:r>
      <w:r w:rsidRPr="006774D3">
        <w:rPr>
          <w:color w:val="000000"/>
          <w:sz w:val="22"/>
          <w:szCs w:val="22"/>
        </w:rPr>
        <w:noBreakHyphen/>
        <w:t xml:space="preserve">C hópnum yfir í Glivec hópinn. Áhrif meðferðar með Glivec á lifun í stöðugum fasa nýgreinds CML hafa verið rannsökuð frekar með </w:t>
      </w:r>
      <w:r w:rsidR="00786D88" w:rsidRPr="006774D3">
        <w:rPr>
          <w:color w:val="000000"/>
          <w:sz w:val="22"/>
          <w:szCs w:val="22"/>
        </w:rPr>
        <w:t>afturskyggnri rannsókn</w:t>
      </w:r>
      <w:r w:rsidRPr="006774D3">
        <w:rPr>
          <w:color w:val="000000"/>
          <w:sz w:val="22"/>
          <w:szCs w:val="22"/>
        </w:rPr>
        <w:t xml:space="preserve"> á fyrrgreindum upplýsingum um Glivec ásamt grunngögnum úr annarri III. stigs rannsókn á IFN+Ara</w:t>
      </w:r>
      <w:r w:rsidRPr="006774D3">
        <w:rPr>
          <w:color w:val="000000"/>
          <w:sz w:val="22"/>
          <w:szCs w:val="22"/>
        </w:rPr>
        <w:noBreakHyphen/>
        <w:t xml:space="preserve">C (n=325) sem notað var með sama hætti. Í þessari </w:t>
      </w:r>
      <w:r w:rsidR="008C146A" w:rsidRPr="006774D3">
        <w:rPr>
          <w:color w:val="000000"/>
          <w:sz w:val="22"/>
          <w:szCs w:val="22"/>
        </w:rPr>
        <w:t>afturskyggnu rannsókn</w:t>
      </w:r>
      <w:r w:rsidRPr="006774D3">
        <w:rPr>
          <w:color w:val="000000"/>
          <w:sz w:val="22"/>
          <w:szCs w:val="22"/>
        </w:rPr>
        <w:t xml:space="preserve"> var sýnt fram á yfirburði Glivec samanborið við IFN+Ara</w:t>
      </w:r>
      <w:r w:rsidRPr="006774D3">
        <w:rPr>
          <w:color w:val="000000"/>
          <w:sz w:val="22"/>
          <w:szCs w:val="22"/>
        </w:rPr>
        <w:noBreakHyphen/>
        <w:t>C hvað varðar heildarlifun (p&lt; 0,001); innan 42 mánaða voru 47 (8,5%) sjúklingar sem fengu Glivec og 63 (19,4%) sjúklingar sem fengu IFN+Ara</w:t>
      </w:r>
      <w:r w:rsidRPr="006774D3">
        <w:rPr>
          <w:color w:val="000000"/>
          <w:sz w:val="22"/>
          <w:szCs w:val="22"/>
        </w:rPr>
        <w:noBreakHyphen/>
        <w:t>C dánir.</w:t>
      </w:r>
    </w:p>
    <w:p w14:paraId="05B8B8B2" w14:textId="77777777" w:rsidR="007B5D76" w:rsidRPr="006774D3" w:rsidRDefault="007B5D76" w:rsidP="00F77C66">
      <w:pPr>
        <w:outlineLvl w:val="0"/>
        <w:rPr>
          <w:color w:val="000000"/>
          <w:sz w:val="22"/>
          <w:szCs w:val="22"/>
        </w:rPr>
      </w:pPr>
    </w:p>
    <w:p w14:paraId="05B8B8B3" w14:textId="77777777" w:rsidR="007B5D76" w:rsidRPr="006774D3" w:rsidRDefault="007B5D76" w:rsidP="00F77C66">
      <w:pPr>
        <w:outlineLvl w:val="0"/>
        <w:rPr>
          <w:color w:val="000000"/>
          <w:sz w:val="22"/>
          <w:szCs w:val="22"/>
        </w:rPr>
      </w:pPr>
      <w:r w:rsidRPr="006774D3">
        <w:rPr>
          <w:color w:val="000000"/>
          <w:sz w:val="22"/>
          <w:szCs w:val="22"/>
        </w:rPr>
        <w:t>Stærðargráða litningasvörunar og sameindasvörunar hafði greinileg áhrif á langtíma niðurstöður hjá sjúklingum sem fengu Glivec. Áætlað var að 96% (93%) sjúklinga með CCyR (PCyR) eftir 12 mánuði væru án versnunar í hröðunarfasa/bráðafasa eftir 84 mánuði, en einungis 81% sjúklinga án MCyR eftir 12 mánuði voru án versnunar í langt gengið CML eftir 84 mánuði (p&lt; 0,001 fyrir heildina, p=0,25 milli CCyR og PCyR). Hjá sjúklingum með fækkun Bcr</w:t>
      </w:r>
      <w:r w:rsidRPr="006774D3">
        <w:rPr>
          <w:color w:val="000000"/>
          <w:sz w:val="22"/>
          <w:szCs w:val="22"/>
        </w:rPr>
        <w:noBreakHyphen/>
        <w:t>Abl afrita um að minnsta kosti 3 logaritma eftir 12 mánuði voru líkur á að ekki hefði komið fram versnun í hröðunarfasa/bráðafasa 99% eftir 84 mánuði. Svipaðar niðurstöður komu fram á grundvelli 18 mánaða áfangagreiningar.</w:t>
      </w:r>
    </w:p>
    <w:p w14:paraId="05B8B8B4" w14:textId="77777777" w:rsidR="007B5D76" w:rsidRPr="006774D3" w:rsidRDefault="007B5D76" w:rsidP="00F77C66">
      <w:pPr>
        <w:outlineLvl w:val="0"/>
        <w:rPr>
          <w:color w:val="000000"/>
          <w:sz w:val="22"/>
          <w:szCs w:val="22"/>
        </w:rPr>
      </w:pPr>
    </w:p>
    <w:p w14:paraId="05B8B8B5" w14:textId="77777777" w:rsidR="007B5D76" w:rsidRPr="006774D3" w:rsidRDefault="007B5D76" w:rsidP="00F77C66">
      <w:pPr>
        <w:outlineLvl w:val="0"/>
        <w:rPr>
          <w:color w:val="000000"/>
          <w:sz w:val="22"/>
          <w:szCs w:val="22"/>
        </w:rPr>
      </w:pPr>
      <w:r w:rsidRPr="006774D3">
        <w:rPr>
          <w:color w:val="000000"/>
          <w:sz w:val="22"/>
          <w:szCs w:val="22"/>
        </w:rPr>
        <w:t>Í þessari rannsókn var heimilt að auka skammtinn úr 400 mg á sólarhring í 600 mg á sólarhring og síðan úr 600 mg í 800 mg á sólarhring. 42 mánaða eftirfylgni sýndi staðfest tap (innan 4 vikna) á litningasvörun hjá 11 sjúklingum. Hjá 4 af þessum 11 sjúklingum var skammturinn aukinn í 800 mg á sólarhring og 2 sjúklinganna endurheimtu litningasvörun (1 að hluta og 1 alveg, auk þess sem sá síðarnefndi náði einnig sameindasvörun), en af þeim 7 sjúklingum sem ekki fengu aukinn skammt náði einungis einn full</w:t>
      </w:r>
      <w:r w:rsidR="003C5A06" w:rsidRPr="006774D3">
        <w:rPr>
          <w:color w:val="000000"/>
          <w:sz w:val="22"/>
          <w:szCs w:val="22"/>
        </w:rPr>
        <w:t>ri</w:t>
      </w:r>
      <w:r w:rsidRPr="006774D3">
        <w:rPr>
          <w:color w:val="000000"/>
          <w:sz w:val="22"/>
          <w:szCs w:val="22"/>
        </w:rPr>
        <w:t xml:space="preserve"> litningasvörun. Hlutfall sumra aukaverkana var hærra hjá þeim 40 sjúklingum þar sem skammturinn var aukinn í 800 mg á sólarhring en hjá sjúklingaþýðinu fyrir skammta</w:t>
      </w:r>
      <w:r w:rsidRPr="006774D3">
        <w:rPr>
          <w:color w:val="000000"/>
          <w:sz w:val="22"/>
          <w:szCs w:val="22"/>
        </w:rPr>
        <w:softHyphen/>
        <w:t>aukningu (n=551). Algengustu auka</w:t>
      </w:r>
      <w:r w:rsidRPr="006774D3">
        <w:rPr>
          <w:color w:val="000000"/>
          <w:sz w:val="22"/>
          <w:szCs w:val="22"/>
        </w:rPr>
        <w:softHyphen/>
        <w:t>verkanirnar voru blæðingar í meltingarvegi, tárubólga og hækkuð gildi transaminasa eða bilirubins. Frá öðrum aukaverkunum var greint með lægri eða sömu tíðni.</w:t>
      </w:r>
    </w:p>
    <w:p w14:paraId="05B8B8B6" w14:textId="77777777" w:rsidR="007B5D76" w:rsidRPr="006774D3" w:rsidRDefault="007B5D76" w:rsidP="00F77C66">
      <w:pPr>
        <w:pStyle w:val="Authors"/>
        <w:keepNext w:val="0"/>
        <w:spacing w:before="0"/>
        <w:outlineLvl w:val="0"/>
        <w:rPr>
          <w:rFonts w:ascii="Times New Roman" w:hAnsi="Times New Roman"/>
          <w:iCs/>
          <w:color w:val="000000"/>
          <w:szCs w:val="22"/>
          <w:lang w:val="is-IS"/>
        </w:rPr>
      </w:pPr>
    </w:p>
    <w:p w14:paraId="05B8B8B7" w14:textId="77777777" w:rsidR="007B5D76" w:rsidRPr="006774D3" w:rsidRDefault="007B5D76" w:rsidP="00F77C66">
      <w:pPr>
        <w:outlineLvl w:val="0"/>
        <w:rPr>
          <w:color w:val="000000"/>
          <w:sz w:val="22"/>
          <w:szCs w:val="22"/>
        </w:rPr>
      </w:pPr>
      <w:r w:rsidRPr="006774D3">
        <w:rPr>
          <w:i/>
          <w:color w:val="000000"/>
          <w:sz w:val="22"/>
          <w:szCs w:val="22"/>
        </w:rPr>
        <w:t>Stöðugur fasi, interferon árangurslaust</w:t>
      </w:r>
      <w:r w:rsidRPr="006774D3">
        <w:rPr>
          <w:iCs/>
          <w:color w:val="000000"/>
          <w:sz w:val="22"/>
          <w:szCs w:val="22"/>
        </w:rPr>
        <w:t xml:space="preserve">: </w:t>
      </w:r>
      <w:r w:rsidRPr="006774D3">
        <w:rPr>
          <w:color w:val="000000"/>
          <w:sz w:val="22"/>
          <w:szCs w:val="22"/>
        </w:rPr>
        <w:t>532 fullorðnir sjúklingar voru meðhöndlaðir með 400 mg upphafs</w:t>
      </w:r>
      <w:r w:rsidRPr="006774D3">
        <w:rPr>
          <w:color w:val="000000"/>
          <w:sz w:val="22"/>
          <w:szCs w:val="22"/>
        </w:rPr>
        <w:softHyphen/>
        <w:t>skammti. Sjúklingum var skipt í þrjá meginflokka: Án blóðsvörunar (29%), án litningasvörunar (35%) eða óþol fyrir interferoni (36%). Miðgildi meðferðar sem sjúklingar höfðu fengið fyrir IFN meðferð var 14 mánuðir, þar sem gefnir voru skammtar ≥ 25 x 10</w:t>
      </w:r>
      <w:r w:rsidRPr="006774D3">
        <w:rPr>
          <w:color w:val="000000"/>
          <w:sz w:val="22"/>
          <w:szCs w:val="22"/>
          <w:vertAlign w:val="superscript"/>
        </w:rPr>
        <w:t>6</w:t>
      </w:r>
      <w:r w:rsidRPr="006774D3">
        <w:rPr>
          <w:color w:val="000000"/>
          <w:sz w:val="22"/>
          <w:szCs w:val="22"/>
        </w:rPr>
        <w:t> a.e./viku og voru allir seint í stöðugum fasa, með 32 mánaða miðgildi tíma frá sjúkdómsgreiningu. Fyrsta verkunarbreyta rannsóknarinnar var hlutfall meiriháttar litningasvörunar (fullkomin svörun að viðbættri svörun að hluta, 0 til 35% Ph+ metafasar í beinmerg).</w:t>
      </w:r>
    </w:p>
    <w:p w14:paraId="05B8B8B8" w14:textId="77777777" w:rsidR="007B5D76" w:rsidRPr="006774D3" w:rsidRDefault="007B5D76" w:rsidP="00F77C66">
      <w:pPr>
        <w:outlineLvl w:val="0"/>
        <w:rPr>
          <w:color w:val="000000"/>
          <w:sz w:val="22"/>
          <w:szCs w:val="22"/>
        </w:rPr>
      </w:pPr>
    </w:p>
    <w:p w14:paraId="05B8B8B9" w14:textId="77777777" w:rsidR="007B5D76" w:rsidRPr="006774D3" w:rsidRDefault="007B5D76" w:rsidP="00F77C66">
      <w:pPr>
        <w:outlineLvl w:val="0"/>
        <w:rPr>
          <w:color w:val="000000"/>
          <w:sz w:val="22"/>
          <w:szCs w:val="22"/>
        </w:rPr>
      </w:pPr>
      <w:r w:rsidRPr="006774D3">
        <w:rPr>
          <w:color w:val="000000"/>
          <w:sz w:val="22"/>
          <w:szCs w:val="22"/>
        </w:rPr>
        <w:t>Í þessari rannsókn náðu 65% sjúklinga meiriháttar litningasvörun sem var fullkomin hjá 53% (staðfest 43%) sjúklinga (tafla </w:t>
      </w:r>
      <w:r w:rsidR="00F40B8C" w:rsidRPr="006774D3">
        <w:rPr>
          <w:color w:val="000000"/>
          <w:sz w:val="22"/>
          <w:szCs w:val="22"/>
        </w:rPr>
        <w:t>3</w:t>
      </w:r>
      <w:r w:rsidRPr="006774D3">
        <w:rPr>
          <w:color w:val="000000"/>
          <w:sz w:val="22"/>
          <w:szCs w:val="22"/>
        </w:rPr>
        <w:t xml:space="preserve">). </w:t>
      </w:r>
      <w:r w:rsidR="00172F56" w:rsidRPr="006774D3">
        <w:rPr>
          <w:color w:val="000000"/>
          <w:sz w:val="22"/>
          <w:szCs w:val="22"/>
        </w:rPr>
        <w:t>Heildar</w:t>
      </w:r>
      <w:r w:rsidRPr="006774D3">
        <w:rPr>
          <w:color w:val="000000"/>
          <w:sz w:val="22"/>
          <w:szCs w:val="22"/>
        </w:rPr>
        <w:t>blóðsvörun náðist hjá 95% sjúklinga.</w:t>
      </w:r>
    </w:p>
    <w:p w14:paraId="05B8B8BA" w14:textId="77777777" w:rsidR="007B5D76" w:rsidRPr="006774D3" w:rsidRDefault="007B5D76" w:rsidP="00F77C66">
      <w:pPr>
        <w:pStyle w:val="EndnoteText"/>
        <w:overflowPunct w:val="0"/>
        <w:autoSpaceDE w:val="0"/>
        <w:autoSpaceDN w:val="0"/>
        <w:adjustRightInd w:val="0"/>
        <w:spacing w:before="0" w:after="0"/>
        <w:ind w:left="0" w:firstLine="0"/>
        <w:textAlignment w:val="baseline"/>
        <w:outlineLvl w:val="0"/>
        <w:rPr>
          <w:color w:val="000000"/>
          <w:sz w:val="22"/>
          <w:szCs w:val="22"/>
          <w:lang w:val="is-IS"/>
        </w:rPr>
      </w:pPr>
    </w:p>
    <w:p w14:paraId="05B8B8BB" w14:textId="77777777" w:rsidR="007B5D76" w:rsidRPr="006774D3" w:rsidRDefault="007B5D76" w:rsidP="00F77C66">
      <w:pPr>
        <w:outlineLvl w:val="0"/>
        <w:rPr>
          <w:color w:val="000000"/>
          <w:sz w:val="22"/>
          <w:szCs w:val="22"/>
        </w:rPr>
      </w:pPr>
      <w:r w:rsidRPr="006774D3">
        <w:rPr>
          <w:i/>
          <w:color w:val="000000"/>
          <w:sz w:val="22"/>
          <w:szCs w:val="22"/>
        </w:rPr>
        <w:t>Hröðunarfasi</w:t>
      </w:r>
      <w:r w:rsidRPr="006774D3">
        <w:rPr>
          <w:iCs/>
          <w:color w:val="000000"/>
          <w:sz w:val="22"/>
          <w:szCs w:val="22"/>
        </w:rPr>
        <w:t xml:space="preserve">: </w:t>
      </w:r>
      <w:r w:rsidRPr="006774D3">
        <w:rPr>
          <w:color w:val="000000"/>
          <w:sz w:val="22"/>
          <w:szCs w:val="22"/>
        </w:rPr>
        <w:t>235 fullorðnir sjúklingar með sjúkdóminn í hröðunarfasa tóku þátt í rannsókninni. Fyrstu 77 sjúklingarnir byrjuðu á 400 mg, síðan var rannsóknaráætlun breytt til að leyfa stærri skammta og þeir 158 sjúklingar sem eftir voru byrjuðu á 600 mg.</w:t>
      </w:r>
    </w:p>
    <w:p w14:paraId="05B8B8BC" w14:textId="77777777" w:rsidR="007B5D76" w:rsidRPr="006774D3" w:rsidRDefault="007B5D76" w:rsidP="00F77C66">
      <w:pPr>
        <w:outlineLvl w:val="0"/>
        <w:rPr>
          <w:color w:val="000000"/>
          <w:sz w:val="22"/>
          <w:szCs w:val="22"/>
        </w:rPr>
      </w:pPr>
    </w:p>
    <w:p w14:paraId="05B8B8BD" w14:textId="77777777" w:rsidR="007B5D76" w:rsidRPr="006774D3" w:rsidRDefault="007B5D76" w:rsidP="00F77C66">
      <w:pPr>
        <w:outlineLvl w:val="0"/>
        <w:rPr>
          <w:color w:val="000000"/>
          <w:sz w:val="22"/>
          <w:szCs w:val="22"/>
        </w:rPr>
      </w:pPr>
      <w:r w:rsidRPr="006774D3">
        <w:rPr>
          <w:color w:val="000000"/>
          <w:sz w:val="22"/>
          <w:szCs w:val="22"/>
        </w:rPr>
        <w:t xml:space="preserve">Fyrsta verkunarbreytan var hlutfall blóðsvörunar, sem annaðhvort var greint frá sem </w:t>
      </w:r>
      <w:r w:rsidR="008C146A" w:rsidRPr="006774D3">
        <w:rPr>
          <w:color w:val="000000"/>
          <w:sz w:val="22"/>
          <w:szCs w:val="22"/>
        </w:rPr>
        <w:t>heildar</w:t>
      </w:r>
      <w:r w:rsidRPr="006774D3">
        <w:rPr>
          <w:color w:val="000000"/>
          <w:sz w:val="22"/>
          <w:szCs w:val="22"/>
        </w:rPr>
        <w:t>blóð</w:t>
      </w:r>
      <w:r w:rsidRPr="006774D3">
        <w:rPr>
          <w:color w:val="000000"/>
          <w:sz w:val="22"/>
          <w:szCs w:val="22"/>
        </w:rPr>
        <w:softHyphen/>
        <w:t>svörun, engri vísbendingu um hvítblæði (þ.e. úthreinsun kímfrumna úr merg og blóði, en án þess að ná eðlilegum blóðgildum eins og við fullkomna svörun) eða afturhvarfi í stöðugan fasa CML. Staðfest blóðsvörun náðist hjá 71,5% sjúklinga (tafla </w:t>
      </w:r>
      <w:r w:rsidR="00F40B8C" w:rsidRPr="006774D3">
        <w:rPr>
          <w:color w:val="000000"/>
          <w:sz w:val="22"/>
          <w:szCs w:val="22"/>
        </w:rPr>
        <w:t>3</w:t>
      </w:r>
      <w:r w:rsidRPr="006774D3">
        <w:rPr>
          <w:color w:val="000000"/>
          <w:sz w:val="22"/>
          <w:szCs w:val="22"/>
        </w:rPr>
        <w:t xml:space="preserve">). Mikilvægt var að 27,7% sjúklinganna náðu líka meiriháttar litningasvörun, sem var fullkomin hjá 20,4% (staðfest 16%) þeirra. Hjá sjúklingum sem </w:t>
      </w:r>
      <w:r w:rsidRPr="006774D3">
        <w:rPr>
          <w:color w:val="000000"/>
          <w:sz w:val="22"/>
          <w:szCs w:val="22"/>
        </w:rPr>
        <w:lastRenderedPageBreak/>
        <w:t>fengu 600 mg er núverandi mat á mið</w:t>
      </w:r>
      <w:r w:rsidRPr="006774D3">
        <w:rPr>
          <w:color w:val="000000"/>
          <w:sz w:val="22"/>
          <w:szCs w:val="22"/>
        </w:rPr>
        <w:softHyphen/>
        <w:t>gildi áætlaðrar lifunar án versnunar sjúkdóms 22,9 mánuðir og núverandi mat á miðgildi heildar lifunar er 42,5 mánuðir.</w:t>
      </w:r>
    </w:p>
    <w:p w14:paraId="05B8B8BE" w14:textId="77777777" w:rsidR="007B5D76" w:rsidRPr="006774D3" w:rsidRDefault="007B5D76" w:rsidP="00F77C66">
      <w:pPr>
        <w:outlineLvl w:val="0"/>
        <w:rPr>
          <w:color w:val="000000"/>
          <w:sz w:val="22"/>
          <w:szCs w:val="22"/>
        </w:rPr>
      </w:pPr>
    </w:p>
    <w:p w14:paraId="05B8B8BF" w14:textId="77777777" w:rsidR="007B5D76" w:rsidRPr="006774D3" w:rsidRDefault="007B5D76" w:rsidP="00F77C66">
      <w:pPr>
        <w:outlineLvl w:val="0"/>
        <w:rPr>
          <w:color w:val="000000"/>
          <w:sz w:val="22"/>
          <w:szCs w:val="22"/>
        </w:rPr>
      </w:pPr>
      <w:r w:rsidRPr="006774D3">
        <w:rPr>
          <w:i/>
          <w:color w:val="000000"/>
          <w:sz w:val="22"/>
          <w:szCs w:val="22"/>
        </w:rPr>
        <w:t>Kyrningabráðafasi (myeloid blast crisis)</w:t>
      </w:r>
      <w:r w:rsidRPr="006774D3">
        <w:rPr>
          <w:iCs/>
          <w:color w:val="000000"/>
          <w:sz w:val="22"/>
          <w:szCs w:val="22"/>
        </w:rPr>
        <w:t xml:space="preserve">: </w:t>
      </w:r>
      <w:r w:rsidRPr="006774D3">
        <w:rPr>
          <w:color w:val="000000"/>
          <w:sz w:val="22"/>
          <w:szCs w:val="22"/>
        </w:rPr>
        <w:t>260 sjúklingar með kyrningabráðafasa tóku þátt í rannsókninni. 95 (37%) höfðu áður fengið krabbameinslyfjameðferð, annaðhvort við hröðunarfasa eða bráðafasa (formeð</w:t>
      </w:r>
      <w:r w:rsidRPr="006774D3">
        <w:rPr>
          <w:color w:val="000000"/>
          <w:sz w:val="22"/>
          <w:szCs w:val="22"/>
        </w:rPr>
        <w:softHyphen/>
        <w:t>höndlaðir sjúklingar), en ekki 165 (63%) þeirra (ómeðhöndlaðir sjúklingar). Fyrstu 37 sjúklingarnir byrjuðu á 400 mg, en eftir það var rannsóknaráætlun breytt til að leyfa stærri skammta og þeir 223 sem eftir voru byrjuðu á 600 mg.</w:t>
      </w:r>
    </w:p>
    <w:p w14:paraId="05B8B8C0" w14:textId="77777777" w:rsidR="007B5D76" w:rsidRPr="006774D3" w:rsidRDefault="007B5D76" w:rsidP="00F77C66">
      <w:pPr>
        <w:pStyle w:val="Authors"/>
        <w:keepNext w:val="0"/>
        <w:spacing w:before="0"/>
        <w:outlineLvl w:val="0"/>
        <w:rPr>
          <w:rFonts w:ascii="Times New Roman" w:hAnsi="Times New Roman"/>
          <w:color w:val="000000"/>
          <w:szCs w:val="22"/>
          <w:lang w:val="is-IS"/>
        </w:rPr>
      </w:pPr>
    </w:p>
    <w:p w14:paraId="05B8B8C1" w14:textId="77777777" w:rsidR="007B5D76" w:rsidRPr="006774D3" w:rsidRDefault="007B5D76" w:rsidP="00F77C66">
      <w:pPr>
        <w:outlineLvl w:val="0"/>
        <w:rPr>
          <w:color w:val="000000"/>
          <w:sz w:val="22"/>
          <w:szCs w:val="22"/>
        </w:rPr>
      </w:pPr>
      <w:r w:rsidRPr="006774D3">
        <w:rPr>
          <w:color w:val="000000"/>
          <w:sz w:val="22"/>
          <w:szCs w:val="22"/>
        </w:rPr>
        <w:t xml:space="preserve">Fyrsta verkunarbreytan var hlutfall blóðsvörunar, sem annaðhvort var greint frá sem </w:t>
      </w:r>
      <w:r w:rsidR="008C146A" w:rsidRPr="006774D3">
        <w:rPr>
          <w:color w:val="000000"/>
          <w:sz w:val="22"/>
          <w:szCs w:val="22"/>
        </w:rPr>
        <w:t>heildar</w:t>
      </w:r>
      <w:r w:rsidRPr="006774D3">
        <w:rPr>
          <w:color w:val="000000"/>
          <w:sz w:val="22"/>
          <w:szCs w:val="22"/>
        </w:rPr>
        <w:t>blóð</w:t>
      </w:r>
      <w:r w:rsidRPr="006774D3">
        <w:rPr>
          <w:color w:val="000000"/>
          <w:sz w:val="22"/>
          <w:szCs w:val="22"/>
        </w:rPr>
        <w:softHyphen/>
        <w:t>svörun, engri vísbendingu um hvítblæði eða afturhvarfi í stöðugan fasa CML og var gengið út frá sömu forsendum og í rannsókninni á hröðunarfasa. Í þessari rannsókn náðu 31% sjúklinga blóðsvörun (36% sjúklinga sem höfðu ekki verið meðhöndlaðir áður og 22% sjúklinga sem höfðu áður fengið meðferð). Hlutfall svörunar var einnig hærra hjá sjúklingum sem fengu 600 mg (33%) samanborið við sjúklinga sem fengu 400 mg (16%, p=0,0220). Fyrirliggjandi mat á miðgildi lifunar þeirra sem höfðu ekki verið meðhöndlaðir áður var 7,7 mánuðir og 4,7 mánuðir hjá þeim sem fengið höfðu meðferð.</w:t>
      </w:r>
    </w:p>
    <w:p w14:paraId="05B8B8C2" w14:textId="77777777" w:rsidR="007B5D76" w:rsidRPr="006774D3" w:rsidRDefault="007B5D76" w:rsidP="00F77C66">
      <w:pPr>
        <w:rPr>
          <w:i/>
          <w:color w:val="000000"/>
          <w:sz w:val="22"/>
          <w:szCs w:val="22"/>
        </w:rPr>
      </w:pPr>
    </w:p>
    <w:p w14:paraId="05B8B8C3" w14:textId="77777777" w:rsidR="007B5D76" w:rsidRPr="006774D3" w:rsidRDefault="007B5D76" w:rsidP="00F77C66">
      <w:pPr>
        <w:rPr>
          <w:color w:val="000000"/>
          <w:sz w:val="22"/>
          <w:szCs w:val="22"/>
        </w:rPr>
      </w:pPr>
      <w:r w:rsidRPr="006774D3">
        <w:rPr>
          <w:i/>
          <w:color w:val="000000"/>
          <w:sz w:val="22"/>
          <w:szCs w:val="22"/>
        </w:rPr>
        <w:t>Eitilfrumuhvítblæði í bráðafasa (lymphoid blast crisis)</w:t>
      </w:r>
      <w:r w:rsidRPr="006774D3">
        <w:rPr>
          <w:iCs/>
          <w:color w:val="000000"/>
          <w:sz w:val="22"/>
          <w:szCs w:val="22"/>
        </w:rPr>
        <w:t xml:space="preserve">: </w:t>
      </w:r>
      <w:r w:rsidRPr="006774D3">
        <w:rPr>
          <w:color w:val="000000"/>
          <w:sz w:val="22"/>
          <w:szCs w:val="22"/>
        </w:rPr>
        <w:t>Takmarkaður fjöldi sjúklinga var skráður í I stigs rannsóknir (n=10). Hlutfall blóðsvörunar var 70% og stóð í 2</w:t>
      </w:r>
      <w:r w:rsidRPr="006774D3">
        <w:rPr>
          <w:color w:val="000000"/>
          <w:sz w:val="22"/>
          <w:szCs w:val="22"/>
        </w:rPr>
        <w:noBreakHyphen/>
        <w:t>3 mánuði.</w:t>
      </w:r>
    </w:p>
    <w:p w14:paraId="05B8B8C4" w14:textId="77777777" w:rsidR="007B5D76" w:rsidRPr="006774D3" w:rsidRDefault="007B5D76" w:rsidP="00F77C66">
      <w:pPr>
        <w:outlineLvl w:val="0"/>
        <w:rPr>
          <w:color w:val="000000"/>
          <w:sz w:val="22"/>
          <w:szCs w:val="22"/>
        </w:rPr>
      </w:pPr>
    </w:p>
    <w:p w14:paraId="05B8B8C5" w14:textId="77777777" w:rsidR="007B5D76" w:rsidRPr="006774D3" w:rsidRDefault="007B5D76" w:rsidP="00FA5D6F">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t>Tafla </w:t>
      </w:r>
      <w:r w:rsidR="00F40B8C" w:rsidRPr="006774D3">
        <w:rPr>
          <w:rFonts w:ascii="Times New Roman" w:hAnsi="Times New Roman"/>
          <w:color w:val="000000"/>
          <w:sz w:val="22"/>
          <w:szCs w:val="22"/>
          <w:lang w:val="is-IS"/>
        </w:rPr>
        <w:t>3</w:t>
      </w:r>
      <w:r w:rsidRPr="006774D3">
        <w:rPr>
          <w:rFonts w:ascii="Times New Roman" w:hAnsi="Times New Roman"/>
          <w:color w:val="000000"/>
          <w:sz w:val="22"/>
          <w:szCs w:val="22"/>
          <w:lang w:val="is-IS"/>
        </w:rPr>
        <w:tab/>
        <w:t>Svörun í CML rannsóknum hjá fullorðnum</w:t>
      </w:r>
    </w:p>
    <w:p w14:paraId="05B8B8C6" w14:textId="77777777" w:rsidR="007B5D76" w:rsidRPr="006774D3" w:rsidRDefault="007B5D76" w:rsidP="00FA5D6F">
      <w:pPr>
        <w:keepNext/>
        <w:outlineLvl w:val="0"/>
        <w:rPr>
          <w:color w:val="000000"/>
          <w:sz w:val="22"/>
          <w:szCs w:val="22"/>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6"/>
        <w:gridCol w:w="2100"/>
        <w:gridCol w:w="2020"/>
        <w:gridCol w:w="2137"/>
      </w:tblGrid>
      <w:tr w:rsidR="007B5D76" w:rsidRPr="006774D3" w14:paraId="05B8B8D5" w14:textId="77777777" w:rsidTr="00FA5D6F">
        <w:trPr>
          <w:cantSplit/>
        </w:trPr>
        <w:tc>
          <w:tcPr>
            <w:tcW w:w="3076" w:type="dxa"/>
          </w:tcPr>
          <w:p w14:paraId="05B8B8C7" w14:textId="77777777" w:rsidR="007B5D76" w:rsidRPr="006774D3" w:rsidRDefault="007B5D76" w:rsidP="00FA5D6F">
            <w:pPr>
              <w:pStyle w:val="Authors"/>
              <w:spacing w:before="0"/>
              <w:outlineLvl w:val="0"/>
              <w:rPr>
                <w:rFonts w:ascii="Times New Roman" w:hAnsi="Times New Roman"/>
                <w:color w:val="000000"/>
                <w:szCs w:val="22"/>
                <w:lang w:val="is-IS"/>
              </w:rPr>
            </w:pPr>
          </w:p>
        </w:tc>
        <w:tc>
          <w:tcPr>
            <w:tcW w:w="2100" w:type="dxa"/>
          </w:tcPr>
          <w:p w14:paraId="05B8B8C8" w14:textId="77777777" w:rsidR="007B5D76" w:rsidRPr="006774D3" w:rsidRDefault="007B5D76" w:rsidP="00FA5D6F">
            <w:pPr>
              <w:keepNext/>
              <w:jc w:val="center"/>
              <w:outlineLvl w:val="0"/>
              <w:rPr>
                <w:color w:val="000000"/>
                <w:sz w:val="22"/>
                <w:szCs w:val="22"/>
              </w:rPr>
            </w:pPr>
            <w:r w:rsidRPr="006774D3">
              <w:rPr>
                <w:color w:val="000000"/>
                <w:sz w:val="22"/>
                <w:szCs w:val="22"/>
              </w:rPr>
              <w:t>Rannsókn 0110</w:t>
            </w:r>
          </w:p>
          <w:p w14:paraId="05B8B8C9" w14:textId="77777777" w:rsidR="007B5D76" w:rsidRPr="006774D3" w:rsidRDefault="007B5D76" w:rsidP="00FA5D6F">
            <w:pPr>
              <w:keepNext/>
              <w:jc w:val="center"/>
              <w:outlineLvl w:val="0"/>
              <w:rPr>
                <w:color w:val="000000"/>
                <w:sz w:val="22"/>
                <w:szCs w:val="22"/>
              </w:rPr>
            </w:pPr>
            <w:r w:rsidRPr="006774D3">
              <w:rPr>
                <w:color w:val="000000"/>
                <w:sz w:val="22"/>
                <w:szCs w:val="22"/>
              </w:rPr>
              <w:t>Upplýsingar eftir 37 mánuði</w:t>
            </w:r>
          </w:p>
          <w:p w14:paraId="05B8B8CA" w14:textId="77777777" w:rsidR="007B5D76" w:rsidRPr="006774D3" w:rsidRDefault="007B5D76" w:rsidP="00FA5D6F">
            <w:pPr>
              <w:keepNext/>
              <w:jc w:val="center"/>
              <w:outlineLvl w:val="0"/>
              <w:rPr>
                <w:color w:val="000000"/>
                <w:sz w:val="22"/>
                <w:szCs w:val="22"/>
              </w:rPr>
            </w:pPr>
            <w:r w:rsidRPr="006774D3">
              <w:rPr>
                <w:color w:val="000000"/>
                <w:sz w:val="22"/>
                <w:szCs w:val="22"/>
              </w:rPr>
              <w:t>Stöðugur fasi,</w:t>
            </w:r>
          </w:p>
          <w:p w14:paraId="05B8B8CB" w14:textId="77777777" w:rsidR="007B5D76" w:rsidRPr="006774D3" w:rsidRDefault="007B5D76" w:rsidP="00FA5D6F">
            <w:pPr>
              <w:keepNext/>
              <w:jc w:val="center"/>
              <w:outlineLvl w:val="0"/>
              <w:rPr>
                <w:color w:val="000000"/>
                <w:sz w:val="22"/>
                <w:szCs w:val="22"/>
              </w:rPr>
            </w:pPr>
            <w:r w:rsidRPr="006774D3">
              <w:rPr>
                <w:color w:val="000000"/>
                <w:sz w:val="22"/>
                <w:szCs w:val="22"/>
              </w:rPr>
              <w:t>IFN án árangurs</w:t>
            </w:r>
          </w:p>
          <w:p w14:paraId="05B8B8CC" w14:textId="77777777" w:rsidR="007B5D76" w:rsidRPr="006774D3" w:rsidRDefault="007B5D76" w:rsidP="00FA5D6F">
            <w:pPr>
              <w:keepNext/>
              <w:jc w:val="center"/>
              <w:outlineLvl w:val="0"/>
              <w:rPr>
                <w:color w:val="000000"/>
                <w:sz w:val="22"/>
                <w:szCs w:val="22"/>
              </w:rPr>
            </w:pPr>
            <w:r w:rsidRPr="006774D3">
              <w:rPr>
                <w:color w:val="000000"/>
                <w:sz w:val="22"/>
                <w:szCs w:val="22"/>
              </w:rPr>
              <w:t>(n=532)</w:t>
            </w:r>
          </w:p>
        </w:tc>
        <w:tc>
          <w:tcPr>
            <w:tcW w:w="2020" w:type="dxa"/>
            <w:tcBorders>
              <w:bottom w:val="single" w:sz="4" w:space="0" w:color="auto"/>
            </w:tcBorders>
          </w:tcPr>
          <w:p w14:paraId="05B8B8CD" w14:textId="77777777" w:rsidR="007B5D76" w:rsidRPr="006774D3" w:rsidRDefault="007B5D76" w:rsidP="00FA5D6F">
            <w:pPr>
              <w:keepNext/>
              <w:jc w:val="center"/>
              <w:outlineLvl w:val="0"/>
              <w:rPr>
                <w:color w:val="000000"/>
                <w:sz w:val="22"/>
                <w:szCs w:val="22"/>
              </w:rPr>
            </w:pPr>
            <w:r w:rsidRPr="006774D3">
              <w:rPr>
                <w:color w:val="000000"/>
                <w:sz w:val="22"/>
                <w:szCs w:val="22"/>
              </w:rPr>
              <w:t>Rannsókn 0109</w:t>
            </w:r>
          </w:p>
          <w:p w14:paraId="05B8B8CE" w14:textId="77777777" w:rsidR="007B5D76" w:rsidRPr="006774D3" w:rsidRDefault="007B5D76" w:rsidP="00FA5D6F">
            <w:pPr>
              <w:keepNext/>
              <w:jc w:val="center"/>
              <w:outlineLvl w:val="0"/>
              <w:rPr>
                <w:color w:val="000000"/>
                <w:sz w:val="22"/>
                <w:szCs w:val="22"/>
              </w:rPr>
            </w:pPr>
            <w:r w:rsidRPr="006774D3">
              <w:rPr>
                <w:color w:val="000000"/>
                <w:sz w:val="22"/>
                <w:szCs w:val="22"/>
              </w:rPr>
              <w:t>Upplýsingar eftir 40,5 mánuði</w:t>
            </w:r>
          </w:p>
          <w:p w14:paraId="05B8B8CF" w14:textId="77777777" w:rsidR="007B5D76" w:rsidRPr="006774D3" w:rsidRDefault="007B5D76" w:rsidP="00FA5D6F">
            <w:pPr>
              <w:keepNext/>
              <w:jc w:val="center"/>
              <w:outlineLvl w:val="0"/>
              <w:rPr>
                <w:color w:val="000000"/>
                <w:sz w:val="22"/>
                <w:szCs w:val="22"/>
              </w:rPr>
            </w:pPr>
            <w:r w:rsidRPr="006774D3">
              <w:rPr>
                <w:color w:val="000000"/>
                <w:sz w:val="22"/>
                <w:szCs w:val="22"/>
              </w:rPr>
              <w:t>Hröðunarfasi,</w:t>
            </w:r>
          </w:p>
          <w:p w14:paraId="05B8B8D0" w14:textId="77777777" w:rsidR="007B5D76" w:rsidRPr="006774D3" w:rsidRDefault="007B5D76" w:rsidP="00FA5D6F">
            <w:pPr>
              <w:keepNext/>
              <w:jc w:val="center"/>
              <w:outlineLvl w:val="0"/>
              <w:rPr>
                <w:color w:val="000000"/>
                <w:sz w:val="22"/>
                <w:szCs w:val="22"/>
              </w:rPr>
            </w:pPr>
            <w:r w:rsidRPr="006774D3">
              <w:rPr>
                <w:color w:val="000000"/>
                <w:sz w:val="22"/>
                <w:szCs w:val="22"/>
              </w:rPr>
              <w:t>(n=235)</w:t>
            </w:r>
          </w:p>
        </w:tc>
        <w:tc>
          <w:tcPr>
            <w:tcW w:w="2137" w:type="dxa"/>
          </w:tcPr>
          <w:p w14:paraId="05B8B8D1" w14:textId="77777777" w:rsidR="007B5D76" w:rsidRPr="006774D3" w:rsidRDefault="007B5D76" w:rsidP="00FA5D6F">
            <w:pPr>
              <w:keepNext/>
              <w:jc w:val="center"/>
              <w:outlineLvl w:val="0"/>
              <w:rPr>
                <w:color w:val="000000"/>
                <w:sz w:val="22"/>
                <w:szCs w:val="22"/>
              </w:rPr>
            </w:pPr>
            <w:r w:rsidRPr="006774D3">
              <w:rPr>
                <w:color w:val="000000"/>
                <w:sz w:val="22"/>
                <w:szCs w:val="22"/>
              </w:rPr>
              <w:t>Rannsókn 0102</w:t>
            </w:r>
          </w:p>
          <w:p w14:paraId="05B8B8D2" w14:textId="77777777" w:rsidR="007B5D76" w:rsidRPr="006774D3" w:rsidRDefault="007B5D76" w:rsidP="00FA5D6F">
            <w:pPr>
              <w:keepNext/>
              <w:jc w:val="center"/>
              <w:outlineLvl w:val="0"/>
              <w:rPr>
                <w:color w:val="000000"/>
                <w:sz w:val="22"/>
                <w:szCs w:val="22"/>
              </w:rPr>
            </w:pPr>
            <w:r w:rsidRPr="006774D3">
              <w:rPr>
                <w:color w:val="000000"/>
                <w:sz w:val="22"/>
                <w:szCs w:val="22"/>
              </w:rPr>
              <w:t>Upplýsingar eftir 38 mánuði</w:t>
            </w:r>
          </w:p>
          <w:p w14:paraId="05B8B8D3" w14:textId="77777777" w:rsidR="007B5D76" w:rsidRPr="006774D3" w:rsidRDefault="007B5D76" w:rsidP="00FA5D6F">
            <w:pPr>
              <w:keepNext/>
              <w:jc w:val="center"/>
              <w:outlineLvl w:val="0"/>
              <w:rPr>
                <w:color w:val="000000"/>
                <w:sz w:val="22"/>
                <w:szCs w:val="22"/>
              </w:rPr>
            </w:pPr>
            <w:r w:rsidRPr="006774D3">
              <w:rPr>
                <w:color w:val="000000"/>
                <w:sz w:val="22"/>
                <w:szCs w:val="22"/>
              </w:rPr>
              <w:t>Kyrningabráðafasi,</w:t>
            </w:r>
          </w:p>
          <w:p w14:paraId="05B8B8D4" w14:textId="77777777" w:rsidR="007B5D76" w:rsidRPr="006774D3" w:rsidRDefault="007B5D76" w:rsidP="00FA5D6F">
            <w:pPr>
              <w:keepNext/>
              <w:jc w:val="center"/>
              <w:outlineLvl w:val="0"/>
              <w:rPr>
                <w:color w:val="000000"/>
                <w:sz w:val="22"/>
                <w:szCs w:val="22"/>
              </w:rPr>
            </w:pPr>
            <w:r w:rsidRPr="006774D3">
              <w:rPr>
                <w:color w:val="000000"/>
                <w:sz w:val="22"/>
                <w:szCs w:val="22"/>
              </w:rPr>
              <w:t>(n=260)</w:t>
            </w:r>
          </w:p>
        </w:tc>
      </w:tr>
      <w:tr w:rsidR="007B5D76" w:rsidRPr="006774D3" w14:paraId="05B8B8D8" w14:textId="77777777" w:rsidTr="00FA5D6F">
        <w:trPr>
          <w:cantSplit/>
        </w:trPr>
        <w:tc>
          <w:tcPr>
            <w:tcW w:w="3076" w:type="dxa"/>
            <w:tcBorders>
              <w:bottom w:val="single" w:sz="4" w:space="0" w:color="auto"/>
            </w:tcBorders>
          </w:tcPr>
          <w:p w14:paraId="05B8B8D6" w14:textId="77777777" w:rsidR="007B5D76" w:rsidRPr="006774D3" w:rsidRDefault="007B5D76" w:rsidP="00FA5D6F">
            <w:pPr>
              <w:keepNext/>
              <w:outlineLvl w:val="0"/>
              <w:rPr>
                <w:color w:val="000000"/>
                <w:sz w:val="22"/>
                <w:szCs w:val="22"/>
              </w:rPr>
            </w:pPr>
          </w:p>
        </w:tc>
        <w:tc>
          <w:tcPr>
            <w:tcW w:w="6257" w:type="dxa"/>
            <w:gridSpan w:val="3"/>
            <w:tcBorders>
              <w:bottom w:val="single" w:sz="4" w:space="0" w:color="auto"/>
            </w:tcBorders>
          </w:tcPr>
          <w:p w14:paraId="05B8B8D7" w14:textId="77777777" w:rsidR="007B5D76" w:rsidRPr="006774D3" w:rsidRDefault="007B5D76" w:rsidP="00FA5D6F">
            <w:pPr>
              <w:keepNext/>
              <w:jc w:val="center"/>
              <w:outlineLvl w:val="0"/>
              <w:rPr>
                <w:color w:val="000000"/>
                <w:sz w:val="22"/>
                <w:szCs w:val="22"/>
              </w:rPr>
            </w:pPr>
            <w:r w:rsidRPr="006774D3">
              <w:rPr>
                <w:color w:val="000000"/>
                <w:sz w:val="22"/>
                <w:szCs w:val="22"/>
              </w:rPr>
              <w:t>% sjúklinga (CI</w:t>
            </w:r>
            <w:r w:rsidRPr="006774D3">
              <w:rPr>
                <w:color w:val="000000"/>
                <w:sz w:val="22"/>
                <w:szCs w:val="22"/>
                <w:vertAlign w:val="subscript"/>
              </w:rPr>
              <w:t>95%</w:t>
            </w:r>
            <w:r w:rsidRPr="006774D3">
              <w:rPr>
                <w:color w:val="000000"/>
                <w:sz w:val="22"/>
                <w:szCs w:val="22"/>
              </w:rPr>
              <w:t>)</w:t>
            </w:r>
          </w:p>
        </w:tc>
      </w:tr>
      <w:tr w:rsidR="007B5D76" w:rsidRPr="006774D3" w14:paraId="05B8B8DD" w14:textId="77777777" w:rsidTr="00FA5D6F">
        <w:trPr>
          <w:cantSplit/>
        </w:trPr>
        <w:tc>
          <w:tcPr>
            <w:tcW w:w="3076" w:type="dxa"/>
            <w:tcBorders>
              <w:bottom w:val="nil"/>
            </w:tcBorders>
          </w:tcPr>
          <w:p w14:paraId="05B8B8D9" w14:textId="77777777" w:rsidR="007B5D76" w:rsidRPr="006774D3" w:rsidRDefault="007B5D76" w:rsidP="00FA5D6F">
            <w:pPr>
              <w:keepNext/>
              <w:outlineLvl w:val="0"/>
              <w:rPr>
                <w:color w:val="000000"/>
                <w:sz w:val="22"/>
                <w:szCs w:val="22"/>
              </w:rPr>
            </w:pPr>
            <w:r w:rsidRPr="006774D3">
              <w:rPr>
                <w:color w:val="000000"/>
                <w:sz w:val="22"/>
                <w:szCs w:val="22"/>
              </w:rPr>
              <w:t>Blóðsvörun</w:t>
            </w:r>
            <w:r w:rsidRPr="006774D3">
              <w:rPr>
                <w:color w:val="000000"/>
                <w:sz w:val="22"/>
                <w:szCs w:val="22"/>
                <w:vertAlign w:val="superscript"/>
              </w:rPr>
              <w:t>1</w:t>
            </w:r>
          </w:p>
        </w:tc>
        <w:tc>
          <w:tcPr>
            <w:tcW w:w="2100" w:type="dxa"/>
            <w:tcBorders>
              <w:bottom w:val="nil"/>
            </w:tcBorders>
          </w:tcPr>
          <w:p w14:paraId="05B8B8DA" w14:textId="77777777" w:rsidR="007B5D76" w:rsidRPr="006774D3" w:rsidRDefault="007B5D76" w:rsidP="00FA5D6F">
            <w:pPr>
              <w:keepNext/>
              <w:jc w:val="center"/>
              <w:outlineLvl w:val="0"/>
              <w:rPr>
                <w:color w:val="000000"/>
                <w:sz w:val="22"/>
                <w:szCs w:val="22"/>
              </w:rPr>
            </w:pPr>
            <w:r w:rsidRPr="006774D3">
              <w:rPr>
                <w:color w:val="000000"/>
                <w:sz w:val="22"/>
                <w:szCs w:val="22"/>
              </w:rPr>
              <w:t>95% (92,3</w:t>
            </w:r>
            <w:r w:rsidRPr="006774D3">
              <w:rPr>
                <w:color w:val="000000"/>
                <w:sz w:val="22"/>
                <w:szCs w:val="22"/>
              </w:rPr>
              <w:noBreakHyphen/>
              <w:t>96,3)</w:t>
            </w:r>
          </w:p>
        </w:tc>
        <w:tc>
          <w:tcPr>
            <w:tcW w:w="2020" w:type="dxa"/>
            <w:tcBorders>
              <w:top w:val="single" w:sz="4" w:space="0" w:color="auto"/>
              <w:bottom w:val="nil"/>
            </w:tcBorders>
          </w:tcPr>
          <w:p w14:paraId="05B8B8DB" w14:textId="77777777" w:rsidR="007B5D76" w:rsidRPr="006774D3" w:rsidRDefault="007B5D76" w:rsidP="00FA5D6F">
            <w:pPr>
              <w:keepNext/>
              <w:jc w:val="center"/>
              <w:outlineLvl w:val="0"/>
              <w:rPr>
                <w:color w:val="000000"/>
                <w:sz w:val="22"/>
                <w:szCs w:val="22"/>
              </w:rPr>
            </w:pPr>
            <w:r w:rsidRPr="006774D3">
              <w:rPr>
                <w:color w:val="000000"/>
                <w:sz w:val="22"/>
                <w:szCs w:val="22"/>
              </w:rPr>
              <w:t>71% (65,3</w:t>
            </w:r>
            <w:r w:rsidRPr="006774D3">
              <w:rPr>
                <w:color w:val="000000"/>
                <w:sz w:val="22"/>
                <w:szCs w:val="22"/>
              </w:rPr>
              <w:noBreakHyphen/>
              <w:t>77,2)</w:t>
            </w:r>
          </w:p>
        </w:tc>
        <w:tc>
          <w:tcPr>
            <w:tcW w:w="2137" w:type="dxa"/>
            <w:tcBorders>
              <w:bottom w:val="nil"/>
            </w:tcBorders>
          </w:tcPr>
          <w:p w14:paraId="05B8B8DC" w14:textId="77777777" w:rsidR="007B5D76" w:rsidRPr="006774D3" w:rsidRDefault="007B5D76" w:rsidP="00FA5D6F">
            <w:pPr>
              <w:keepNext/>
              <w:jc w:val="center"/>
              <w:outlineLvl w:val="0"/>
              <w:rPr>
                <w:color w:val="000000"/>
                <w:sz w:val="22"/>
                <w:szCs w:val="22"/>
              </w:rPr>
            </w:pPr>
            <w:r w:rsidRPr="006774D3">
              <w:rPr>
                <w:color w:val="000000"/>
                <w:sz w:val="22"/>
                <w:szCs w:val="22"/>
              </w:rPr>
              <w:t>31% (25,2</w:t>
            </w:r>
            <w:r w:rsidRPr="006774D3">
              <w:rPr>
                <w:color w:val="000000"/>
                <w:sz w:val="22"/>
                <w:szCs w:val="22"/>
              </w:rPr>
              <w:noBreakHyphen/>
              <w:t>36,8)</w:t>
            </w:r>
          </w:p>
        </w:tc>
      </w:tr>
      <w:tr w:rsidR="007B5D76" w:rsidRPr="006774D3" w14:paraId="05B8B8E2" w14:textId="77777777" w:rsidTr="00FA5D6F">
        <w:trPr>
          <w:cantSplit/>
        </w:trPr>
        <w:tc>
          <w:tcPr>
            <w:tcW w:w="3076" w:type="dxa"/>
            <w:tcBorders>
              <w:top w:val="nil"/>
              <w:bottom w:val="nil"/>
            </w:tcBorders>
          </w:tcPr>
          <w:p w14:paraId="05B8B8DE" w14:textId="77777777" w:rsidR="007B5D76" w:rsidRPr="006774D3" w:rsidRDefault="007B5D76" w:rsidP="00FA5D6F">
            <w:pPr>
              <w:keepNext/>
              <w:tabs>
                <w:tab w:val="left" w:pos="180"/>
              </w:tabs>
              <w:ind w:left="180" w:hanging="180"/>
              <w:outlineLvl w:val="0"/>
              <w:rPr>
                <w:color w:val="000000"/>
                <w:sz w:val="22"/>
                <w:szCs w:val="22"/>
              </w:rPr>
            </w:pPr>
            <w:r w:rsidRPr="006774D3">
              <w:rPr>
                <w:color w:val="000000"/>
                <w:sz w:val="22"/>
                <w:szCs w:val="22"/>
              </w:rPr>
              <w:tab/>
            </w:r>
            <w:r w:rsidR="0057402D" w:rsidRPr="006774D3">
              <w:rPr>
                <w:color w:val="000000"/>
                <w:sz w:val="22"/>
                <w:szCs w:val="22"/>
              </w:rPr>
              <w:t>Heildar</w:t>
            </w:r>
            <w:r w:rsidRPr="006774D3">
              <w:rPr>
                <w:color w:val="000000"/>
                <w:sz w:val="22"/>
                <w:szCs w:val="22"/>
              </w:rPr>
              <w:t>blóðsvörun (CHR)</w:t>
            </w:r>
          </w:p>
        </w:tc>
        <w:tc>
          <w:tcPr>
            <w:tcW w:w="2100" w:type="dxa"/>
            <w:tcBorders>
              <w:top w:val="nil"/>
              <w:bottom w:val="nil"/>
            </w:tcBorders>
          </w:tcPr>
          <w:p w14:paraId="05B8B8DF" w14:textId="77777777" w:rsidR="007B5D76" w:rsidRPr="006774D3" w:rsidRDefault="007B5D76" w:rsidP="00FA5D6F">
            <w:pPr>
              <w:keepNext/>
              <w:jc w:val="center"/>
              <w:outlineLvl w:val="0"/>
              <w:rPr>
                <w:color w:val="000000"/>
                <w:sz w:val="22"/>
                <w:szCs w:val="22"/>
              </w:rPr>
            </w:pPr>
            <w:r w:rsidRPr="006774D3">
              <w:rPr>
                <w:color w:val="000000"/>
                <w:sz w:val="22"/>
                <w:szCs w:val="22"/>
              </w:rPr>
              <w:t>95%</w:t>
            </w:r>
          </w:p>
        </w:tc>
        <w:tc>
          <w:tcPr>
            <w:tcW w:w="2020" w:type="dxa"/>
            <w:tcBorders>
              <w:top w:val="nil"/>
              <w:bottom w:val="nil"/>
            </w:tcBorders>
          </w:tcPr>
          <w:p w14:paraId="05B8B8E0" w14:textId="77777777" w:rsidR="007B5D76" w:rsidRPr="006774D3" w:rsidRDefault="007B5D76" w:rsidP="00FA5D6F">
            <w:pPr>
              <w:keepNext/>
              <w:jc w:val="center"/>
              <w:outlineLvl w:val="0"/>
              <w:rPr>
                <w:color w:val="000000"/>
                <w:sz w:val="22"/>
                <w:szCs w:val="22"/>
              </w:rPr>
            </w:pPr>
            <w:r w:rsidRPr="006774D3">
              <w:rPr>
                <w:color w:val="000000"/>
                <w:sz w:val="22"/>
                <w:szCs w:val="22"/>
              </w:rPr>
              <w:t>42%</w:t>
            </w:r>
          </w:p>
        </w:tc>
        <w:tc>
          <w:tcPr>
            <w:tcW w:w="2137" w:type="dxa"/>
            <w:tcBorders>
              <w:top w:val="nil"/>
              <w:bottom w:val="nil"/>
            </w:tcBorders>
          </w:tcPr>
          <w:p w14:paraId="05B8B8E1" w14:textId="77777777" w:rsidR="007B5D76" w:rsidRPr="006774D3" w:rsidRDefault="007B5D76" w:rsidP="00FA5D6F">
            <w:pPr>
              <w:keepNext/>
              <w:jc w:val="center"/>
              <w:outlineLvl w:val="0"/>
              <w:rPr>
                <w:color w:val="000000"/>
                <w:sz w:val="22"/>
                <w:szCs w:val="22"/>
              </w:rPr>
            </w:pPr>
            <w:r w:rsidRPr="006774D3">
              <w:rPr>
                <w:color w:val="000000"/>
                <w:sz w:val="22"/>
                <w:szCs w:val="22"/>
              </w:rPr>
              <w:t>8%</w:t>
            </w:r>
          </w:p>
        </w:tc>
      </w:tr>
      <w:tr w:rsidR="007B5D76" w:rsidRPr="006774D3" w14:paraId="05B8B8E7" w14:textId="77777777" w:rsidTr="00FA5D6F">
        <w:trPr>
          <w:cantSplit/>
        </w:trPr>
        <w:tc>
          <w:tcPr>
            <w:tcW w:w="3076" w:type="dxa"/>
            <w:tcBorders>
              <w:top w:val="nil"/>
              <w:bottom w:val="nil"/>
            </w:tcBorders>
          </w:tcPr>
          <w:p w14:paraId="05B8B8E3" w14:textId="77777777" w:rsidR="007B5D76" w:rsidRPr="006774D3" w:rsidRDefault="007B5D76" w:rsidP="00FA5D6F">
            <w:pPr>
              <w:keepNext/>
              <w:tabs>
                <w:tab w:val="left" w:pos="180"/>
              </w:tabs>
              <w:ind w:left="180" w:hanging="180"/>
              <w:outlineLvl w:val="0"/>
              <w:rPr>
                <w:color w:val="000000"/>
                <w:sz w:val="22"/>
                <w:szCs w:val="22"/>
              </w:rPr>
            </w:pPr>
            <w:r w:rsidRPr="006774D3">
              <w:rPr>
                <w:color w:val="000000"/>
                <w:sz w:val="22"/>
                <w:szCs w:val="22"/>
              </w:rPr>
              <w:tab/>
              <w:t>Engar vísbendingar um hvítblæði (NEL)</w:t>
            </w:r>
          </w:p>
        </w:tc>
        <w:tc>
          <w:tcPr>
            <w:tcW w:w="2100" w:type="dxa"/>
            <w:tcBorders>
              <w:top w:val="nil"/>
              <w:bottom w:val="nil"/>
            </w:tcBorders>
          </w:tcPr>
          <w:p w14:paraId="05B8B8E4" w14:textId="77777777" w:rsidR="007B5D76" w:rsidRPr="006774D3" w:rsidRDefault="007B5D76" w:rsidP="00FA5D6F">
            <w:pPr>
              <w:keepNext/>
              <w:jc w:val="center"/>
              <w:outlineLvl w:val="0"/>
              <w:rPr>
                <w:color w:val="000000"/>
                <w:sz w:val="22"/>
                <w:szCs w:val="22"/>
              </w:rPr>
            </w:pPr>
            <w:r w:rsidRPr="006774D3">
              <w:rPr>
                <w:color w:val="000000"/>
                <w:sz w:val="22"/>
                <w:szCs w:val="22"/>
              </w:rPr>
              <w:t>Á ekki við</w:t>
            </w:r>
          </w:p>
        </w:tc>
        <w:tc>
          <w:tcPr>
            <w:tcW w:w="2020" w:type="dxa"/>
            <w:tcBorders>
              <w:top w:val="nil"/>
              <w:bottom w:val="nil"/>
            </w:tcBorders>
          </w:tcPr>
          <w:p w14:paraId="05B8B8E5" w14:textId="77777777" w:rsidR="007B5D76" w:rsidRPr="006774D3" w:rsidRDefault="007B5D76" w:rsidP="00FA5D6F">
            <w:pPr>
              <w:keepNext/>
              <w:jc w:val="center"/>
              <w:outlineLvl w:val="0"/>
              <w:rPr>
                <w:color w:val="000000"/>
                <w:sz w:val="22"/>
                <w:szCs w:val="22"/>
              </w:rPr>
            </w:pPr>
            <w:r w:rsidRPr="006774D3">
              <w:rPr>
                <w:color w:val="000000"/>
                <w:sz w:val="22"/>
                <w:szCs w:val="22"/>
              </w:rPr>
              <w:t>12%</w:t>
            </w:r>
          </w:p>
        </w:tc>
        <w:tc>
          <w:tcPr>
            <w:tcW w:w="2137" w:type="dxa"/>
            <w:tcBorders>
              <w:top w:val="nil"/>
              <w:bottom w:val="nil"/>
            </w:tcBorders>
          </w:tcPr>
          <w:p w14:paraId="05B8B8E6" w14:textId="77777777" w:rsidR="007B5D76" w:rsidRPr="006774D3" w:rsidRDefault="007B5D76" w:rsidP="00FA5D6F">
            <w:pPr>
              <w:keepNext/>
              <w:jc w:val="center"/>
              <w:outlineLvl w:val="0"/>
              <w:rPr>
                <w:color w:val="000000"/>
                <w:sz w:val="22"/>
                <w:szCs w:val="22"/>
              </w:rPr>
            </w:pPr>
            <w:r w:rsidRPr="006774D3">
              <w:rPr>
                <w:color w:val="000000"/>
                <w:sz w:val="22"/>
                <w:szCs w:val="22"/>
              </w:rPr>
              <w:t>5%</w:t>
            </w:r>
          </w:p>
        </w:tc>
      </w:tr>
      <w:tr w:rsidR="007B5D76" w:rsidRPr="006774D3" w14:paraId="05B8B8EC" w14:textId="77777777" w:rsidTr="00FA5D6F">
        <w:trPr>
          <w:cantSplit/>
        </w:trPr>
        <w:tc>
          <w:tcPr>
            <w:tcW w:w="3076" w:type="dxa"/>
            <w:tcBorders>
              <w:top w:val="nil"/>
              <w:bottom w:val="single" w:sz="4" w:space="0" w:color="auto"/>
            </w:tcBorders>
          </w:tcPr>
          <w:p w14:paraId="05B8B8E8" w14:textId="77777777" w:rsidR="007B5D76" w:rsidRPr="006774D3" w:rsidRDefault="007B5D76" w:rsidP="00FA5D6F">
            <w:pPr>
              <w:keepNext/>
              <w:tabs>
                <w:tab w:val="left" w:pos="180"/>
              </w:tabs>
              <w:ind w:left="180" w:hanging="180"/>
              <w:outlineLvl w:val="0"/>
              <w:rPr>
                <w:color w:val="000000"/>
                <w:sz w:val="22"/>
                <w:szCs w:val="22"/>
              </w:rPr>
            </w:pPr>
            <w:r w:rsidRPr="006774D3">
              <w:rPr>
                <w:color w:val="000000"/>
                <w:sz w:val="22"/>
                <w:szCs w:val="22"/>
              </w:rPr>
              <w:tab/>
              <w:t>Aftur í stöðugan fasa (RTC)</w:t>
            </w:r>
          </w:p>
        </w:tc>
        <w:tc>
          <w:tcPr>
            <w:tcW w:w="2100" w:type="dxa"/>
            <w:tcBorders>
              <w:top w:val="nil"/>
              <w:bottom w:val="single" w:sz="4" w:space="0" w:color="auto"/>
            </w:tcBorders>
          </w:tcPr>
          <w:p w14:paraId="05B8B8E9" w14:textId="77777777" w:rsidR="007B5D76" w:rsidRPr="006774D3" w:rsidRDefault="007B5D76" w:rsidP="00FA5D6F">
            <w:pPr>
              <w:keepNext/>
              <w:jc w:val="center"/>
              <w:outlineLvl w:val="0"/>
              <w:rPr>
                <w:color w:val="000000"/>
                <w:sz w:val="22"/>
                <w:szCs w:val="22"/>
              </w:rPr>
            </w:pPr>
            <w:r w:rsidRPr="006774D3">
              <w:rPr>
                <w:color w:val="000000"/>
                <w:sz w:val="22"/>
                <w:szCs w:val="22"/>
              </w:rPr>
              <w:t>Á ekki við</w:t>
            </w:r>
          </w:p>
        </w:tc>
        <w:tc>
          <w:tcPr>
            <w:tcW w:w="2020" w:type="dxa"/>
            <w:tcBorders>
              <w:top w:val="nil"/>
              <w:bottom w:val="single" w:sz="4" w:space="0" w:color="auto"/>
            </w:tcBorders>
          </w:tcPr>
          <w:p w14:paraId="05B8B8EA" w14:textId="77777777" w:rsidR="007B5D76" w:rsidRPr="006774D3" w:rsidRDefault="007B5D76" w:rsidP="00FA5D6F">
            <w:pPr>
              <w:keepNext/>
              <w:jc w:val="center"/>
              <w:outlineLvl w:val="0"/>
              <w:rPr>
                <w:color w:val="000000"/>
                <w:sz w:val="22"/>
                <w:szCs w:val="22"/>
              </w:rPr>
            </w:pPr>
            <w:r w:rsidRPr="006774D3">
              <w:rPr>
                <w:color w:val="000000"/>
                <w:sz w:val="22"/>
                <w:szCs w:val="22"/>
              </w:rPr>
              <w:t>17%</w:t>
            </w:r>
          </w:p>
        </w:tc>
        <w:tc>
          <w:tcPr>
            <w:tcW w:w="2137" w:type="dxa"/>
            <w:tcBorders>
              <w:top w:val="nil"/>
              <w:bottom w:val="single" w:sz="4" w:space="0" w:color="auto"/>
            </w:tcBorders>
          </w:tcPr>
          <w:p w14:paraId="05B8B8EB" w14:textId="77777777" w:rsidR="007B5D76" w:rsidRPr="006774D3" w:rsidRDefault="007B5D76" w:rsidP="00FA5D6F">
            <w:pPr>
              <w:keepNext/>
              <w:jc w:val="center"/>
              <w:outlineLvl w:val="0"/>
              <w:rPr>
                <w:color w:val="000000"/>
                <w:sz w:val="22"/>
                <w:szCs w:val="22"/>
              </w:rPr>
            </w:pPr>
            <w:r w:rsidRPr="006774D3">
              <w:rPr>
                <w:color w:val="000000"/>
                <w:sz w:val="22"/>
                <w:szCs w:val="22"/>
              </w:rPr>
              <w:t>18%</w:t>
            </w:r>
          </w:p>
        </w:tc>
      </w:tr>
      <w:tr w:rsidR="007B5D76" w:rsidRPr="006774D3" w14:paraId="05B8B8F1" w14:textId="77777777" w:rsidTr="00FA5D6F">
        <w:trPr>
          <w:cantSplit/>
        </w:trPr>
        <w:tc>
          <w:tcPr>
            <w:tcW w:w="3076" w:type="dxa"/>
            <w:tcBorders>
              <w:top w:val="single" w:sz="4" w:space="0" w:color="auto"/>
              <w:bottom w:val="nil"/>
            </w:tcBorders>
          </w:tcPr>
          <w:p w14:paraId="05B8B8ED" w14:textId="77777777" w:rsidR="007B5D76" w:rsidRPr="006774D3" w:rsidRDefault="007B5D76" w:rsidP="00FA5D6F">
            <w:pPr>
              <w:keepNext/>
              <w:outlineLvl w:val="0"/>
              <w:rPr>
                <w:color w:val="000000"/>
                <w:sz w:val="22"/>
                <w:szCs w:val="22"/>
              </w:rPr>
            </w:pPr>
            <w:r w:rsidRPr="006774D3">
              <w:rPr>
                <w:color w:val="000000"/>
                <w:sz w:val="22"/>
                <w:szCs w:val="22"/>
              </w:rPr>
              <w:t>Meiriháttar litningasvörun</w:t>
            </w:r>
            <w:r w:rsidRPr="006774D3">
              <w:rPr>
                <w:color w:val="000000"/>
                <w:sz w:val="22"/>
                <w:szCs w:val="22"/>
                <w:vertAlign w:val="superscript"/>
              </w:rPr>
              <w:t>2</w:t>
            </w:r>
          </w:p>
        </w:tc>
        <w:tc>
          <w:tcPr>
            <w:tcW w:w="2100" w:type="dxa"/>
            <w:tcBorders>
              <w:top w:val="single" w:sz="4" w:space="0" w:color="auto"/>
              <w:bottom w:val="nil"/>
            </w:tcBorders>
          </w:tcPr>
          <w:p w14:paraId="05B8B8EE" w14:textId="77777777" w:rsidR="007B5D76" w:rsidRPr="006774D3" w:rsidRDefault="007B5D76" w:rsidP="00FA5D6F">
            <w:pPr>
              <w:keepNext/>
              <w:jc w:val="center"/>
              <w:outlineLvl w:val="0"/>
              <w:rPr>
                <w:color w:val="000000"/>
                <w:sz w:val="22"/>
                <w:szCs w:val="22"/>
              </w:rPr>
            </w:pPr>
            <w:r w:rsidRPr="006774D3">
              <w:rPr>
                <w:color w:val="000000"/>
                <w:sz w:val="22"/>
                <w:szCs w:val="22"/>
              </w:rPr>
              <w:t>65% (61,2</w:t>
            </w:r>
            <w:r w:rsidRPr="006774D3">
              <w:rPr>
                <w:color w:val="000000"/>
                <w:sz w:val="22"/>
                <w:szCs w:val="22"/>
              </w:rPr>
              <w:noBreakHyphen/>
              <w:t>69,5)</w:t>
            </w:r>
          </w:p>
        </w:tc>
        <w:tc>
          <w:tcPr>
            <w:tcW w:w="2020" w:type="dxa"/>
            <w:tcBorders>
              <w:top w:val="single" w:sz="4" w:space="0" w:color="auto"/>
              <w:bottom w:val="nil"/>
            </w:tcBorders>
          </w:tcPr>
          <w:p w14:paraId="05B8B8EF" w14:textId="77777777" w:rsidR="007B5D76" w:rsidRPr="006774D3" w:rsidRDefault="007B5D76" w:rsidP="00FA5D6F">
            <w:pPr>
              <w:keepNext/>
              <w:jc w:val="center"/>
              <w:outlineLvl w:val="0"/>
              <w:rPr>
                <w:color w:val="000000"/>
                <w:sz w:val="22"/>
                <w:szCs w:val="22"/>
              </w:rPr>
            </w:pPr>
            <w:r w:rsidRPr="006774D3">
              <w:rPr>
                <w:color w:val="000000"/>
                <w:sz w:val="22"/>
                <w:szCs w:val="22"/>
              </w:rPr>
              <w:t>28% (22,0</w:t>
            </w:r>
            <w:r w:rsidRPr="006774D3">
              <w:rPr>
                <w:color w:val="000000"/>
                <w:sz w:val="22"/>
                <w:szCs w:val="22"/>
              </w:rPr>
              <w:noBreakHyphen/>
              <w:t>33,9)</w:t>
            </w:r>
          </w:p>
        </w:tc>
        <w:tc>
          <w:tcPr>
            <w:tcW w:w="2137" w:type="dxa"/>
            <w:tcBorders>
              <w:top w:val="single" w:sz="4" w:space="0" w:color="auto"/>
              <w:bottom w:val="nil"/>
            </w:tcBorders>
          </w:tcPr>
          <w:p w14:paraId="05B8B8F0" w14:textId="77777777" w:rsidR="007B5D76" w:rsidRPr="006774D3" w:rsidRDefault="007B5D76" w:rsidP="00FA5D6F">
            <w:pPr>
              <w:keepNext/>
              <w:jc w:val="center"/>
              <w:outlineLvl w:val="0"/>
              <w:rPr>
                <w:color w:val="000000"/>
                <w:sz w:val="22"/>
                <w:szCs w:val="22"/>
              </w:rPr>
            </w:pPr>
            <w:r w:rsidRPr="006774D3">
              <w:rPr>
                <w:color w:val="000000"/>
                <w:sz w:val="22"/>
                <w:szCs w:val="22"/>
              </w:rPr>
              <w:t>15% (11,2</w:t>
            </w:r>
            <w:r w:rsidRPr="006774D3">
              <w:rPr>
                <w:color w:val="000000"/>
                <w:sz w:val="22"/>
                <w:szCs w:val="22"/>
              </w:rPr>
              <w:noBreakHyphen/>
              <w:t>20,4)</w:t>
            </w:r>
          </w:p>
        </w:tc>
      </w:tr>
      <w:tr w:rsidR="007B5D76" w:rsidRPr="006774D3" w14:paraId="05B8B8F6" w14:textId="77777777" w:rsidTr="00FA5D6F">
        <w:trPr>
          <w:cantSplit/>
        </w:trPr>
        <w:tc>
          <w:tcPr>
            <w:tcW w:w="3076" w:type="dxa"/>
            <w:tcBorders>
              <w:top w:val="nil"/>
              <w:bottom w:val="nil"/>
            </w:tcBorders>
          </w:tcPr>
          <w:p w14:paraId="05B8B8F2" w14:textId="77777777" w:rsidR="007B5D76" w:rsidRPr="006774D3" w:rsidRDefault="007B5D76" w:rsidP="00FA5D6F">
            <w:pPr>
              <w:keepNext/>
              <w:ind w:left="180"/>
              <w:outlineLvl w:val="0"/>
              <w:rPr>
                <w:color w:val="000000"/>
                <w:sz w:val="22"/>
                <w:szCs w:val="22"/>
              </w:rPr>
            </w:pPr>
            <w:r w:rsidRPr="006774D3">
              <w:rPr>
                <w:color w:val="000000"/>
                <w:sz w:val="22"/>
                <w:szCs w:val="22"/>
              </w:rPr>
              <w:t>Full</w:t>
            </w:r>
          </w:p>
        </w:tc>
        <w:tc>
          <w:tcPr>
            <w:tcW w:w="2100" w:type="dxa"/>
            <w:tcBorders>
              <w:top w:val="nil"/>
              <w:bottom w:val="nil"/>
            </w:tcBorders>
          </w:tcPr>
          <w:p w14:paraId="05B8B8F3" w14:textId="77777777" w:rsidR="007B5D76" w:rsidRPr="006774D3" w:rsidRDefault="007B5D76" w:rsidP="00FA5D6F">
            <w:pPr>
              <w:keepNext/>
              <w:jc w:val="center"/>
              <w:outlineLvl w:val="0"/>
              <w:rPr>
                <w:color w:val="000000"/>
                <w:sz w:val="22"/>
                <w:szCs w:val="22"/>
              </w:rPr>
            </w:pPr>
            <w:r w:rsidRPr="006774D3">
              <w:rPr>
                <w:color w:val="000000"/>
                <w:sz w:val="22"/>
                <w:szCs w:val="22"/>
              </w:rPr>
              <w:t>53%</w:t>
            </w:r>
          </w:p>
        </w:tc>
        <w:tc>
          <w:tcPr>
            <w:tcW w:w="2020" w:type="dxa"/>
            <w:tcBorders>
              <w:top w:val="nil"/>
              <w:bottom w:val="nil"/>
            </w:tcBorders>
          </w:tcPr>
          <w:p w14:paraId="05B8B8F4" w14:textId="77777777" w:rsidR="007B5D76" w:rsidRPr="006774D3" w:rsidRDefault="007B5D76" w:rsidP="00FA5D6F">
            <w:pPr>
              <w:keepNext/>
              <w:jc w:val="center"/>
              <w:outlineLvl w:val="0"/>
              <w:rPr>
                <w:color w:val="000000"/>
                <w:sz w:val="22"/>
                <w:szCs w:val="22"/>
              </w:rPr>
            </w:pPr>
            <w:r w:rsidRPr="006774D3">
              <w:rPr>
                <w:color w:val="000000"/>
                <w:sz w:val="22"/>
                <w:szCs w:val="22"/>
              </w:rPr>
              <w:t>20%</w:t>
            </w:r>
          </w:p>
        </w:tc>
        <w:tc>
          <w:tcPr>
            <w:tcW w:w="2137" w:type="dxa"/>
            <w:tcBorders>
              <w:top w:val="nil"/>
              <w:bottom w:val="nil"/>
            </w:tcBorders>
          </w:tcPr>
          <w:p w14:paraId="05B8B8F5" w14:textId="77777777" w:rsidR="007B5D76" w:rsidRPr="006774D3" w:rsidRDefault="007B5D76" w:rsidP="00FA5D6F">
            <w:pPr>
              <w:keepNext/>
              <w:jc w:val="center"/>
              <w:outlineLvl w:val="0"/>
              <w:rPr>
                <w:color w:val="000000"/>
                <w:sz w:val="22"/>
                <w:szCs w:val="22"/>
              </w:rPr>
            </w:pPr>
            <w:r w:rsidRPr="006774D3">
              <w:rPr>
                <w:color w:val="000000"/>
                <w:sz w:val="22"/>
                <w:szCs w:val="22"/>
              </w:rPr>
              <w:t>7%</w:t>
            </w:r>
          </w:p>
        </w:tc>
      </w:tr>
      <w:tr w:rsidR="007B5D76" w:rsidRPr="006774D3" w14:paraId="05B8B8FB" w14:textId="77777777" w:rsidTr="00FA5D6F">
        <w:trPr>
          <w:cantSplit/>
        </w:trPr>
        <w:tc>
          <w:tcPr>
            <w:tcW w:w="3076" w:type="dxa"/>
            <w:tcBorders>
              <w:top w:val="nil"/>
              <w:bottom w:val="nil"/>
            </w:tcBorders>
          </w:tcPr>
          <w:p w14:paraId="05B8B8F7" w14:textId="77777777" w:rsidR="007B5D76" w:rsidRPr="006774D3" w:rsidRDefault="007B5D76" w:rsidP="00FA5D6F">
            <w:pPr>
              <w:keepNext/>
              <w:ind w:left="180"/>
              <w:outlineLvl w:val="0"/>
              <w:rPr>
                <w:color w:val="000000"/>
                <w:sz w:val="22"/>
                <w:szCs w:val="22"/>
              </w:rPr>
            </w:pPr>
            <w:r w:rsidRPr="006774D3">
              <w:rPr>
                <w:color w:val="000000"/>
                <w:sz w:val="22"/>
                <w:szCs w:val="22"/>
              </w:rPr>
              <w:t>(Staðfest</w:t>
            </w:r>
            <w:r w:rsidRPr="006774D3">
              <w:rPr>
                <w:color w:val="000000"/>
                <w:sz w:val="22"/>
                <w:szCs w:val="22"/>
                <w:vertAlign w:val="superscript"/>
              </w:rPr>
              <w:t>3</w:t>
            </w:r>
            <w:r w:rsidRPr="006774D3">
              <w:rPr>
                <w:color w:val="000000"/>
                <w:sz w:val="22"/>
                <w:szCs w:val="22"/>
              </w:rPr>
              <w:t xml:space="preserve">) </w:t>
            </w:r>
            <w:r w:rsidRPr="006774D3">
              <w:rPr>
                <w:color w:val="000000"/>
                <w:sz w:val="22"/>
                <w:szCs w:val="22"/>
              </w:rPr>
              <w:sym w:font="Symbol" w:char="F05B"/>
            </w:r>
            <w:r w:rsidRPr="006774D3">
              <w:rPr>
                <w:color w:val="000000"/>
                <w:sz w:val="22"/>
                <w:szCs w:val="22"/>
              </w:rPr>
              <w:t>95% CI</w:t>
            </w:r>
            <w:r w:rsidRPr="006774D3">
              <w:rPr>
                <w:color w:val="000000"/>
                <w:sz w:val="22"/>
                <w:szCs w:val="22"/>
              </w:rPr>
              <w:sym w:font="Symbol" w:char="F05D"/>
            </w:r>
          </w:p>
        </w:tc>
        <w:tc>
          <w:tcPr>
            <w:tcW w:w="2100" w:type="dxa"/>
            <w:tcBorders>
              <w:top w:val="nil"/>
              <w:bottom w:val="nil"/>
            </w:tcBorders>
          </w:tcPr>
          <w:p w14:paraId="05B8B8F8" w14:textId="77777777" w:rsidR="007B5D76" w:rsidRPr="006774D3" w:rsidRDefault="007B5D76" w:rsidP="00FA5D6F">
            <w:pPr>
              <w:keepNext/>
              <w:jc w:val="center"/>
              <w:outlineLvl w:val="0"/>
              <w:rPr>
                <w:color w:val="000000"/>
                <w:sz w:val="22"/>
                <w:szCs w:val="22"/>
              </w:rPr>
            </w:pPr>
            <w:r w:rsidRPr="006774D3">
              <w:rPr>
                <w:color w:val="000000"/>
                <w:sz w:val="22"/>
                <w:szCs w:val="22"/>
              </w:rPr>
              <w:t xml:space="preserve">(43%) </w:t>
            </w:r>
            <w:r w:rsidRPr="006774D3">
              <w:rPr>
                <w:color w:val="000000"/>
                <w:sz w:val="22"/>
                <w:szCs w:val="22"/>
              </w:rPr>
              <w:sym w:font="Symbol" w:char="F05B"/>
            </w:r>
            <w:r w:rsidRPr="006774D3">
              <w:rPr>
                <w:color w:val="000000"/>
                <w:sz w:val="22"/>
                <w:szCs w:val="22"/>
              </w:rPr>
              <w:t>38,6</w:t>
            </w:r>
            <w:r w:rsidRPr="006774D3">
              <w:rPr>
                <w:color w:val="000000"/>
                <w:sz w:val="22"/>
                <w:szCs w:val="22"/>
              </w:rPr>
              <w:noBreakHyphen/>
              <w:t>47,2</w:t>
            </w:r>
            <w:r w:rsidRPr="006774D3">
              <w:rPr>
                <w:color w:val="000000"/>
                <w:sz w:val="22"/>
                <w:szCs w:val="22"/>
              </w:rPr>
              <w:sym w:font="Symbol" w:char="F05D"/>
            </w:r>
          </w:p>
        </w:tc>
        <w:tc>
          <w:tcPr>
            <w:tcW w:w="2020" w:type="dxa"/>
            <w:tcBorders>
              <w:top w:val="nil"/>
              <w:bottom w:val="nil"/>
            </w:tcBorders>
          </w:tcPr>
          <w:p w14:paraId="05B8B8F9" w14:textId="77777777" w:rsidR="007B5D76" w:rsidRPr="006774D3" w:rsidRDefault="007B5D76" w:rsidP="00FA5D6F">
            <w:pPr>
              <w:keepNext/>
              <w:jc w:val="center"/>
              <w:outlineLvl w:val="0"/>
              <w:rPr>
                <w:color w:val="000000"/>
                <w:sz w:val="22"/>
                <w:szCs w:val="22"/>
              </w:rPr>
            </w:pPr>
            <w:r w:rsidRPr="006774D3">
              <w:rPr>
                <w:color w:val="000000"/>
                <w:sz w:val="22"/>
                <w:szCs w:val="22"/>
              </w:rPr>
              <w:t xml:space="preserve">(16%) </w:t>
            </w:r>
            <w:r w:rsidRPr="006774D3">
              <w:rPr>
                <w:color w:val="000000"/>
                <w:sz w:val="22"/>
                <w:szCs w:val="22"/>
              </w:rPr>
              <w:sym w:font="Symbol" w:char="F05B"/>
            </w:r>
            <w:r w:rsidRPr="006774D3">
              <w:rPr>
                <w:color w:val="000000"/>
                <w:sz w:val="22"/>
                <w:szCs w:val="22"/>
              </w:rPr>
              <w:t>11,3</w:t>
            </w:r>
            <w:r w:rsidRPr="006774D3">
              <w:rPr>
                <w:color w:val="000000"/>
                <w:sz w:val="22"/>
                <w:szCs w:val="22"/>
              </w:rPr>
              <w:noBreakHyphen/>
              <w:t>21,0</w:t>
            </w:r>
            <w:r w:rsidRPr="006774D3">
              <w:rPr>
                <w:color w:val="000000"/>
                <w:sz w:val="22"/>
                <w:szCs w:val="22"/>
              </w:rPr>
              <w:sym w:font="Symbol" w:char="F05D"/>
            </w:r>
          </w:p>
        </w:tc>
        <w:tc>
          <w:tcPr>
            <w:tcW w:w="2137" w:type="dxa"/>
            <w:tcBorders>
              <w:top w:val="nil"/>
              <w:bottom w:val="nil"/>
            </w:tcBorders>
          </w:tcPr>
          <w:p w14:paraId="05B8B8FA" w14:textId="77777777" w:rsidR="007B5D76" w:rsidRPr="006774D3" w:rsidRDefault="007B5D76" w:rsidP="00FA5D6F">
            <w:pPr>
              <w:keepNext/>
              <w:jc w:val="center"/>
              <w:outlineLvl w:val="0"/>
              <w:rPr>
                <w:color w:val="000000"/>
                <w:sz w:val="22"/>
                <w:szCs w:val="22"/>
              </w:rPr>
            </w:pPr>
            <w:r w:rsidRPr="006774D3">
              <w:rPr>
                <w:color w:val="000000"/>
                <w:sz w:val="22"/>
                <w:szCs w:val="22"/>
              </w:rPr>
              <w:t>(2%) [0,6</w:t>
            </w:r>
            <w:r w:rsidRPr="006774D3">
              <w:rPr>
                <w:color w:val="000000"/>
                <w:sz w:val="22"/>
                <w:szCs w:val="22"/>
              </w:rPr>
              <w:noBreakHyphen/>
              <w:t>4,4]</w:t>
            </w:r>
          </w:p>
        </w:tc>
      </w:tr>
      <w:tr w:rsidR="007B5D76" w:rsidRPr="006774D3" w14:paraId="05B8B900" w14:textId="77777777" w:rsidTr="00FA5D6F">
        <w:trPr>
          <w:cantSplit/>
        </w:trPr>
        <w:tc>
          <w:tcPr>
            <w:tcW w:w="3076" w:type="dxa"/>
            <w:tcBorders>
              <w:top w:val="nil"/>
              <w:bottom w:val="single" w:sz="4" w:space="0" w:color="auto"/>
            </w:tcBorders>
          </w:tcPr>
          <w:p w14:paraId="05B8B8FC" w14:textId="77777777" w:rsidR="007B5D76" w:rsidRPr="006774D3" w:rsidRDefault="007B5D76" w:rsidP="00FA5D6F">
            <w:pPr>
              <w:keepNext/>
              <w:ind w:left="180"/>
              <w:outlineLvl w:val="0"/>
              <w:rPr>
                <w:color w:val="000000"/>
                <w:sz w:val="22"/>
                <w:szCs w:val="22"/>
              </w:rPr>
            </w:pPr>
            <w:r w:rsidRPr="006774D3">
              <w:rPr>
                <w:color w:val="000000"/>
                <w:sz w:val="22"/>
                <w:szCs w:val="22"/>
              </w:rPr>
              <w:t>Að hluta</w:t>
            </w:r>
          </w:p>
        </w:tc>
        <w:tc>
          <w:tcPr>
            <w:tcW w:w="2100" w:type="dxa"/>
            <w:tcBorders>
              <w:top w:val="nil"/>
              <w:bottom w:val="single" w:sz="4" w:space="0" w:color="auto"/>
            </w:tcBorders>
          </w:tcPr>
          <w:p w14:paraId="05B8B8FD" w14:textId="77777777" w:rsidR="007B5D76" w:rsidRPr="006774D3" w:rsidRDefault="007B5D76" w:rsidP="00FA5D6F">
            <w:pPr>
              <w:keepNext/>
              <w:jc w:val="center"/>
              <w:outlineLvl w:val="0"/>
              <w:rPr>
                <w:color w:val="000000"/>
                <w:sz w:val="22"/>
                <w:szCs w:val="22"/>
              </w:rPr>
            </w:pPr>
            <w:r w:rsidRPr="006774D3">
              <w:rPr>
                <w:color w:val="000000"/>
                <w:sz w:val="22"/>
                <w:szCs w:val="22"/>
              </w:rPr>
              <w:t>12%</w:t>
            </w:r>
          </w:p>
        </w:tc>
        <w:tc>
          <w:tcPr>
            <w:tcW w:w="2020" w:type="dxa"/>
            <w:tcBorders>
              <w:top w:val="nil"/>
              <w:bottom w:val="single" w:sz="4" w:space="0" w:color="auto"/>
            </w:tcBorders>
          </w:tcPr>
          <w:p w14:paraId="05B8B8FE" w14:textId="77777777" w:rsidR="007B5D76" w:rsidRPr="006774D3" w:rsidRDefault="007B5D76" w:rsidP="00FA5D6F">
            <w:pPr>
              <w:keepNext/>
              <w:jc w:val="center"/>
              <w:outlineLvl w:val="0"/>
              <w:rPr>
                <w:color w:val="000000"/>
                <w:sz w:val="22"/>
                <w:szCs w:val="22"/>
              </w:rPr>
            </w:pPr>
            <w:r w:rsidRPr="006774D3">
              <w:rPr>
                <w:color w:val="000000"/>
                <w:sz w:val="22"/>
                <w:szCs w:val="22"/>
              </w:rPr>
              <w:t>7%</w:t>
            </w:r>
          </w:p>
        </w:tc>
        <w:tc>
          <w:tcPr>
            <w:tcW w:w="2137" w:type="dxa"/>
            <w:tcBorders>
              <w:top w:val="nil"/>
              <w:bottom w:val="single" w:sz="4" w:space="0" w:color="auto"/>
            </w:tcBorders>
          </w:tcPr>
          <w:p w14:paraId="05B8B8FF" w14:textId="77777777" w:rsidR="007B5D76" w:rsidRPr="006774D3" w:rsidRDefault="007B5D76" w:rsidP="00FA5D6F">
            <w:pPr>
              <w:keepNext/>
              <w:jc w:val="center"/>
              <w:outlineLvl w:val="0"/>
              <w:rPr>
                <w:color w:val="000000"/>
                <w:sz w:val="22"/>
                <w:szCs w:val="22"/>
              </w:rPr>
            </w:pPr>
            <w:r w:rsidRPr="006774D3">
              <w:rPr>
                <w:color w:val="000000"/>
                <w:sz w:val="22"/>
                <w:szCs w:val="22"/>
              </w:rPr>
              <w:t>8%</w:t>
            </w:r>
          </w:p>
        </w:tc>
      </w:tr>
      <w:tr w:rsidR="007B5D76" w:rsidRPr="006774D3" w14:paraId="05B8B902" w14:textId="77777777" w:rsidTr="00FA5D6F">
        <w:trPr>
          <w:cantSplit/>
        </w:trPr>
        <w:tc>
          <w:tcPr>
            <w:tcW w:w="9333" w:type="dxa"/>
            <w:gridSpan w:val="4"/>
            <w:tcBorders>
              <w:top w:val="nil"/>
              <w:bottom w:val="nil"/>
            </w:tcBorders>
          </w:tcPr>
          <w:p w14:paraId="05B8B901" w14:textId="77777777" w:rsidR="007B5D76" w:rsidRPr="006774D3" w:rsidRDefault="007B5D76" w:rsidP="00FA5D6F">
            <w:pPr>
              <w:pStyle w:val="Authors"/>
              <w:spacing w:before="0"/>
              <w:outlineLvl w:val="0"/>
              <w:rPr>
                <w:rFonts w:ascii="Times New Roman" w:hAnsi="Times New Roman"/>
                <w:color w:val="000000"/>
                <w:szCs w:val="22"/>
                <w:lang w:val="is-IS"/>
              </w:rPr>
            </w:pPr>
            <w:r w:rsidRPr="006774D3">
              <w:rPr>
                <w:rFonts w:ascii="Times New Roman" w:hAnsi="Times New Roman"/>
                <w:bCs/>
                <w:color w:val="000000"/>
                <w:szCs w:val="22"/>
                <w:vertAlign w:val="superscript"/>
                <w:lang w:val="is-IS"/>
              </w:rPr>
              <w:t>1</w:t>
            </w:r>
            <w:r w:rsidRPr="006774D3">
              <w:rPr>
                <w:rFonts w:ascii="Times New Roman" w:hAnsi="Times New Roman"/>
                <w:bCs/>
                <w:color w:val="000000"/>
                <w:szCs w:val="22"/>
                <w:lang w:val="is-IS"/>
              </w:rPr>
              <w:t xml:space="preserve"> </w:t>
            </w:r>
            <w:r w:rsidRPr="006774D3">
              <w:rPr>
                <w:rFonts w:ascii="Times New Roman" w:hAnsi="Times New Roman"/>
                <w:b/>
                <w:color w:val="000000"/>
                <w:szCs w:val="22"/>
                <w:lang w:val="is-IS"/>
              </w:rPr>
              <w:t>Skilmerki blóðsvörunar (öll svörun skal staðfest eftir ≥ 4 vikur):</w:t>
            </w:r>
          </w:p>
        </w:tc>
      </w:tr>
      <w:tr w:rsidR="007B5D76" w:rsidRPr="006774D3" w14:paraId="05B8B904" w14:textId="77777777" w:rsidTr="00FA5D6F">
        <w:trPr>
          <w:cantSplit/>
        </w:trPr>
        <w:tc>
          <w:tcPr>
            <w:tcW w:w="9333" w:type="dxa"/>
            <w:gridSpan w:val="4"/>
            <w:tcBorders>
              <w:top w:val="nil"/>
              <w:bottom w:val="nil"/>
            </w:tcBorders>
          </w:tcPr>
          <w:p w14:paraId="05B8B903" w14:textId="77777777" w:rsidR="007B5D76" w:rsidRPr="006774D3" w:rsidRDefault="007B5D76" w:rsidP="00FA5D6F">
            <w:pPr>
              <w:keepNext/>
              <w:tabs>
                <w:tab w:val="left" w:pos="540"/>
              </w:tabs>
              <w:ind w:left="540" w:hanging="540"/>
              <w:outlineLvl w:val="0"/>
              <w:rPr>
                <w:color w:val="000000"/>
                <w:sz w:val="22"/>
                <w:szCs w:val="22"/>
              </w:rPr>
            </w:pPr>
            <w:r w:rsidRPr="006774D3">
              <w:rPr>
                <w:color w:val="000000"/>
                <w:sz w:val="22"/>
                <w:szCs w:val="22"/>
              </w:rPr>
              <w:t>CHR:</w:t>
            </w:r>
            <w:r w:rsidRPr="006774D3">
              <w:rPr>
                <w:color w:val="000000"/>
                <w:sz w:val="22"/>
                <w:szCs w:val="22"/>
              </w:rPr>
              <w:tab/>
              <w:t>Rannsókn 0110 [WCB &lt; 10 x 10</w:t>
            </w:r>
            <w:r w:rsidRPr="006774D3">
              <w:rPr>
                <w:color w:val="000000"/>
                <w:sz w:val="22"/>
                <w:szCs w:val="22"/>
                <w:vertAlign w:val="superscript"/>
              </w:rPr>
              <w:t>9</w:t>
            </w:r>
            <w:r w:rsidRPr="006774D3">
              <w:rPr>
                <w:color w:val="000000"/>
                <w:sz w:val="22"/>
                <w:szCs w:val="22"/>
              </w:rPr>
              <w:t>/l, blóðflögur &lt; 450 x 10</w:t>
            </w:r>
            <w:r w:rsidRPr="006774D3">
              <w:rPr>
                <w:color w:val="000000"/>
                <w:sz w:val="22"/>
                <w:szCs w:val="22"/>
                <w:vertAlign w:val="superscript"/>
              </w:rPr>
              <w:t>9</w:t>
            </w:r>
            <w:r w:rsidRPr="006774D3">
              <w:rPr>
                <w:color w:val="000000"/>
                <w:sz w:val="22"/>
                <w:szCs w:val="22"/>
              </w:rPr>
              <w:t>/l, merglingar+miðmerglingar &lt; 5% í blóði, engar kímfrumur (blasts) og formerglingar í blóði, blákyrningar &lt; 20%, engin utanmergs</w:t>
            </w:r>
            <w:r w:rsidRPr="006774D3">
              <w:rPr>
                <w:color w:val="000000"/>
                <w:sz w:val="22"/>
                <w:szCs w:val="22"/>
              </w:rPr>
              <w:softHyphen/>
              <w:t>tengsl] og í rannsóknum 0102 og 0109 [ANC ≥ 1,5 x 10</w:t>
            </w:r>
            <w:r w:rsidRPr="006774D3">
              <w:rPr>
                <w:color w:val="000000"/>
                <w:sz w:val="22"/>
                <w:szCs w:val="22"/>
                <w:vertAlign w:val="superscript"/>
              </w:rPr>
              <w:t>9</w:t>
            </w:r>
            <w:r w:rsidRPr="006774D3">
              <w:rPr>
                <w:color w:val="000000"/>
                <w:sz w:val="22"/>
                <w:szCs w:val="22"/>
              </w:rPr>
              <w:t>/l, blóðflögur ≥ 100 x 10</w:t>
            </w:r>
            <w:r w:rsidRPr="006774D3">
              <w:rPr>
                <w:color w:val="000000"/>
                <w:sz w:val="22"/>
                <w:szCs w:val="22"/>
                <w:vertAlign w:val="superscript"/>
              </w:rPr>
              <w:t>9</w:t>
            </w:r>
            <w:r w:rsidRPr="006774D3">
              <w:rPr>
                <w:color w:val="000000"/>
                <w:sz w:val="22"/>
                <w:szCs w:val="22"/>
              </w:rPr>
              <w:t>/l, engar blóðkímfrumur, BM kímfrumur (blasts) &lt; 5% og enginn sjúkdómur utan mergs].</w:t>
            </w:r>
          </w:p>
        </w:tc>
      </w:tr>
      <w:tr w:rsidR="007B5D76" w:rsidRPr="006774D3" w14:paraId="05B8B906" w14:textId="77777777" w:rsidTr="00FA5D6F">
        <w:trPr>
          <w:cantSplit/>
        </w:trPr>
        <w:tc>
          <w:tcPr>
            <w:tcW w:w="9333" w:type="dxa"/>
            <w:gridSpan w:val="4"/>
            <w:tcBorders>
              <w:top w:val="nil"/>
              <w:bottom w:val="nil"/>
            </w:tcBorders>
          </w:tcPr>
          <w:p w14:paraId="05B8B905" w14:textId="77777777" w:rsidR="007B5D76" w:rsidRPr="006774D3" w:rsidRDefault="007B5D76" w:rsidP="00FA5D6F">
            <w:pPr>
              <w:keepNext/>
              <w:tabs>
                <w:tab w:val="left" w:pos="540"/>
              </w:tabs>
              <w:ind w:left="540" w:hanging="540"/>
              <w:outlineLvl w:val="0"/>
              <w:rPr>
                <w:color w:val="000000"/>
                <w:sz w:val="22"/>
                <w:szCs w:val="22"/>
              </w:rPr>
            </w:pPr>
            <w:r w:rsidRPr="006774D3">
              <w:rPr>
                <w:color w:val="000000"/>
                <w:sz w:val="22"/>
                <w:szCs w:val="22"/>
              </w:rPr>
              <w:t>NEL</w:t>
            </w:r>
            <w:r w:rsidRPr="006774D3">
              <w:rPr>
                <w:color w:val="000000"/>
                <w:sz w:val="22"/>
                <w:szCs w:val="22"/>
              </w:rPr>
              <w:tab/>
              <w:t>Sömu skilmerki og fyrir CHR en ANC ≥ 1 x 10</w:t>
            </w:r>
            <w:r w:rsidRPr="006774D3">
              <w:rPr>
                <w:color w:val="000000"/>
                <w:sz w:val="22"/>
                <w:szCs w:val="22"/>
                <w:vertAlign w:val="superscript"/>
              </w:rPr>
              <w:t>9</w:t>
            </w:r>
            <w:r w:rsidRPr="006774D3">
              <w:rPr>
                <w:color w:val="000000"/>
                <w:sz w:val="22"/>
                <w:szCs w:val="22"/>
              </w:rPr>
              <w:t>/l og blóðflögur ≥ 20 x 10</w:t>
            </w:r>
            <w:r w:rsidRPr="006774D3">
              <w:rPr>
                <w:color w:val="000000"/>
                <w:sz w:val="22"/>
                <w:szCs w:val="22"/>
                <w:vertAlign w:val="superscript"/>
              </w:rPr>
              <w:t>9</w:t>
            </w:r>
            <w:r w:rsidRPr="006774D3">
              <w:rPr>
                <w:color w:val="000000"/>
                <w:sz w:val="22"/>
                <w:szCs w:val="22"/>
              </w:rPr>
              <w:t>/l (einungis 0102 og 0109).</w:t>
            </w:r>
          </w:p>
        </w:tc>
      </w:tr>
      <w:tr w:rsidR="007B5D76" w:rsidRPr="006774D3" w14:paraId="05B8B908" w14:textId="77777777" w:rsidTr="00FA5D6F">
        <w:trPr>
          <w:cantSplit/>
        </w:trPr>
        <w:tc>
          <w:tcPr>
            <w:tcW w:w="9333" w:type="dxa"/>
            <w:gridSpan w:val="4"/>
            <w:tcBorders>
              <w:top w:val="nil"/>
              <w:bottom w:val="nil"/>
            </w:tcBorders>
          </w:tcPr>
          <w:p w14:paraId="05B8B907" w14:textId="77777777" w:rsidR="007B5D76" w:rsidRPr="006774D3" w:rsidRDefault="007B5D76" w:rsidP="00FA5D6F">
            <w:pPr>
              <w:keepNext/>
              <w:tabs>
                <w:tab w:val="left" w:pos="540"/>
              </w:tabs>
              <w:ind w:left="540" w:hanging="540"/>
              <w:outlineLvl w:val="0"/>
              <w:rPr>
                <w:color w:val="000000"/>
                <w:sz w:val="22"/>
                <w:szCs w:val="22"/>
              </w:rPr>
            </w:pPr>
            <w:r w:rsidRPr="006774D3">
              <w:rPr>
                <w:color w:val="000000"/>
                <w:sz w:val="22"/>
                <w:szCs w:val="22"/>
              </w:rPr>
              <w:t>RTC</w:t>
            </w:r>
            <w:r w:rsidRPr="006774D3">
              <w:rPr>
                <w:color w:val="000000"/>
                <w:sz w:val="22"/>
                <w:szCs w:val="22"/>
              </w:rPr>
              <w:tab/>
              <w:t>&lt; 15% BM og PB kímfrumur (blasts) &lt; 30% kímfrumur (blasts)+formerglingar í BM og PB, &lt; 20% blákyrningar í PB, enginn sjúkdómur utan mergs, milta og lifrar (einungis fyrir 0102 og 0109).</w:t>
            </w:r>
          </w:p>
        </w:tc>
      </w:tr>
      <w:tr w:rsidR="007B5D76" w:rsidRPr="006774D3" w14:paraId="05B8B90A" w14:textId="77777777" w:rsidTr="00FA5D6F">
        <w:trPr>
          <w:cantSplit/>
        </w:trPr>
        <w:tc>
          <w:tcPr>
            <w:tcW w:w="9333" w:type="dxa"/>
            <w:gridSpan w:val="4"/>
            <w:tcBorders>
              <w:top w:val="nil"/>
              <w:bottom w:val="nil"/>
            </w:tcBorders>
          </w:tcPr>
          <w:p w14:paraId="05B8B909" w14:textId="77777777" w:rsidR="007B5D76" w:rsidRPr="006774D3" w:rsidRDefault="007B5D76" w:rsidP="00FA5D6F">
            <w:pPr>
              <w:keepNext/>
              <w:outlineLvl w:val="0"/>
              <w:rPr>
                <w:color w:val="000000"/>
                <w:sz w:val="22"/>
                <w:szCs w:val="22"/>
              </w:rPr>
            </w:pPr>
            <w:r w:rsidRPr="006774D3">
              <w:rPr>
                <w:color w:val="000000"/>
                <w:sz w:val="22"/>
                <w:szCs w:val="22"/>
              </w:rPr>
              <w:t>BM = beinmergur, PB = blóð (peripheral blood)</w:t>
            </w:r>
          </w:p>
        </w:tc>
      </w:tr>
      <w:tr w:rsidR="007B5D76" w:rsidRPr="006774D3" w14:paraId="05B8B90C" w14:textId="77777777" w:rsidTr="00FA5D6F">
        <w:trPr>
          <w:cantSplit/>
        </w:trPr>
        <w:tc>
          <w:tcPr>
            <w:tcW w:w="9333" w:type="dxa"/>
            <w:gridSpan w:val="4"/>
            <w:tcBorders>
              <w:top w:val="nil"/>
              <w:bottom w:val="nil"/>
            </w:tcBorders>
          </w:tcPr>
          <w:p w14:paraId="05B8B90B" w14:textId="77777777" w:rsidR="007B5D76" w:rsidRPr="006774D3" w:rsidRDefault="007B5D76" w:rsidP="00FA5D6F">
            <w:pPr>
              <w:keepNext/>
              <w:outlineLvl w:val="0"/>
              <w:rPr>
                <w:color w:val="000000"/>
                <w:sz w:val="22"/>
                <w:szCs w:val="22"/>
              </w:rPr>
            </w:pPr>
            <w:r w:rsidRPr="006774D3">
              <w:rPr>
                <w:bCs/>
                <w:color w:val="000000"/>
                <w:sz w:val="22"/>
                <w:szCs w:val="22"/>
                <w:vertAlign w:val="superscript"/>
              </w:rPr>
              <w:t>2</w:t>
            </w:r>
            <w:r w:rsidRPr="006774D3">
              <w:rPr>
                <w:bCs/>
                <w:color w:val="000000"/>
                <w:sz w:val="22"/>
                <w:szCs w:val="22"/>
              </w:rPr>
              <w:t xml:space="preserve"> </w:t>
            </w:r>
            <w:r w:rsidRPr="006774D3">
              <w:rPr>
                <w:b/>
                <w:color w:val="000000"/>
                <w:sz w:val="22"/>
                <w:szCs w:val="22"/>
              </w:rPr>
              <w:t>Skilmerki litningasvörunar:</w:t>
            </w:r>
          </w:p>
        </w:tc>
      </w:tr>
      <w:tr w:rsidR="007B5D76" w:rsidRPr="006774D3" w14:paraId="05B8B90E" w14:textId="77777777" w:rsidTr="00FA5D6F">
        <w:trPr>
          <w:cantSplit/>
        </w:trPr>
        <w:tc>
          <w:tcPr>
            <w:tcW w:w="9333" w:type="dxa"/>
            <w:gridSpan w:val="4"/>
            <w:tcBorders>
              <w:top w:val="nil"/>
              <w:bottom w:val="nil"/>
            </w:tcBorders>
          </w:tcPr>
          <w:p w14:paraId="05B8B90D" w14:textId="77777777" w:rsidR="007B5D76" w:rsidRPr="006774D3" w:rsidRDefault="007B5D76" w:rsidP="00FA5D6F">
            <w:pPr>
              <w:keepNext/>
              <w:outlineLvl w:val="0"/>
              <w:rPr>
                <w:color w:val="000000"/>
                <w:sz w:val="22"/>
                <w:szCs w:val="22"/>
              </w:rPr>
            </w:pPr>
            <w:r w:rsidRPr="006774D3">
              <w:rPr>
                <w:color w:val="000000"/>
                <w:sz w:val="22"/>
                <w:szCs w:val="22"/>
              </w:rPr>
              <w:t>Meiriháttar svörun sameinar bæði full</w:t>
            </w:r>
            <w:r w:rsidR="00172F56" w:rsidRPr="006774D3">
              <w:rPr>
                <w:color w:val="000000"/>
                <w:sz w:val="22"/>
                <w:szCs w:val="22"/>
              </w:rPr>
              <w:t>a</w:t>
            </w:r>
            <w:r w:rsidRPr="006774D3">
              <w:rPr>
                <w:color w:val="000000"/>
                <w:sz w:val="22"/>
                <w:szCs w:val="22"/>
              </w:rPr>
              <w:t xml:space="preserve"> svörun og svörun að hluta: Full (0% Ph+ metafasar), að hluta (1</w:t>
            </w:r>
            <w:r w:rsidRPr="006774D3">
              <w:rPr>
                <w:color w:val="000000"/>
                <w:sz w:val="22"/>
                <w:szCs w:val="22"/>
              </w:rPr>
              <w:noBreakHyphen/>
              <w:t>35%)</w:t>
            </w:r>
          </w:p>
        </w:tc>
      </w:tr>
      <w:tr w:rsidR="007B5D76" w:rsidRPr="006774D3" w14:paraId="05B8B910" w14:textId="77777777" w:rsidTr="00FA5D6F">
        <w:trPr>
          <w:cantSplit/>
        </w:trPr>
        <w:tc>
          <w:tcPr>
            <w:tcW w:w="9333" w:type="dxa"/>
            <w:gridSpan w:val="4"/>
            <w:tcBorders>
              <w:top w:val="nil"/>
              <w:bottom w:val="single" w:sz="4" w:space="0" w:color="auto"/>
            </w:tcBorders>
          </w:tcPr>
          <w:p w14:paraId="05B8B90F" w14:textId="77777777" w:rsidR="007B5D76" w:rsidRPr="006774D3" w:rsidRDefault="007B5D76" w:rsidP="00FA5D6F">
            <w:pPr>
              <w:outlineLvl w:val="0"/>
              <w:rPr>
                <w:color w:val="000000"/>
                <w:sz w:val="22"/>
                <w:szCs w:val="22"/>
              </w:rPr>
            </w:pPr>
            <w:r w:rsidRPr="006774D3">
              <w:rPr>
                <w:color w:val="000000"/>
                <w:sz w:val="22"/>
                <w:szCs w:val="22"/>
                <w:vertAlign w:val="superscript"/>
              </w:rPr>
              <w:t>3</w:t>
            </w:r>
            <w:r w:rsidRPr="006774D3">
              <w:rPr>
                <w:color w:val="000000"/>
                <w:sz w:val="22"/>
                <w:szCs w:val="22"/>
              </w:rPr>
              <w:t xml:space="preserve"> </w:t>
            </w:r>
            <w:r w:rsidR="00172F56" w:rsidRPr="006774D3">
              <w:rPr>
                <w:color w:val="000000"/>
                <w:sz w:val="22"/>
                <w:szCs w:val="22"/>
              </w:rPr>
              <w:t xml:space="preserve">Full </w:t>
            </w:r>
            <w:r w:rsidRPr="006774D3">
              <w:rPr>
                <w:color w:val="000000"/>
                <w:sz w:val="22"/>
                <w:szCs w:val="22"/>
              </w:rPr>
              <w:t>litningasvörun staðfest af öðru beinmergs litningamati framkvæmd a.m.k. einum mánuði eftir fyrstu beinmergsrannsóknina.</w:t>
            </w:r>
          </w:p>
        </w:tc>
      </w:tr>
    </w:tbl>
    <w:p w14:paraId="05B8B911" w14:textId="77777777" w:rsidR="007B5D76" w:rsidRPr="006774D3" w:rsidRDefault="007B5D76" w:rsidP="00F77C66">
      <w:pPr>
        <w:pStyle w:val="Authors"/>
        <w:keepNext w:val="0"/>
        <w:spacing w:before="0"/>
        <w:rPr>
          <w:rFonts w:ascii="Times New Roman" w:hAnsi="Times New Roman"/>
          <w:color w:val="000000"/>
          <w:szCs w:val="22"/>
          <w:lang w:val="is-IS"/>
        </w:rPr>
      </w:pPr>
    </w:p>
    <w:p w14:paraId="05B8B912" w14:textId="77777777" w:rsidR="007B5D76" w:rsidRPr="006774D3" w:rsidRDefault="007B5D76" w:rsidP="00F77C66">
      <w:pPr>
        <w:rPr>
          <w:color w:val="000000"/>
          <w:sz w:val="22"/>
          <w:szCs w:val="22"/>
        </w:rPr>
      </w:pPr>
      <w:r w:rsidRPr="006774D3">
        <w:rPr>
          <w:i/>
          <w:color w:val="000000"/>
          <w:sz w:val="22"/>
          <w:szCs w:val="22"/>
        </w:rPr>
        <w:t>Börn</w:t>
      </w:r>
      <w:r w:rsidRPr="006774D3">
        <w:rPr>
          <w:iCs/>
          <w:color w:val="000000"/>
          <w:sz w:val="22"/>
          <w:szCs w:val="22"/>
        </w:rPr>
        <w:t xml:space="preserve">: </w:t>
      </w:r>
      <w:r w:rsidRPr="006774D3">
        <w:rPr>
          <w:color w:val="000000"/>
          <w:sz w:val="22"/>
          <w:szCs w:val="22"/>
        </w:rPr>
        <w:t xml:space="preserve">Alls tóku 26 börn undir 18 ára aldri með annaðhvort CML í stöðugum fasa (n=11) eða CML í bráðafasa eða Ph+ brátt hvítblæði (n=15) þátt í I. stigs rannsókn með skammtaaukningu smám saman. </w:t>
      </w:r>
      <w:r w:rsidRPr="006774D3">
        <w:rPr>
          <w:color w:val="000000"/>
          <w:sz w:val="22"/>
          <w:szCs w:val="22"/>
        </w:rPr>
        <w:lastRenderedPageBreak/>
        <w:t>Þetta var hópur með mikla formeðhöndlun, þar sem 46% höfðu fengið áður BMT og 73% höfðu áður fengið fjöllyfja krabbameinslyfjameðferð. Sjúklingar fengu Glivec í skömmtunum 260 mg/m²/sólar</w:t>
      </w:r>
      <w:r w:rsidRPr="006774D3">
        <w:rPr>
          <w:color w:val="000000"/>
          <w:sz w:val="22"/>
          <w:szCs w:val="22"/>
        </w:rPr>
        <w:softHyphen/>
        <w:t>hring (n=5), 340 mg/m²/sólarhring (n=9), 440 mg/m²/sólarhring (n=7) og 570 mg/m²/sólarhring (n=5). Af 9 sjúklingum með CML í stöðugum fasa og með fyrirliggjandi litningaupplýsingar fengu 4 (44%) fulla litningasvörun og 3 (33%) litningasvörun að hluta við MCyR tíðni af 77%.</w:t>
      </w:r>
    </w:p>
    <w:p w14:paraId="05B8B913" w14:textId="77777777" w:rsidR="007B5D76" w:rsidRPr="006774D3" w:rsidRDefault="007B5D76" w:rsidP="00F77C66">
      <w:pPr>
        <w:rPr>
          <w:color w:val="000000"/>
          <w:sz w:val="22"/>
          <w:szCs w:val="22"/>
        </w:rPr>
      </w:pPr>
    </w:p>
    <w:p w14:paraId="05B8B914" w14:textId="77777777" w:rsidR="007B5D76" w:rsidRPr="006774D3" w:rsidRDefault="007B5D76" w:rsidP="00F77C66">
      <w:pPr>
        <w:rPr>
          <w:color w:val="000000"/>
          <w:sz w:val="22"/>
          <w:szCs w:val="22"/>
        </w:rPr>
      </w:pPr>
      <w:r w:rsidRPr="006774D3">
        <w:rPr>
          <w:color w:val="000000"/>
          <w:sz w:val="22"/>
          <w:szCs w:val="22"/>
        </w:rPr>
        <w:t xml:space="preserve">Alls hefur 51 barn með nýlega greint og ómeðhöndlað CML í stöðugum fasa verið tekið inn í opna, fjölsetra II. stigs rannsókn á einum hópi (single arm). Sjúklingarnir fengu meðferð með Glivec 340 mg/m²/sólarhring, án hléa ef engar skammtatakmarkandi eiturverkanir komu fram. Meðferð með Glivec leiðir til skjótrar svörunar hjá nýlega greindum börnum með CML og eftir 8 vikna meðferð hafði náðst </w:t>
      </w:r>
      <w:r w:rsidR="00172F56" w:rsidRPr="006774D3">
        <w:rPr>
          <w:color w:val="000000"/>
          <w:sz w:val="22"/>
          <w:szCs w:val="22"/>
        </w:rPr>
        <w:t>heildar</w:t>
      </w:r>
      <w:r w:rsidRPr="006774D3">
        <w:rPr>
          <w:color w:val="000000"/>
          <w:sz w:val="22"/>
          <w:szCs w:val="22"/>
        </w:rPr>
        <w:t xml:space="preserve">blóðsvörun (complete haematological response: CHR) hjá 78% þeirra. Háu hlutfalli </w:t>
      </w:r>
      <w:r w:rsidR="00172F56" w:rsidRPr="006774D3">
        <w:rPr>
          <w:color w:val="000000"/>
          <w:sz w:val="22"/>
          <w:szCs w:val="22"/>
        </w:rPr>
        <w:t>heildar</w:t>
      </w:r>
      <w:r w:rsidRPr="006774D3">
        <w:rPr>
          <w:color w:val="000000"/>
          <w:sz w:val="22"/>
          <w:szCs w:val="22"/>
        </w:rPr>
        <w:t>blóðsvörunar fylgir full litningasvörun (CCyR: complete cytogenetic response) hjá 65%, sem er sambærilegt við árangur hjá fullorðnum. Að auki náðist litningasvörun að hluta (PCyR: partial cytogenetic response) hjá 16%, þar af meiriháttar litningasvörun (MCyR: major cytogenetic response) hjá 81%. Hjá meirihluta sjúklinga sem náðu full</w:t>
      </w:r>
      <w:r w:rsidR="003C5A06" w:rsidRPr="006774D3">
        <w:rPr>
          <w:color w:val="000000"/>
          <w:sz w:val="22"/>
          <w:szCs w:val="22"/>
        </w:rPr>
        <w:t xml:space="preserve">ri </w:t>
      </w:r>
      <w:r w:rsidRPr="006774D3">
        <w:rPr>
          <w:color w:val="000000"/>
          <w:sz w:val="22"/>
          <w:szCs w:val="22"/>
        </w:rPr>
        <w:t>litningasvörun kom full litningasvörun fram á 3. til 10. mánuði og miðgildi tíma að svörun, skv. Kaplan-Meier mati, er 5,6 mánuðir.</w:t>
      </w:r>
    </w:p>
    <w:p w14:paraId="05B8B915" w14:textId="77777777" w:rsidR="007B5D76" w:rsidRPr="006774D3" w:rsidRDefault="007B5D76" w:rsidP="00F77C66">
      <w:pPr>
        <w:rPr>
          <w:color w:val="000000"/>
          <w:sz w:val="22"/>
          <w:szCs w:val="22"/>
        </w:rPr>
      </w:pPr>
    </w:p>
    <w:p w14:paraId="05B8B916" w14:textId="77777777" w:rsidR="007B5D76" w:rsidRPr="006774D3" w:rsidRDefault="007B5D76" w:rsidP="00F77C66">
      <w:pPr>
        <w:rPr>
          <w:color w:val="000000"/>
          <w:sz w:val="22"/>
          <w:szCs w:val="22"/>
        </w:rPr>
      </w:pPr>
      <w:r w:rsidRPr="006774D3">
        <w:rPr>
          <w:color w:val="000000"/>
          <w:sz w:val="22"/>
          <w:szCs w:val="22"/>
        </w:rPr>
        <w:t>Lyfjastofnun Evrópu hefur fallið frá kröfu um að lagðar verði fram niðurstöður úr rannsóknum á Glivec hjá öllum undirhópum barna við Fíladelfíulitnings (bcr</w:t>
      </w:r>
      <w:r w:rsidRPr="006774D3">
        <w:rPr>
          <w:color w:val="000000"/>
          <w:sz w:val="22"/>
          <w:szCs w:val="22"/>
        </w:rPr>
        <w:noBreakHyphen/>
        <w:t>abl yfirfærslu) jákvætt langvarandi kyrningahvítblæði (sjá upplýsingar í kafla 4.2 um notkun handa börnum).</w:t>
      </w:r>
    </w:p>
    <w:p w14:paraId="05B8B917" w14:textId="77777777" w:rsidR="007B5D76" w:rsidRPr="006774D3" w:rsidRDefault="007B5D76" w:rsidP="00F77C66">
      <w:pPr>
        <w:rPr>
          <w:color w:val="000000"/>
          <w:sz w:val="22"/>
          <w:szCs w:val="22"/>
        </w:rPr>
      </w:pPr>
    </w:p>
    <w:p w14:paraId="05B8B918"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Ph+ ALL</w:t>
      </w:r>
    </w:p>
    <w:p w14:paraId="05B8B919" w14:textId="77777777" w:rsidR="007B5D76" w:rsidRPr="006774D3" w:rsidRDefault="007B5D76" w:rsidP="00FA5D6F">
      <w:pPr>
        <w:rPr>
          <w:color w:val="000000"/>
          <w:sz w:val="22"/>
          <w:szCs w:val="22"/>
        </w:rPr>
      </w:pPr>
      <w:r w:rsidRPr="006774D3">
        <w:rPr>
          <w:i/>
          <w:color w:val="000000"/>
          <w:sz w:val="22"/>
          <w:szCs w:val="22"/>
        </w:rPr>
        <w:t>Nýgreint Ph+ ALL</w:t>
      </w:r>
      <w:r w:rsidRPr="006774D3">
        <w:rPr>
          <w:color w:val="000000"/>
          <w:sz w:val="22"/>
          <w:szCs w:val="22"/>
        </w:rPr>
        <w:t>: Í samanburðarrannsókn (ADE10) þar sem imatinib var borið saman við meðferð sem byggðist á krabbameins</w:t>
      </w:r>
      <w:r w:rsidRPr="006774D3">
        <w:rPr>
          <w:color w:val="000000"/>
          <w:sz w:val="22"/>
          <w:szCs w:val="22"/>
        </w:rPr>
        <w:softHyphen/>
        <w:t xml:space="preserve">lyfjum (chemotherapy induction) hjá 55 nýgreindum sjúklingum sem voru 55 ára eða eldri, hafði imatinib eitt sér í för með sér marktækt hærra hlutfall </w:t>
      </w:r>
      <w:r w:rsidR="00172F56" w:rsidRPr="006774D3">
        <w:rPr>
          <w:color w:val="000000"/>
          <w:sz w:val="22"/>
          <w:szCs w:val="22"/>
        </w:rPr>
        <w:t>heildar</w:t>
      </w:r>
      <w:r w:rsidRPr="006774D3">
        <w:rPr>
          <w:color w:val="000000"/>
          <w:sz w:val="22"/>
          <w:szCs w:val="22"/>
        </w:rPr>
        <w:t>blóðsvörunar en krabba</w:t>
      </w:r>
      <w:r w:rsidRPr="006774D3">
        <w:rPr>
          <w:color w:val="000000"/>
          <w:sz w:val="22"/>
          <w:szCs w:val="22"/>
        </w:rPr>
        <w:softHyphen/>
        <w:t>meinslyfjameðferð (96,3% samanborið við 50%; p=0,0001). Þegar imatinib var notað sem síðasta meðferðar</w:t>
      </w:r>
      <w:r w:rsidRPr="006774D3">
        <w:rPr>
          <w:color w:val="000000"/>
          <w:sz w:val="22"/>
          <w:szCs w:val="22"/>
        </w:rPr>
        <w:softHyphen/>
        <w:t>úrræði (salvage therapy) handa sjúklingum sem svöruðu ekki eða illa krabbameins</w:t>
      </w:r>
      <w:r w:rsidRPr="006774D3">
        <w:rPr>
          <w:color w:val="000000"/>
          <w:sz w:val="22"/>
          <w:szCs w:val="22"/>
        </w:rPr>
        <w:softHyphen/>
        <w:t xml:space="preserve">lyfjameðferð, kom fram </w:t>
      </w:r>
      <w:r w:rsidR="00172F56" w:rsidRPr="006774D3">
        <w:rPr>
          <w:color w:val="000000"/>
          <w:sz w:val="22"/>
          <w:szCs w:val="22"/>
        </w:rPr>
        <w:t>heildar</w:t>
      </w:r>
      <w:r w:rsidRPr="006774D3">
        <w:rPr>
          <w:color w:val="000000"/>
          <w:sz w:val="22"/>
          <w:szCs w:val="22"/>
        </w:rPr>
        <w:t>blóðsvörun hjá 9 sjúklingum (81,8%) af 11. Þessi klínísku áhrif tengdust meiri minnkun bcr</w:t>
      </w:r>
      <w:r w:rsidRPr="006774D3">
        <w:rPr>
          <w:color w:val="000000"/>
          <w:sz w:val="22"/>
          <w:szCs w:val="22"/>
        </w:rPr>
        <w:noBreakHyphen/>
        <w:t>abl umritunar hjá sjúklingum sem fengu imatinib en þeim sem fengu krabbameinslyfjameðferð, eftir 2 vikna meðferð (p= 0,02). Allir sjúklingarnir fengu imatinib og upprætingarmeðferð með krabbameinslyfjum (consolidation chemotherapy) (sjá töflu </w:t>
      </w:r>
      <w:r w:rsidR="00F40B8C" w:rsidRPr="006774D3">
        <w:rPr>
          <w:color w:val="000000"/>
          <w:sz w:val="22"/>
          <w:szCs w:val="22"/>
        </w:rPr>
        <w:t>4</w:t>
      </w:r>
      <w:r w:rsidRPr="006774D3">
        <w:rPr>
          <w:color w:val="000000"/>
          <w:sz w:val="22"/>
          <w:szCs w:val="22"/>
        </w:rPr>
        <w:t>) eftir aðal</w:t>
      </w:r>
      <w:r w:rsidRPr="006774D3">
        <w:rPr>
          <w:color w:val="000000"/>
          <w:sz w:val="22"/>
          <w:szCs w:val="22"/>
        </w:rPr>
        <w:softHyphen/>
        <w:t>meðferð (induction) og bcr</w:t>
      </w:r>
      <w:r w:rsidRPr="006774D3">
        <w:rPr>
          <w:color w:val="000000"/>
          <w:sz w:val="22"/>
          <w:szCs w:val="22"/>
        </w:rPr>
        <w:noBreakHyphen/>
        <w:t>abl umritun var sambærileg hjá báðum hópunum eftir 8 vikur. Eins og ráð var fyrir gert, á grundvelli þess hvernig rannsóknin var hönnuð, sást enginn munur á lengd sjúkdóms</w:t>
      </w:r>
      <w:r w:rsidRPr="006774D3">
        <w:rPr>
          <w:color w:val="000000"/>
          <w:sz w:val="22"/>
          <w:szCs w:val="22"/>
        </w:rPr>
        <w:softHyphen/>
        <w:t>hlés, lifun án sjúkdómsins eða heildarlifun, enda þótt útkoman væri betri hjá sjúklingum með fulla sameindasvörun og lágmarks sjúkdómshreytur, bæði hvað varðar lengd sjúkdómshlés (p=0,01) og lifun án sjúkdómsins (p=0,02).</w:t>
      </w:r>
    </w:p>
    <w:p w14:paraId="05B8B91A" w14:textId="77777777" w:rsidR="007B5D76" w:rsidRPr="006774D3" w:rsidRDefault="007B5D76" w:rsidP="00F77C66">
      <w:pPr>
        <w:rPr>
          <w:color w:val="000000"/>
          <w:sz w:val="22"/>
          <w:szCs w:val="22"/>
        </w:rPr>
      </w:pPr>
    </w:p>
    <w:p w14:paraId="05B8B91B" w14:textId="77777777" w:rsidR="007B5D76" w:rsidRPr="006774D3" w:rsidRDefault="007B5D76" w:rsidP="00F77C66">
      <w:pPr>
        <w:rPr>
          <w:color w:val="000000"/>
          <w:sz w:val="22"/>
          <w:szCs w:val="22"/>
        </w:rPr>
      </w:pPr>
      <w:r w:rsidRPr="006774D3">
        <w:rPr>
          <w:color w:val="000000"/>
          <w:sz w:val="22"/>
          <w:szCs w:val="22"/>
        </w:rPr>
        <w:t>Niðurstöður úr hópi 211 sjúklinga með nýgreint Ph+ ALL, í fjórum klínískum rannsóknum án saman</w:t>
      </w:r>
      <w:r w:rsidRPr="006774D3">
        <w:rPr>
          <w:color w:val="000000"/>
          <w:sz w:val="22"/>
          <w:szCs w:val="22"/>
        </w:rPr>
        <w:softHyphen/>
        <w:t>burðar (AAU02, ADE04, AJP01 og AUS01) eru í samræmi við niðurstöðurnar sem lýst er hér að framan. Þegar imatinib var notað sem viðbót við meðferð sem byggist á krabbameinslyfjum (chemotherapy induction) (sjá töflu </w:t>
      </w:r>
      <w:r w:rsidR="00F40B8C" w:rsidRPr="006774D3">
        <w:rPr>
          <w:color w:val="000000"/>
          <w:sz w:val="22"/>
          <w:szCs w:val="22"/>
        </w:rPr>
        <w:t>4</w:t>
      </w:r>
      <w:r w:rsidRPr="006774D3">
        <w:rPr>
          <w:color w:val="000000"/>
          <w:sz w:val="22"/>
          <w:szCs w:val="22"/>
        </w:rPr>
        <w:t xml:space="preserve">) var hlutfall </w:t>
      </w:r>
      <w:r w:rsidR="00172F56" w:rsidRPr="006774D3">
        <w:rPr>
          <w:color w:val="000000"/>
          <w:sz w:val="22"/>
          <w:szCs w:val="22"/>
        </w:rPr>
        <w:t>heildar</w:t>
      </w:r>
      <w:r w:rsidRPr="006774D3">
        <w:rPr>
          <w:color w:val="000000"/>
          <w:sz w:val="22"/>
          <w:szCs w:val="22"/>
        </w:rPr>
        <w:t>blóðsvörunar 93% (147 af 158 sjúklingum sem unnt var að leggja mat á) og hlutfall meiriháttar litningasvörunar var 90% (19 af 21 sjúklingi sem unnt var að leggja mat á). Hlutfall full</w:t>
      </w:r>
      <w:r w:rsidR="00172F56" w:rsidRPr="006774D3">
        <w:rPr>
          <w:color w:val="000000"/>
          <w:sz w:val="22"/>
          <w:szCs w:val="22"/>
        </w:rPr>
        <w:t>rar</w:t>
      </w:r>
      <w:r w:rsidRPr="006774D3">
        <w:rPr>
          <w:color w:val="000000"/>
          <w:sz w:val="22"/>
          <w:szCs w:val="22"/>
        </w:rPr>
        <w:t xml:space="preserve"> sameindasvörunar var 48% (49 af 102 sjúklingum sem unnt var að leggja mat á). Lifun án sjúkdóms (disease</w:t>
      </w:r>
      <w:r w:rsidRPr="006774D3">
        <w:rPr>
          <w:color w:val="000000"/>
          <w:sz w:val="22"/>
          <w:szCs w:val="22"/>
        </w:rPr>
        <w:noBreakHyphen/>
        <w:t>free survival [DFS]) og heildarlifun (overall survival [OS]) var alltaf meiri en 1 ár og hafði yfirburði á sögulegan samanburð (DFS p&lt;0,001; OS p&lt; 0,0001) í tveimur rannsóknum (AJP01 og AUS01).</w:t>
      </w:r>
    </w:p>
    <w:p w14:paraId="05B8B91C" w14:textId="77777777" w:rsidR="007B5D76" w:rsidRPr="006774D3" w:rsidRDefault="007B5D76" w:rsidP="00F77C66">
      <w:pPr>
        <w:rPr>
          <w:color w:val="000000"/>
          <w:sz w:val="22"/>
          <w:szCs w:val="22"/>
        </w:rPr>
      </w:pPr>
    </w:p>
    <w:p w14:paraId="05B8B91D" w14:textId="77777777" w:rsidR="007B5D76" w:rsidRPr="006774D3" w:rsidRDefault="007B5D76" w:rsidP="00F77C66">
      <w:pPr>
        <w:keepNext/>
        <w:rPr>
          <w:b/>
          <w:color w:val="000000"/>
          <w:sz w:val="22"/>
          <w:szCs w:val="22"/>
        </w:rPr>
      </w:pPr>
      <w:r w:rsidRPr="006774D3">
        <w:rPr>
          <w:b/>
          <w:color w:val="000000"/>
          <w:sz w:val="22"/>
          <w:szCs w:val="22"/>
        </w:rPr>
        <w:lastRenderedPageBreak/>
        <w:t>Tafla </w:t>
      </w:r>
      <w:r w:rsidR="00F40B8C" w:rsidRPr="006774D3">
        <w:rPr>
          <w:b/>
          <w:color w:val="000000"/>
          <w:sz w:val="22"/>
          <w:szCs w:val="22"/>
        </w:rPr>
        <w:t>4</w:t>
      </w:r>
      <w:r w:rsidRPr="006774D3">
        <w:rPr>
          <w:b/>
          <w:color w:val="000000"/>
          <w:sz w:val="22"/>
          <w:szCs w:val="22"/>
        </w:rPr>
        <w:tab/>
        <w:t>Krabbameinslyfjameðferð samhliða imatinibi</w:t>
      </w:r>
    </w:p>
    <w:p w14:paraId="05B8B91E" w14:textId="77777777" w:rsidR="007B5D76" w:rsidRPr="006774D3" w:rsidRDefault="007B5D76" w:rsidP="00F77C66">
      <w:pPr>
        <w:keepNext/>
        <w:rPr>
          <w:color w:val="000000"/>
          <w:sz w:val="22"/>
          <w:szCs w:val="22"/>
        </w:rPr>
      </w:pPr>
    </w:p>
    <w:tbl>
      <w:tblPr>
        <w:tblW w:w="9094"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834"/>
      </w:tblGrid>
      <w:tr w:rsidR="007B5D76" w:rsidRPr="006774D3" w14:paraId="05B8B921" w14:textId="77777777" w:rsidTr="00822A75">
        <w:trPr>
          <w:cantSplit/>
        </w:trPr>
        <w:tc>
          <w:tcPr>
            <w:tcW w:w="2148" w:type="dxa"/>
            <w:tcBorders>
              <w:top w:val="single" w:sz="4" w:space="0" w:color="auto"/>
              <w:bottom w:val="single" w:sz="4" w:space="0" w:color="auto"/>
            </w:tcBorders>
          </w:tcPr>
          <w:p w14:paraId="05B8B91F"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b/>
                <w:color w:val="000000"/>
                <w:sz w:val="22"/>
                <w:szCs w:val="22"/>
              </w:rPr>
              <w:t>Rannsókn ADE10</w:t>
            </w:r>
          </w:p>
        </w:tc>
        <w:tc>
          <w:tcPr>
            <w:tcW w:w="6946" w:type="dxa"/>
            <w:gridSpan w:val="4"/>
            <w:tcBorders>
              <w:top w:val="single" w:sz="4" w:space="0" w:color="auto"/>
              <w:bottom w:val="single" w:sz="4" w:space="0" w:color="auto"/>
            </w:tcBorders>
          </w:tcPr>
          <w:p w14:paraId="05B8B920" w14:textId="77777777" w:rsidR="007B5D76" w:rsidRPr="006774D3" w:rsidRDefault="007B5D76" w:rsidP="00F77C66">
            <w:pPr>
              <w:pStyle w:val="Table"/>
              <w:keepLines w:val="0"/>
              <w:spacing w:before="0" w:after="0"/>
              <w:rPr>
                <w:rFonts w:ascii="Times New Roman" w:hAnsi="Times New Roman"/>
                <w:color w:val="000000"/>
                <w:sz w:val="22"/>
                <w:szCs w:val="22"/>
              </w:rPr>
            </w:pPr>
          </w:p>
        </w:tc>
      </w:tr>
      <w:tr w:rsidR="007B5D76" w:rsidRPr="006774D3" w14:paraId="05B8B926" w14:textId="77777777" w:rsidTr="00822A75">
        <w:trPr>
          <w:cantSplit/>
        </w:trPr>
        <w:tc>
          <w:tcPr>
            <w:tcW w:w="2148" w:type="dxa"/>
            <w:tcBorders>
              <w:top w:val="single" w:sz="4" w:space="0" w:color="auto"/>
              <w:bottom w:val="single" w:sz="4" w:space="0" w:color="auto"/>
            </w:tcBorders>
          </w:tcPr>
          <w:p w14:paraId="05B8B922"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Forkafli</w:t>
            </w:r>
          </w:p>
        </w:tc>
        <w:tc>
          <w:tcPr>
            <w:tcW w:w="6946" w:type="dxa"/>
            <w:gridSpan w:val="4"/>
            <w:tcBorders>
              <w:top w:val="single" w:sz="4" w:space="0" w:color="auto"/>
              <w:bottom w:val="single" w:sz="4" w:space="0" w:color="auto"/>
            </w:tcBorders>
          </w:tcPr>
          <w:p w14:paraId="05B8B923"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924"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200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3, 4, 5;</w:t>
            </w:r>
          </w:p>
          <w:p w14:paraId="05B8B925"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12 mg í mænuvökva, dag 1</w:t>
            </w:r>
          </w:p>
        </w:tc>
      </w:tr>
      <w:tr w:rsidR="007B5D76" w:rsidRPr="006774D3" w14:paraId="05B8B92D" w14:textId="77777777" w:rsidTr="00822A75">
        <w:trPr>
          <w:cantSplit/>
        </w:trPr>
        <w:tc>
          <w:tcPr>
            <w:tcW w:w="2148" w:type="dxa"/>
            <w:tcBorders>
              <w:top w:val="single" w:sz="4" w:space="0" w:color="auto"/>
              <w:bottom w:val="single" w:sz="4" w:space="0" w:color="auto"/>
            </w:tcBorders>
          </w:tcPr>
          <w:p w14:paraId="05B8B927"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Innleiðing sjúkdómshlés</w:t>
            </w:r>
          </w:p>
        </w:tc>
        <w:tc>
          <w:tcPr>
            <w:tcW w:w="6946" w:type="dxa"/>
            <w:gridSpan w:val="4"/>
            <w:tcBorders>
              <w:top w:val="single" w:sz="4" w:space="0" w:color="auto"/>
              <w:bottom w:val="single" w:sz="4" w:space="0" w:color="auto"/>
            </w:tcBorders>
          </w:tcPr>
          <w:p w14:paraId="05B8B928"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6</w:t>
            </w:r>
            <w:r w:rsidRPr="006774D3">
              <w:rPr>
                <w:rFonts w:ascii="Times New Roman" w:hAnsi="Times New Roman"/>
                <w:color w:val="000000"/>
                <w:sz w:val="22"/>
                <w:szCs w:val="22"/>
              </w:rPr>
              <w:noBreakHyphen/>
              <w:t>7, 13</w:t>
            </w:r>
            <w:r w:rsidRPr="006774D3">
              <w:rPr>
                <w:rFonts w:ascii="Times New Roman" w:hAnsi="Times New Roman"/>
                <w:color w:val="000000"/>
                <w:sz w:val="22"/>
                <w:szCs w:val="22"/>
              </w:rPr>
              <w:noBreakHyphen/>
              <w:t>16;</w:t>
            </w:r>
          </w:p>
          <w:p w14:paraId="05B8B929"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1 mg i.v., daga 7, 14;</w:t>
            </w:r>
          </w:p>
          <w:p w14:paraId="05B8B92A"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IDA 8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(0,5 klst.), daga 7, 8, 14, 15;</w:t>
            </w:r>
          </w:p>
          <w:p w14:paraId="05B8B92B"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500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i.v.(1 klst.) dag 1;</w:t>
            </w:r>
          </w:p>
          <w:p w14:paraId="05B8B92C"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22</w:t>
            </w:r>
            <w:r w:rsidRPr="006774D3">
              <w:rPr>
                <w:rFonts w:ascii="Times New Roman" w:hAnsi="Times New Roman"/>
                <w:color w:val="000000"/>
                <w:sz w:val="22"/>
                <w:szCs w:val="22"/>
              </w:rPr>
              <w:noBreakHyphen/>
              <w:t>25, 29</w:t>
            </w:r>
            <w:r w:rsidRPr="006774D3">
              <w:rPr>
                <w:rFonts w:ascii="Times New Roman" w:hAnsi="Times New Roman"/>
                <w:color w:val="000000"/>
                <w:sz w:val="22"/>
                <w:szCs w:val="22"/>
              </w:rPr>
              <w:noBreakHyphen/>
              <w:t>32</w:t>
            </w:r>
          </w:p>
        </w:tc>
      </w:tr>
      <w:tr w:rsidR="007B5D76" w:rsidRPr="006774D3" w14:paraId="05B8B931" w14:textId="77777777" w:rsidTr="00822A75">
        <w:trPr>
          <w:cantSplit/>
        </w:trPr>
        <w:tc>
          <w:tcPr>
            <w:tcW w:w="2148" w:type="dxa"/>
            <w:tcBorders>
              <w:top w:val="single" w:sz="4" w:space="0" w:color="auto"/>
              <w:bottom w:val="single" w:sz="4" w:space="0" w:color="auto"/>
            </w:tcBorders>
          </w:tcPr>
          <w:p w14:paraId="05B8B92E"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I, III, V</w:t>
            </w:r>
          </w:p>
        </w:tc>
        <w:tc>
          <w:tcPr>
            <w:tcW w:w="6946" w:type="dxa"/>
            <w:gridSpan w:val="4"/>
            <w:tcBorders>
              <w:top w:val="single" w:sz="4" w:space="0" w:color="auto"/>
              <w:bottom w:val="single" w:sz="4" w:space="0" w:color="auto"/>
            </w:tcBorders>
          </w:tcPr>
          <w:p w14:paraId="05B8B92F"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500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daga 1, 15;</w:t>
            </w:r>
          </w:p>
          <w:p w14:paraId="05B8B930" w14:textId="77777777" w:rsidR="007B5D76" w:rsidRPr="006774D3" w:rsidRDefault="007B5D76" w:rsidP="00F77C66">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6</w:t>
            </w:r>
            <w:r w:rsidRPr="006774D3">
              <w:rPr>
                <w:rFonts w:ascii="Times New Roman" w:hAnsi="Times New Roman"/>
                <w:color w:val="000000"/>
                <w:sz w:val="22"/>
                <w:szCs w:val="22"/>
              </w:rPr>
              <w:noBreakHyphen/>
              <w:t>MP 25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20</w:t>
            </w:r>
          </w:p>
        </w:tc>
      </w:tr>
      <w:tr w:rsidR="007B5D76" w:rsidRPr="006774D3" w14:paraId="05B8B935" w14:textId="77777777" w:rsidTr="00822A75">
        <w:trPr>
          <w:cantSplit/>
        </w:trPr>
        <w:tc>
          <w:tcPr>
            <w:tcW w:w="2148" w:type="dxa"/>
            <w:tcBorders>
              <w:top w:val="single" w:sz="4" w:space="0" w:color="auto"/>
              <w:bottom w:val="single" w:sz="4" w:space="0" w:color="auto"/>
            </w:tcBorders>
          </w:tcPr>
          <w:p w14:paraId="05B8B932"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II, IV</w:t>
            </w:r>
          </w:p>
        </w:tc>
        <w:tc>
          <w:tcPr>
            <w:tcW w:w="6946" w:type="dxa"/>
            <w:gridSpan w:val="4"/>
            <w:tcBorders>
              <w:top w:val="single" w:sz="4" w:space="0" w:color="auto"/>
              <w:bottom w:val="single" w:sz="4" w:space="0" w:color="auto"/>
            </w:tcBorders>
          </w:tcPr>
          <w:p w14:paraId="05B8B933"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Ara-C 75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1-5;</w:t>
            </w:r>
          </w:p>
          <w:p w14:paraId="05B8B934"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VM26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1-5</w:t>
            </w:r>
          </w:p>
        </w:tc>
      </w:tr>
      <w:tr w:rsidR="007B5D76" w:rsidRPr="006774D3" w14:paraId="05B8B93B" w14:textId="77777777" w:rsidTr="00822A75">
        <w:trPr>
          <w:cantSplit/>
        </w:trPr>
        <w:tc>
          <w:tcPr>
            <w:tcW w:w="2148" w:type="dxa"/>
            <w:tcBorders>
              <w:top w:val="single" w:sz="4" w:space="0" w:color="auto"/>
              <w:bottom w:val="single" w:sz="4" w:space="0" w:color="auto"/>
            </w:tcBorders>
          </w:tcPr>
          <w:p w14:paraId="05B8B936" w14:textId="77777777" w:rsidR="007B5D76" w:rsidRPr="006774D3" w:rsidRDefault="007B5D76" w:rsidP="00FA5D6F">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t>Rannsókn AAU02</w:t>
            </w:r>
          </w:p>
        </w:tc>
        <w:tc>
          <w:tcPr>
            <w:tcW w:w="2652" w:type="dxa"/>
            <w:tcBorders>
              <w:top w:val="single" w:sz="4" w:space="0" w:color="auto"/>
              <w:bottom w:val="single" w:sz="4" w:space="0" w:color="auto"/>
            </w:tcBorders>
          </w:tcPr>
          <w:p w14:paraId="05B8B937"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05B8B938"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939"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93A" w14:textId="77777777" w:rsidR="007B5D76" w:rsidRPr="006774D3" w:rsidRDefault="007B5D76" w:rsidP="00FA5D6F">
            <w:pPr>
              <w:pStyle w:val="Table"/>
              <w:keepLines w:val="0"/>
              <w:spacing w:before="0" w:after="0"/>
              <w:rPr>
                <w:rFonts w:ascii="Times New Roman" w:hAnsi="Times New Roman"/>
                <w:color w:val="000000"/>
                <w:sz w:val="22"/>
                <w:szCs w:val="22"/>
              </w:rPr>
            </w:pPr>
          </w:p>
        </w:tc>
      </w:tr>
      <w:tr w:rsidR="007B5D76" w:rsidRPr="006774D3" w14:paraId="05B8B945" w14:textId="77777777" w:rsidTr="00822A75">
        <w:trPr>
          <w:cantSplit/>
        </w:trPr>
        <w:tc>
          <w:tcPr>
            <w:tcW w:w="2148" w:type="dxa"/>
            <w:tcBorders>
              <w:top w:val="single" w:sz="4" w:space="0" w:color="auto"/>
              <w:bottom w:val="single" w:sz="4" w:space="0" w:color="auto"/>
            </w:tcBorders>
          </w:tcPr>
          <w:p w14:paraId="05B8B93C"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w:t>
            </w:r>
            <w:r w:rsidRPr="006774D3">
              <w:rPr>
                <w:rFonts w:ascii="Times New Roman" w:hAnsi="Times New Roman"/>
                <w:i/>
                <w:color w:val="000000"/>
                <w:sz w:val="22"/>
                <w:szCs w:val="22"/>
              </w:rPr>
              <w:t>de novo</w:t>
            </w:r>
            <w:r w:rsidRPr="006774D3">
              <w:rPr>
                <w:rFonts w:ascii="Times New Roman" w:hAnsi="Times New Roman"/>
                <w:color w:val="000000"/>
                <w:sz w:val="22"/>
                <w:szCs w:val="22"/>
              </w:rPr>
              <w:t xml:space="preserve"> Ph+ ALL)</w:t>
            </w:r>
          </w:p>
        </w:tc>
        <w:tc>
          <w:tcPr>
            <w:tcW w:w="6946" w:type="dxa"/>
            <w:gridSpan w:val="4"/>
            <w:tcBorders>
              <w:top w:val="single" w:sz="4" w:space="0" w:color="auto"/>
              <w:bottom w:val="single" w:sz="4" w:space="0" w:color="auto"/>
            </w:tcBorders>
          </w:tcPr>
          <w:p w14:paraId="05B8B93D"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Daunorubicin 30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1</w:t>
            </w:r>
            <w:r w:rsidRPr="006774D3">
              <w:rPr>
                <w:rFonts w:ascii="Times New Roman" w:hAnsi="Times New Roman"/>
                <w:color w:val="000000"/>
                <w:sz w:val="22"/>
                <w:szCs w:val="22"/>
              </w:rPr>
              <w:noBreakHyphen/>
              <w:t>3, 15</w:t>
            </w:r>
            <w:r w:rsidRPr="006774D3">
              <w:rPr>
                <w:rFonts w:ascii="Times New Roman" w:hAnsi="Times New Roman"/>
                <w:color w:val="000000"/>
                <w:sz w:val="22"/>
                <w:szCs w:val="22"/>
              </w:rPr>
              <w:noBreakHyphen/>
              <w:t>16;</w:t>
            </w:r>
          </w:p>
          <w:p w14:paraId="05B8B93E"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heildarskammtur i.v., daga 1, 8, 15, 22;</w:t>
            </w:r>
          </w:p>
          <w:p w14:paraId="05B8B93F"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750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1, 8;</w:t>
            </w:r>
          </w:p>
          <w:p w14:paraId="05B8B940"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Prednison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7, 15</w:t>
            </w:r>
            <w:r w:rsidRPr="006774D3">
              <w:rPr>
                <w:rFonts w:ascii="Times New Roman" w:hAnsi="Times New Roman"/>
                <w:color w:val="000000"/>
                <w:sz w:val="22"/>
                <w:szCs w:val="22"/>
              </w:rPr>
              <w:noBreakHyphen/>
              <w:t>21;</w:t>
            </w:r>
          </w:p>
          <w:p w14:paraId="05B8B941"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IDA 9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28;</w:t>
            </w:r>
          </w:p>
          <w:p w14:paraId="05B8B942"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daga 1, 8, 15, 22;</w:t>
            </w:r>
          </w:p>
          <w:p w14:paraId="05B8B943"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40 mg í mænuvökva, daga 1, 8, 15, 22;</w:t>
            </w:r>
          </w:p>
          <w:p w14:paraId="05B8B944"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Metylprednisolon 40 mg í mænuvökva, daga 1, 8, 15, 22</w:t>
            </w:r>
          </w:p>
        </w:tc>
      </w:tr>
      <w:tr w:rsidR="007B5D76" w:rsidRPr="006774D3" w14:paraId="05B8B94B" w14:textId="77777777" w:rsidTr="00822A75">
        <w:trPr>
          <w:cantSplit/>
        </w:trPr>
        <w:tc>
          <w:tcPr>
            <w:tcW w:w="2148" w:type="dxa"/>
            <w:tcBorders>
              <w:top w:val="single" w:sz="4" w:space="0" w:color="auto"/>
              <w:bottom w:val="single" w:sz="4" w:space="0" w:color="auto"/>
            </w:tcBorders>
          </w:tcPr>
          <w:p w14:paraId="05B8B946"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w:t>
            </w:r>
            <w:r w:rsidRPr="006774D3">
              <w:rPr>
                <w:rFonts w:ascii="Times New Roman" w:hAnsi="Times New Roman"/>
                <w:i/>
                <w:color w:val="000000"/>
                <w:sz w:val="22"/>
                <w:szCs w:val="22"/>
              </w:rPr>
              <w:t>de novo</w:t>
            </w:r>
            <w:r w:rsidRPr="006774D3">
              <w:rPr>
                <w:rFonts w:ascii="Times New Roman" w:hAnsi="Times New Roman"/>
                <w:color w:val="000000"/>
                <w:sz w:val="22"/>
                <w:szCs w:val="22"/>
              </w:rPr>
              <w:t xml:space="preserve"> Ph+ ALL)</w:t>
            </w:r>
          </w:p>
        </w:tc>
        <w:tc>
          <w:tcPr>
            <w:tcW w:w="6946" w:type="dxa"/>
            <w:gridSpan w:val="4"/>
            <w:tcBorders>
              <w:top w:val="single" w:sz="4" w:space="0" w:color="auto"/>
              <w:bottom w:val="single" w:sz="4" w:space="0" w:color="auto"/>
            </w:tcBorders>
          </w:tcPr>
          <w:p w14:paraId="05B8B947"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1.000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/12 klst. i.v.(3 klst.), daga 1</w:t>
            </w:r>
            <w:r w:rsidRPr="006774D3">
              <w:rPr>
                <w:rFonts w:ascii="Times New Roman" w:hAnsi="Times New Roman"/>
                <w:color w:val="000000"/>
                <w:sz w:val="22"/>
                <w:szCs w:val="22"/>
              </w:rPr>
              <w:noBreakHyphen/>
              <w:t>4;</w:t>
            </w:r>
          </w:p>
          <w:p w14:paraId="05B8B948"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Mitoxantron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3</w:t>
            </w:r>
            <w:r w:rsidRPr="006774D3">
              <w:rPr>
                <w:rFonts w:ascii="Times New Roman" w:hAnsi="Times New Roman"/>
                <w:color w:val="000000"/>
                <w:sz w:val="22"/>
                <w:szCs w:val="22"/>
              </w:rPr>
              <w:noBreakHyphen/>
              <w:t>5;</w:t>
            </w:r>
          </w:p>
          <w:p w14:paraId="05B8B949"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 1;</w:t>
            </w:r>
          </w:p>
          <w:p w14:paraId="05B8B94A"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Metylprednisolon 40 mg í mænuvökva, dag 1</w:t>
            </w:r>
          </w:p>
        </w:tc>
      </w:tr>
      <w:tr w:rsidR="007B5D76" w:rsidRPr="006774D3" w14:paraId="05B8B950" w14:textId="77777777" w:rsidTr="00822A75">
        <w:trPr>
          <w:cantSplit/>
        </w:trPr>
        <w:tc>
          <w:tcPr>
            <w:tcW w:w="4800" w:type="dxa"/>
            <w:gridSpan w:val="2"/>
            <w:tcBorders>
              <w:top w:val="single" w:sz="4" w:space="0" w:color="auto"/>
              <w:bottom w:val="single" w:sz="4" w:space="0" w:color="auto"/>
            </w:tcBorders>
          </w:tcPr>
          <w:p w14:paraId="05B8B94C" w14:textId="77777777" w:rsidR="007B5D76" w:rsidRPr="006774D3" w:rsidRDefault="007B5D76" w:rsidP="00FA5D6F">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t>Rannsókn ADE04</w:t>
            </w:r>
          </w:p>
        </w:tc>
        <w:tc>
          <w:tcPr>
            <w:tcW w:w="1080" w:type="dxa"/>
            <w:tcBorders>
              <w:top w:val="single" w:sz="4" w:space="0" w:color="auto"/>
              <w:bottom w:val="single" w:sz="4" w:space="0" w:color="auto"/>
            </w:tcBorders>
          </w:tcPr>
          <w:p w14:paraId="05B8B94D"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94E"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94F" w14:textId="77777777" w:rsidR="007B5D76" w:rsidRPr="006774D3" w:rsidRDefault="007B5D76" w:rsidP="00FA5D6F">
            <w:pPr>
              <w:pStyle w:val="Table"/>
              <w:keepLines w:val="0"/>
              <w:spacing w:before="0" w:after="0"/>
              <w:rPr>
                <w:rFonts w:ascii="Times New Roman" w:hAnsi="Times New Roman"/>
                <w:color w:val="000000"/>
                <w:sz w:val="22"/>
                <w:szCs w:val="22"/>
              </w:rPr>
            </w:pPr>
          </w:p>
        </w:tc>
      </w:tr>
      <w:tr w:rsidR="007B5D76" w:rsidRPr="006774D3" w14:paraId="05B8B955" w14:textId="77777777" w:rsidTr="00822A75">
        <w:trPr>
          <w:cantSplit/>
        </w:trPr>
        <w:tc>
          <w:tcPr>
            <w:tcW w:w="2148" w:type="dxa"/>
            <w:tcBorders>
              <w:top w:val="single" w:sz="4" w:space="0" w:color="auto"/>
              <w:bottom w:val="single" w:sz="4" w:space="0" w:color="auto"/>
            </w:tcBorders>
          </w:tcPr>
          <w:p w14:paraId="05B8B951"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Forkafli</w:t>
            </w:r>
          </w:p>
        </w:tc>
        <w:tc>
          <w:tcPr>
            <w:tcW w:w="6946" w:type="dxa"/>
            <w:gridSpan w:val="4"/>
            <w:tcBorders>
              <w:top w:val="single" w:sz="4" w:space="0" w:color="auto"/>
              <w:bottom w:val="single" w:sz="4" w:space="0" w:color="auto"/>
            </w:tcBorders>
          </w:tcPr>
          <w:p w14:paraId="05B8B952"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953"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200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3</w:t>
            </w:r>
            <w:r w:rsidRPr="006774D3">
              <w:rPr>
                <w:rFonts w:ascii="Times New Roman" w:hAnsi="Times New Roman"/>
                <w:color w:val="000000"/>
                <w:sz w:val="22"/>
                <w:szCs w:val="22"/>
              </w:rPr>
              <w:noBreakHyphen/>
              <w:t>5;</w:t>
            </w:r>
          </w:p>
          <w:p w14:paraId="05B8B954"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mg í mænuvökva, dag 1</w:t>
            </w:r>
          </w:p>
        </w:tc>
      </w:tr>
      <w:tr w:rsidR="007B5D76" w:rsidRPr="006774D3" w14:paraId="05B8B95A" w14:textId="77777777" w:rsidTr="00822A75">
        <w:trPr>
          <w:cantSplit/>
        </w:trPr>
        <w:tc>
          <w:tcPr>
            <w:tcW w:w="2148" w:type="dxa"/>
            <w:tcBorders>
              <w:top w:val="single" w:sz="4" w:space="0" w:color="auto"/>
              <w:bottom w:val="single" w:sz="4" w:space="0" w:color="auto"/>
            </w:tcBorders>
          </w:tcPr>
          <w:p w14:paraId="05B8B956"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I</w:t>
            </w:r>
          </w:p>
        </w:tc>
        <w:tc>
          <w:tcPr>
            <w:tcW w:w="6946" w:type="dxa"/>
            <w:gridSpan w:val="4"/>
            <w:tcBorders>
              <w:top w:val="single" w:sz="4" w:space="0" w:color="auto"/>
              <w:bottom w:val="single" w:sz="4" w:space="0" w:color="auto"/>
            </w:tcBorders>
          </w:tcPr>
          <w:p w14:paraId="05B8B957"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958"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i.v., daga 6, 13, 20;</w:t>
            </w:r>
          </w:p>
          <w:p w14:paraId="05B8B959"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Daunorubicin 45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6</w:t>
            </w:r>
            <w:r w:rsidRPr="006774D3">
              <w:rPr>
                <w:rFonts w:ascii="Times New Roman" w:hAnsi="Times New Roman"/>
                <w:color w:val="000000"/>
                <w:sz w:val="22"/>
                <w:szCs w:val="22"/>
              </w:rPr>
              <w:noBreakHyphen/>
              <w:t>7, 13</w:t>
            </w:r>
            <w:r w:rsidRPr="006774D3">
              <w:rPr>
                <w:rFonts w:ascii="Times New Roman" w:hAnsi="Times New Roman"/>
                <w:color w:val="000000"/>
                <w:sz w:val="22"/>
                <w:szCs w:val="22"/>
              </w:rPr>
              <w:noBreakHyphen/>
              <w:t>14</w:t>
            </w:r>
          </w:p>
        </w:tc>
      </w:tr>
      <w:tr w:rsidR="007B5D76" w:rsidRPr="006774D3" w14:paraId="05B8B95F" w14:textId="77777777" w:rsidTr="00822A75">
        <w:trPr>
          <w:cantSplit/>
        </w:trPr>
        <w:tc>
          <w:tcPr>
            <w:tcW w:w="2148" w:type="dxa"/>
            <w:tcBorders>
              <w:top w:val="single" w:sz="4" w:space="0" w:color="auto"/>
              <w:bottom w:val="single" w:sz="4" w:space="0" w:color="auto"/>
            </w:tcBorders>
          </w:tcPr>
          <w:p w14:paraId="05B8B95B"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Innleiðslumeðferð II</w:t>
            </w:r>
          </w:p>
        </w:tc>
        <w:tc>
          <w:tcPr>
            <w:tcW w:w="6946" w:type="dxa"/>
            <w:gridSpan w:val="4"/>
            <w:tcBorders>
              <w:top w:val="single" w:sz="4" w:space="0" w:color="auto"/>
              <w:bottom w:val="single" w:sz="4" w:space="0" w:color="auto"/>
            </w:tcBorders>
          </w:tcPr>
          <w:p w14:paraId="05B8B95C"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26, 46;</w:t>
            </w:r>
          </w:p>
          <w:p w14:paraId="05B8B95D"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75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28</w:t>
            </w:r>
            <w:r w:rsidRPr="006774D3">
              <w:rPr>
                <w:rFonts w:ascii="Times New Roman" w:hAnsi="Times New Roman"/>
                <w:color w:val="000000"/>
                <w:sz w:val="22"/>
                <w:szCs w:val="22"/>
              </w:rPr>
              <w:noBreakHyphen/>
              <w:t>31, 35</w:t>
            </w:r>
            <w:r w:rsidRPr="006774D3">
              <w:rPr>
                <w:rFonts w:ascii="Times New Roman" w:hAnsi="Times New Roman"/>
                <w:color w:val="000000"/>
                <w:sz w:val="22"/>
                <w:szCs w:val="22"/>
              </w:rPr>
              <w:noBreakHyphen/>
              <w:t>38, 42</w:t>
            </w:r>
            <w:r w:rsidRPr="006774D3">
              <w:rPr>
                <w:rFonts w:ascii="Times New Roman" w:hAnsi="Times New Roman"/>
                <w:color w:val="000000"/>
                <w:sz w:val="22"/>
                <w:szCs w:val="22"/>
              </w:rPr>
              <w:noBreakHyphen/>
              <w:t>45;</w:t>
            </w:r>
          </w:p>
          <w:p w14:paraId="05B8B95E"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6</w:t>
            </w:r>
            <w:r w:rsidRPr="006774D3">
              <w:rPr>
                <w:rFonts w:ascii="Times New Roman" w:hAnsi="Times New Roman"/>
                <w:color w:val="000000"/>
                <w:sz w:val="22"/>
                <w:szCs w:val="22"/>
              </w:rPr>
              <w:noBreakHyphen/>
              <w:t>MP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26</w:t>
            </w:r>
            <w:r w:rsidRPr="006774D3">
              <w:rPr>
                <w:rFonts w:ascii="Times New Roman" w:hAnsi="Times New Roman"/>
                <w:color w:val="000000"/>
                <w:sz w:val="22"/>
                <w:szCs w:val="22"/>
              </w:rPr>
              <w:noBreakHyphen/>
              <w:t>46</w:t>
            </w:r>
          </w:p>
        </w:tc>
      </w:tr>
      <w:tr w:rsidR="007B5D76" w:rsidRPr="006774D3" w14:paraId="05B8B966" w14:textId="77777777" w:rsidTr="00822A75">
        <w:trPr>
          <w:cantSplit/>
        </w:trPr>
        <w:tc>
          <w:tcPr>
            <w:tcW w:w="2148" w:type="dxa"/>
            <w:tcBorders>
              <w:top w:val="nil"/>
              <w:bottom w:val="single" w:sz="4" w:space="0" w:color="auto"/>
            </w:tcBorders>
          </w:tcPr>
          <w:p w14:paraId="05B8B960"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w:t>
            </w:r>
          </w:p>
        </w:tc>
        <w:tc>
          <w:tcPr>
            <w:tcW w:w="6946" w:type="dxa"/>
            <w:gridSpan w:val="4"/>
            <w:tcBorders>
              <w:top w:val="nil"/>
              <w:bottom w:val="single" w:sz="4" w:space="0" w:color="auto"/>
            </w:tcBorders>
          </w:tcPr>
          <w:p w14:paraId="05B8B961"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10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p w14:paraId="05B8B962"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Vindesin 3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 1;</w:t>
            </w:r>
          </w:p>
          <w:p w14:paraId="05B8B963"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MTX 1,5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w:t>
            </w:r>
          </w:p>
          <w:p w14:paraId="05B8B964"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Etoposid 250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4</w:t>
            </w:r>
            <w:r w:rsidRPr="006774D3">
              <w:rPr>
                <w:rFonts w:ascii="Times New Roman" w:hAnsi="Times New Roman"/>
                <w:color w:val="000000"/>
                <w:sz w:val="22"/>
                <w:szCs w:val="22"/>
              </w:rPr>
              <w:noBreakHyphen/>
              <w:t>5;</w:t>
            </w:r>
          </w:p>
          <w:p w14:paraId="05B8B965"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2 x 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með 12 klst. millibili), dag 5</w:t>
            </w:r>
          </w:p>
        </w:tc>
      </w:tr>
      <w:tr w:rsidR="007B5D76" w:rsidRPr="006774D3" w14:paraId="05B8B96C" w14:textId="77777777" w:rsidTr="00822A75">
        <w:trPr>
          <w:cantSplit/>
        </w:trPr>
        <w:tc>
          <w:tcPr>
            <w:tcW w:w="2148" w:type="dxa"/>
            <w:tcBorders>
              <w:top w:val="nil"/>
              <w:bottom w:val="single" w:sz="4" w:space="0" w:color="auto"/>
            </w:tcBorders>
          </w:tcPr>
          <w:p w14:paraId="05B8B967" w14:textId="77777777" w:rsidR="007B5D76" w:rsidRPr="006774D3" w:rsidRDefault="007B5D76" w:rsidP="00FA5D6F">
            <w:pPr>
              <w:pStyle w:val="Table"/>
              <w:keepLines w:val="0"/>
              <w:spacing w:before="0" w:after="0"/>
              <w:rPr>
                <w:rFonts w:ascii="Times New Roman" w:hAnsi="Times New Roman"/>
                <w:b/>
                <w:color w:val="000000"/>
                <w:sz w:val="22"/>
                <w:szCs w:val="22"/>
              </w:rPr>
            </w:pPr>
            <w:r w:rsidRPr="006774D3">
              <w:rPr>
                <w:rFonts w:ascii="Times New Roman" w:hAnsi="Times New Roman"/>
                <w:b/>
                <w:color w:val="000000"/>
                <w:sz w:val="22"/>
                <w:szCs w:val="22"/>
              </w:rPr>
              <w:t>Rannsókn AJP01</w:t>
            </w:r>
          </w:p>
        </w:tc>
        <w:tc>
          <w:tcPr>
            <w:tcW w:w="2652" w:type="dxa"/>
            <w:tcBorders>
              <w:top w:val="nil"/>
              <w:bottom w:val="single" w:sz="4" w:space="0" w:color="auto"/>
            </w:tcBorders>
          </w:tcPr>
          <w:p w14:paraId="05B8B968"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080" w:type="dxa"/>
            <w:tcBorders>
              <w:top w:val="nil"/>
              <w:bottom w:val="single" w:sz="4" w:space="0" w:color="auto"/>
            </w:tcBorders>
          </w:tcPr>
          <w:p w14:paraId="05B8B969"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380" w:type="dxa"/>
            <w:tcBorders>
              <w:top w:val="nil"/>
              <w:bottom w:val="single" w:sz="4" w:space="0" w:color="auto"/>
            </w:tcBorders>
          </w:tcPr>
          <w:p w14:paraId="05B8B96A"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834" w:type="dxa"/>
            <w:tcBorders>
              <w:top w:val="nil"/>
              <w:bottom w:val="single" w:sz="4" w:space="0" w:color="auto"/>
            </w:tcBorders>
          </w:tcPr>
          <w:p w14:paraId="05B8B96B" w14:textId="77777777" w:rsidR="007B5D76" w:rsidRPr="006774D3" w:rsidRDefault="007B5D76" w:rsidP="00FA5D6F">
            <w:pPr>
              <w:pStyle w:val="Table"/>
              <w:keepLines w:val="0"/>
              <w:spacing w:before="0" w:after="0"/>
              <w:rPr>
                <w:rFonts w:ascii="Times New Roman" w:hAnsi="Times New Roman"/>
                <w:color w:val="000000"/>
                <w:sz w:val="22"/>
                <w:szCs w:val="22"/>
              </w:rPr>
            </w:pPr>
          </w:p>
        </w:tc>
      </w:tr>
      <w:tr w:rsidR="007B5D76" w:rsidRPr="006774D3" w14:paraId="05B8B972" w14:textId="77777777" w:rsidTr="00822A75">
        <w:trPr>
          <w:cantSplit/>
        </w:trPr>
        <w:tc>
          <w:tcPr>
            <w:tcW w:w="2148" w:type="dxa"/>
            <w:tcBorders>
              <w:top w:val="nil"/>
              <w:bottom w:val="single" w:sz="4" w:space="0" w:color="auto"/>
            </w:tcBorders>
          </w:tcPr>
          <w:p w14:paraId="05B8B96D" w14:textId="77777777" w:rsidR="007B5D76" w:rsidRPr="006774D3" w:rsidRDefault="007B5D76" w:rsidP="00FA5D6F">
            <w:pPr>
              <w:pStyle w:val="Table"/>
              <w:keepLines w:val="0"/>
              <w:spacing w:before="0" w:after="0"/>
              <w:jc w:val="both"/>
              <w:rPr>
                <w:rFonts w:ascii="Times New Roman" w:hAnsi="Times New Roman"/>
                <w:color w:val="000000"/>
                <w:sz w:val="22"/>
                <w:szCs w:val="22"/>
              </w:rPr>
            </w:pPr>
            <w:r w:rsidRPr="006774D3">
              <w:rPr>
                <w:rFonts w:ascii="Times New Roman" w:hAnsi="Times New Roman"/>
                <w:color w:val="000000"/>
                <w:sz w:val="22"/>
                <w:szCs w:val="22"/>
              </w:rPr>
              <w:t>Innleiðslumeðferð</w:t>
            </w:r>
          </w:p>
        </w:tc>
        <w:tc>
          <w:tcPr>
            <w:tcW w:w="6946" w:type="dxa"/>
            <w:gridSpan w:val="4"/>
            <w:tcBorders>
              <w:top w:val="nil"/>
              <w:bottom w:val="single" w:sz="4" w:space="0" w:color="auto"/>
            </w:tcBorders>
          </w:tcPr>
          <w:p w14:paraId="05B8B96E"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CP 1,2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dag 1;</w:t>
            </w:r>
          </w:p>
          <w:p w14:paraId="05B8B96F"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Daunorubicin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(1 klst.), daga 1</w:t>
            </w:r>
            <w:r w:rsidRPr="006774D3">
              <w:rPr>
                <w:rFonts w:ascii="Times New Roman" w:hAnsi="Times New Roman"/>
                <w:color w:val="000000"/>
                <w:sz w:val="22"/>
                <w:szCs w:val="22"/>
              </w:rPr>
              <w:noBreakHyphen/>
              <w:t>3;</w:t>
            </w:r>
          </w:p>
          <w:p w14:paraId="05B8B970"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Vincristin 1,3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daga 1, 8, 15, 21;</w:t>
            </w:r>
          </w:p>
          <w:p w14:paraId="05B8B971"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Prednisolon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/dag til inntöku</w:t>
            </w:r>
          </w:p>
        </w:tc>
      </w:tr>
      <w:tr w:rsidR="007B5D76" w:rsidRPr="006774D3" w14:paraId="05B8B975" w14:textId="77777777" w:rsidTr="00822A75">
        <w:trPr>
          <w:cantSplit/>
        </w:trPr>
        <w:tc>
          <w:tcPr>
            <w:tcW w:w="2148" w:type="dxa"/>
            <w:tcBorders>
              <w:top w:val="single" w:sz="4" w:space="0" w:color="auto"/>
              <w:bottom w:val="single" w:sz="4" w:space="0" w:color="auto"/>
            </w:tcBorders>
          </w:tcPr>
          <w:p w14:paraId="05B8B973" w14:textId="77777777" w:rsidR="007B5D76" w:rsidRPr="006774D3" w:rsidRDefault="007B5D76" w:rsidP="00FA5D6F">
            <w:pPr>
              <w:pStyle w:val="Table"/>
              <w:keepLines w:val="0"/>
              <w:tabs>
                <w:tab w:val="left" w:pos="0"/>
              </w:tabs>
              <w:spacing w:before="0" w:after="0"/>
              <w:rPr>
                <w:rFonts w:ascii="Times New Roman" w:hAnsi="Times New Roman"/>
                <w:color w:val="000000"/>
                <w:sz w:val="22"/>
                <w:szCs w:val="22"/>
              </w:rPr>
            </w:pPr>
            <w:r w:rsidRPr="006774D3">
              <w:rPr>
                <w:rFonts w:ascii="Times New Roman" w:hAnsi="Times New Roman"/>
                <w:color w:val="000000"/>
                <w:sz w:val="22"/>
                <w:szCs w:val="22"/>
              </w:rPr>
              <w:t>Upprætingarmeðferð </w:t>
            </w:r>
          </w:p>
        </w:tc>
        <w:tc>
          <w:tcPr>
            <w:tcW w:w="6946" w:type="dxa"/>
            <w:gridSpan w:val="4"/>
            <w:tcBorders>
              <w:top w:val="single" w:sz="4" w:space="0" w:color="auto"/>
              <w:bottom w:val="single" w:sz="4" w:space="0" w:color="auto"/>
            </w:tcBorders>
          </w:tcPr>
          <w:p w14:paraId="05B8B974"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Meðferðir þar sem krabbameinslyf eru gefin til skiptis (alternating chemotherapy course): Háskammtakrabbameinslyfjameðferð með MTX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 og Ara</w:t>
            </w:r>
            <w:r w:rsidRPr="006774D3">
              <w:rPr>
                <w:rFonts w:ascii="Times New Roman" w:hAnsi="Times New Roman"/>
                <w:color w:val="000000"/>
                <w:sz w:val="22"/>
                <w:szCs w:val="22"/>
              </w:rPr>
              <w:noBreakHyphen/>
              <w:t>C 2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(með 12 klst. millibili), daga 2</w:t>
            </w:r>
            <w:r w:rsidRPr="006774D3">
              <w:rPr>
                <w:rFonts w:ascii="Times New Roman" w:hAnsi="Times New Roman"/>
                <w:color w:val="000000"/>
                <w:sz w:val="22"/>
                <w:szCs w:val="22"/>
              </w:rPr>
              <w:noBreakHyphen/>
              <w:t>3, í 4 meðferðarkafla</w:t>
            </w:r>
          </w:p>
        </w:tc>
      </w:tr>
      <w:tr w:rsidR="007B5D76" w:rsidRPr="006774D3" w14:paraId="05B8B979" w14:textId="77777777" w:rsidTr="00822A75">
        <w:trPr>
          <w:cantSplit/>
        </w:trPr>
        <w:tc>
          <w:tcPr>
            <w:tcW w:w="2148" w:type="dxa"/>
            <w:tcBorders>
              <w:top w:val="single" w:sz="4" w:space="0" w:color="auto"/>
              <w:bottom w:val="single" w:sz="4" w:space="0" w:color="auto"/>
            </w:tcBorders>
          </w:tcPr>
          <w:p w14:paraId="05B8B976" w14:textId="77777777" w:rsidR="007B5D76" w:rsidRPr="006774D3" w:rsidRDefault="007B5D76" w:rsidP="00F77C66">
            <w:pPr>
              <w:pStyle w:val="Table"/>
              <w:keepNext w:val="0"/>
              <w:keepLines w:val="0"/>
              <w:tabs>
                <w:tab w:val="left" w:pos="0"/>
              </w:tabs>
              <w:spacing w:before="0" w:after="0"/>
              <w:rPr>
                <w:rFonts w:ascii="Times New Roman" w:hAnsi="Times New Roman"/>
                <w:color w:val="000000"/>
                <w:sz w:val="22"/>
                <w:szCs w:val="22"/>
              </w:rPr>
            </w:pPr>
            <w:r w:rsidRPr="006774D3">
              <w:rPr>
                <w:rFonts w:ascii="Times New Roman" w:hAnsi="Times New Roman"/>
                <w:color w:val="000000"/>
                <w:sz w:val="22"/>
                <w:szCs w:val="22"/>
              </w:rPr>
              <w:t>Viðhaldsmeðferð</w:t>
            </w:r>
          </w:p>
        </w:tc>
        <w:tc>
          <w:tcPr>
            <w:tcW w:w="6946" w:type="dxa"/>
            <w:gridSpan w:val="4"/>
            <w:tcBorders>
              <w:top w:val="single" w:sz="4" w:space="0" w:color="auto"/>
              <w:bottom w:val="single" w:sz="4" w:space="0" w:color="auto"/>
            </w:tcBorders>
          </w:tcPr>
          <w:p w14:paraId="05B8B977"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1,3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dag 1;</w:t>
            </w:r>
          </w:p>
          <w:p w14:paraId="05B8B978" w14:textId="77777777" w:rsidR="007B5D76" w:rsidRPr="006774D3" w:rsidRDefault="007B5D76" w:rsidP="00F77C66">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Prednisolon 60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til inntöku, daga 1</w:t>
            </w:r>
            <w:r w:rsidRPr="006774D3">
              <w:rPr>
                <w:rFonts w:ascii="Times New Roman" w:hAnsi="Times New Roman"/>
                <w:color w:val="000000"/>
                <w:sz w:val="22"/>
                <w:szCs w:val="22"/>
              </w:rPr>
              <w:noBreakHyphen/>
              <w:t>5</w:t>
            </w:r>
          </w:p>
        </w:tc>
      </w:tr>
      <w:tr w:rsidR="007B5D76" w:rsidRPr="006774D3" w14:paraId="05B8B97E" w14:textId="77777777" w:rsidTr="00822A75">
        <w:trPr>
          <w:cantSplit/>
        </w:trPr>
        <w:tc>
          <w:tcPr>
            <w:tcW w:w="4800" w:type="dxa"/>
            <w:gridSpan w:val="2"/>
            <w:tcBorders>
              <w:top w:val="single" w:sz="4" w:space="0" w:color="auto"/>
              <w:bottom w:val="single" w:sz="4" w:space="0" w:color="auto"/>
            </w:tcBorders>
          </w:tcPr>
          <w:p w14:paraId="05B8B97A"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b/>
                <w:color w:val="000000"/>
                <w:sz w:val="22"/>
                <w:szCs w:val="22"/>
              </w:rPr>
              <w:lastRenderedPageBreak/>
              <w:t>Rannsókn AUS01</w:t>
            </w:r>
          </w:p>
        </w:tc>
        <w:tc>
          <w:tcPr>
            <w:tcW w:w="1080" w:type="dxa"/>
            <w:tcBorders>
              <w:top w:val="single" w:sz="4" w:space="0" w:color="auto"/>
              <w:bottom w:val="single" w:sz="4" w:space="0" w:color="auto"/>
            </w:tcBorders>
          </w:tcPr>
          <w:p w14:paraId="05B8B97B"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5B8B97C" w14:textId="77777777" w:rsidR="007B5D76" w:rsidRPr="006774D3" w:rsidRDefault="007B5D76" w:rsidP="00FA5D6F">
            <w:pPr>
              <w:pStyle w:val="Table"/>
              <w:keepLines w:val="0"/>
              <w:spacing w:before="0" w:after="0"/>
              <w:rPr>
                <w:rFonts w:ascii="Times New Roman" w:hAnsi="Times New Roman"/>
                <w:color w:val="000000"/>
                <w:sz w:val="22"/>
                <w:szCs w:val="22"/>
              </w:rPr>
            </w:pPr>
          </w:p>
        </w:tc>
        <w:tc>
          <w:tcPr>
            <w:tcW w:w="1834" w:type="dxa"/>
            <w:tcBorders>
              <w:top w:val="single" w:sz="4" w:space="0" w:color="auto"/>
              <w:bottom w:val="single" w:sz="4" w:space="0" w:color="auto"/>
            </w:tcBorders>
          </w:tcPr>
          <w:p w14:paraId="05B8B97D" w14:textId="77777777" w:rsidR="007B5D76" w:rsidRPr="006774D3" w:rsidRDefault="007B5D76" w:rsidP="00FA5D6F">
            <w:pPr>
              <w:pStyle w:val="Table"/>
              <w:keepLines w:val="0"/>
              <w:spacing w:before="0" w:after="0"/>
              <w:rPr>
                <w:rFonts w:ascii="Times New Roman" w:hAnsi="Times New Roman"/>
                <w:color w:val="000000"/>
                <w:sz w:val="22"/>
                <w:szCs w:val="22"/>
              </w:rPr>
            </w:pPr>
          </w:p>
        </w:tc>
      </w:tr>
      <w:tr w:rsidR="007B5D76" w:rsidRPr="006774D3" w14:paraId="05B8B984" w14:textId="77777777" w:rsidTr="00822A75">
        <w:trPr>
          <w:cantSplit/>
        </w:trPr>
        <w:tc>
          <w:tcPr>
            <w:tcW w:w="2148" w:type="dxa"/>
            <w:tcBorders>
              <w:top w:val="single" w:sz="4" w:space="0" w:color="auto"/>
              <w:bottom w:val="single" w:sz="4" w:space="0" w:color="auto"/>
            </w:tcBorders>
          </w:tcPr>
          <w:p w14:paraId="05B8B97F"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Innleiðslu- upprætingarmeðferð </w:t>
            </w:r>
          </w:p>
        </w:tc>
        <w:tc>
          <w:tcPr>
            <w:tcW w:w="6946" w:type="dxa"/>
            <w:gridSpan w:val="4"/>
            <w:tcBorders>
              <w:top w:val="single" w:sz="4" w:space="0" w:color="auto"/>
              <w:bottom w:val="single" w:sz="4" w:space="0" w:color="auto"/>
            </w:tcBorders>
          </w:tcPr>
          <w:p w14:paraId="05B8B980"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Ofur</w:t>
            </w:r>
            <w:r w:rsidRPr="006774D3">
              <w:rPr>
                <w:rFonts w:ascii="Times New Roman" w:hAnsi="Times New Roman"/>
                <w:color w:val="000000"/>
                <w:sz w:val="22"/>
                <w:szCs w:val="22"/>
              </w:rPr>
              <w:noBreakHyphen/>
              <w:t>CVAD</w:t>
            </w:r>
            <w:r w:rsidRPr="006774D3">
              <w:rPr>
                <w:rFonts w:ascii="Times New Roman" w:hAnsi="Times New Roman"/>
                <w:color w:val="000000"/>
                <w:sz w:val="22"/>
                <w:szCs w:val="22"/>
              </w:rPr>
              <w:noBreakHyphen/>
              <w:t>skömmtun (hyper-CVAD regimen): CP 300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(3 klst., með 12 klst. millibili), daga 1</w:t>
            </w:r>
            <w:r w:rsidRPr="006774D3">
              <w:rPr>
                <w:rFonts w:ascii="Times New Roman" w:hAnsi="Times New Roman"/>
                <w:color w:val="000000"/>
                <w:sz w:val="22"/>
                <w:szCs w:val="22"/>
              </w:rPr>
              <w:noBreakHyphen/>
              <w:t>3;</w:t>
            </w:r>
          </w:p>
          <w:p w14:paraId="05B8B981"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Vincristin 2 mg i.v., daga 4, 11;</w:t>
            </w:r>
          </w:p>
          <w:p w14:paraId="05B8B982"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Doxorubicin 50 mg/m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4;</w:t>
            </w:r>
          </w:p>
          <w:p w14:paraId="05B8B983"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DEX 40 mg/sólarhring daga 1</w:t>
            </w:r>
            <w:r w:rsidRPr="006774D3">
              <w:rPr>
                <w:rFonts w:ascii="Times New Roman" w:hAnsi="Times New Roman"/>
                <w:color w:val="000000"/>
                <w:sz w:val="22"/>
                <w:szCs w:val="22"/>
              </w:rPr>
              <w:noBreakHyphen/>
              <w:t>4 og 11</w:t>
            </w:r>
            <w:r w:rsidRPr="006774D3">
              <w:rPr>
                <w:rFonts w:ascii="Times New Roman" w:hAnsi="Times New Roman"/>
                <w:color w:val="000000"/>
                <w:sz w:val="22"/>
                <w:szCs w:val="22"/>
              </w:rPr>
              <w:noBreakHyphen/>
              <w:t>14, til skiptis við MTX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(24 klst.), dag 1, Ara</w:t>
            </w:r>
            <w:r w:rsidRPr="006774D3">
              <w:rPr>
                <w:rFonts w:ascii="Times New Roman" w:hAnsi="Times New Roman"/>
                <w:color w:val="000000"/>
                <w:sz w:val="22"/>
                <w:szCs w:val="22"/>
              </w:rPr>
              <w:noBreakHyphen/>
              <w:t>C 1 g/m</w:t>
            </w:r>
            <w:r w:rsidRPr="006774D3">
              <w:rPr>
                <w:rFonts w:ascii="Times New Roman" w:hAnsi="Times New Roman"/>
                <w:color w:val="000000"/>
                <w:sz w:val="22"/>
                <w:szCs w:val="22"/>
                <w:vertAlign w:val="superscript"/>
              </w:rPr>
              <w:t>2</w:t>
            </w:r>
            <w:r w:rsidRPr="006774D3">
              <w:rPr>
                <w:rFonts w:ascii="Times New Roman" w:hAnsi="Times New Roman"/>
                <w:color w:val="000000"/>
                <w:sz w:val="22"/>
                <w:szCs w:val="22"/>
              </w:rPr>
              <w:t xml:space="preserve"> i.v. (2 klst., með 12 klst. millibili), daga 2</w:t>
            </w:r>
            <w:r w:rsidRPr="006774D3">
              <w:rPr>
                <w:rFonts w:ascii="Times New Roman" w:hAnsi="Times New Roman"/>
                <w:color w:val="000000"/>
                <w:sz w:val="22"/>
                <w:szCs w:val="22"/>
              </w:rPr>
              <w:noBreakHyphen/>
              <w:t>3 (samtals 8 meðferðarlotur)</w:t>
            </w:r>
          </w:p>
        </w:tc>
      </w:tr>
      <w:tr w:rsidR="007B5D76" w:rsidRPr="006774D3" w14:paraId="05B8B988" w14:textId="77777777" w:rsidTr="00822A75">
        <w:trPr>
          <w:cantSplit/>
        </w:trPr>
        <w:tc>
          <w:tcPr>
            <w:tcW w:w="2148" w:type="dxa"/>
            <w:tcBorders>
              <w:top w:val="single" w:sz="4" w:space="0" w:color="auto"/>
              <w:bottom w:val="single" w:sz="4" w:space="0" w:color="auto"/>
            </w:tcBorders>
          </w:tcPr>
          <w:p w14:paraId="05B8B985"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Viðhaldsmeðferð</w:t>
            </w:r>
          </w:p>
        </w:tc>
        <w:tc>
          <w:tcPr>
            <w:tcW w:w="6946" w:type="dxa"/>
            <w:gridSpan w:val="4"/>
            <w:tcBorders>
              <w:top w:val="single" w:sz="4" w:space="0" w:color="auto"/>
              <w:bottom w:val="single" w:sz="4" w:space="0" w:color="auto"/>
            </w:tcBorders>
          </w:tcPr>
          <w:p w14:paraId="05B8B986"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VCR 2 mg i.v. mánaðarlega í 13 mánuði;</w:t>
            </w:r>
          </w:p>
          <w:p w14:paraId="05B8B987"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Prednisolon 200 mg til inntöku, 5 daga í mánuði í 13 mánuði</w:t>
            </w:r>
          </w:p>
        </w:tc>
      </w:tr>
      <w:tr w:rsidR="007B5D76" w:rsidRPr="006774D3" w14:paraId="05B8B98A" w14:textId="77777777" w:rsidTr="00822A75">
        <w:trPr>
          <w:cantSplit/>
        </w:trPr>
        <w:tc>
          <w:tcPr>
            <w:tcW w:w="9094" w:type="dxa"/>
            <w:gridSpan w:val="5"/>
            <w:tcBorders>
              <w:top w:val="single" w:sz="4" w:space="0" w:color="auto"/>
              <w:bottom w:val="single" w:sz="4" w:space="0" w:color="auto"/>
            </w:tcBorders>
          </w:tcPr>
          <w:p w14:paraId="05B8B989" w14:textId="77777777" w:rsidR="007B5D76" w:rsidRPr="006774D3" w:rsidRDefault="007B5D76" w:rsidP="00FA5D6F">
            <w:pPr>
              <w:pStyle w:val="Table"/>
              <w:keepLines w:val="0"/>
              <w:spacing w:before="0" w:after="0"/>
              <w:rPr>
                <w:rFonts w:ascii="Times New Roman" w:hAnsi="Times New Roman"/>
                <w:color w:val="000000"/>
                <w:sz w:val="22"/>
                <w:szCs w:val="22"/>
              </w:rPr>
            </w:pPr>
            <w:r w:rsidRPr="006774D3">
              <w:rPr>
                <w:rFonts w:ascii="Times New Roman" w:hAnsi="Times New Roman"/>
                <w:color w:val="000000"/>
                <w:sz w:val="22"/>
                <w:szCs w:val="22"/>
              </w:rPr>
              <w:t>Í öllum meðferðunum voru gefnir sterar til fyrirbyggjandi verkunar hvað varðar miðtaugakerfið.</w:t>
            </w:r>
          </w:p>
        </w:tc>
      </w:tr>
      <w:tr w:rsidR="007B5D76" w:rsidRPr="006774D3" w14:paraId="05B8B98C" w14:textId="77777777" w:rsidTr="00822A75">
        <w:trPr>
          <w:cantSplit/>
        </w:trPr>
        <w:tc>
          <w:tcPr>
            <w:tcW w:w="9094" w:type="dxa"/>
            <w:gridSpan w:val="5"/>
            <w:tcBorders>
              <w:top w:val="single" w:sz="4" w:space="0" w:color="auto"/>
              <w:bottom w:val="single" w:sz="4" w:space="0" w:color="auto"/>
            </w:tcBorders>
          </w:tcPr>
          <w:p w14:paraId="05B8B98B" w14:textId="77777777" w:rsidR="007B5D76" w:rsidRPr="006774D3" w:rsidRDefault="007B5D76" w:rsidP="00FA5D6F">
            <w:pPr>
              <w:pStyle w:val="Table"/>
              <w:keepNext w:val="0"/>
              <w:keepLines w:val="0"/>
              <w:spacing w:before="0" w:after="0"/>
              <w:rPr>
                <w:rFonts w:ascii="Times New Roman" w:hAnsi="Times New Roman"/>
                <w:color w:val="000000"/>
                <w:sz w:val="22"/>
                <w:szCs w:val="22"/>
              </w:rPr>
            </w:pPr>
            <w:r w:rsidRPr="006774D3">
              <w:rPr>
                <w:rFonts w:ascii="Times New Roman" w:hAnsi="Times New Roman"/>
                <w:color w:val="000000"/>
                <w:sz w:val="22"/>
                <w:szCs w:val="22"/>
              </w:rPr>
              <w:t>Ara</w:t>
            </w:r>
            <w:r w:rsidRPr="006774D3">
              <w:rPr>
                <w:rFonts w:ascii="Times New Roman" w:hAnsi="Times New Roman"/>
                <w:color w:val="000000"/>
                <w:sz w:val="22"/>
                <w:szCs w:val="22"/>
              </w:rPr>
              <w:noBreakHyphen/>
              <w:t>C: cytosin arabinosid; CP: cyclofosfamid; DEX: dexamethason; MTX: metotrexat; 6</w:t>
            </w:r>
            <w:r w:rsidRPr="006774D3">
              <w:rPr>
                <w:rFonts w:ascii="Times New Roman" w:hAnsi="Times New Roman"/>
                <w:color w:val="000000"/>
                <w:sz w:val="22"/>
                <w:szCs w:val="22"/>
              </w:rPr>
              <w:noBreakHyphen/>
              <w:t>MP: 6</w:t>
            </w:r>
            <w:r w:rsidRPr="006774D3">
              <w:rPr>
                <w:rFonts w:ascii="Times New Roman" w:hAnsi="Times New Roman"/>
                <w:color w:val="000000"/>
                <w:sz w:val="22"/>
                <w:szCs w:val="22"/>
              </w:rPr>
              <w:noBreakHyphen/>
              <w:t>mercaptopurin; VM26: Teniposid; VCR: vincristin; IDA: idarubicin; i.v.: í bláæð.</w:t>
            </w:r>
          </w:p>
        </w:tc>
      </w:tr>
    </w:tbl>
    <w:p w14:paraId="05B8B98D" w14:textId="77777777" w:rsidR="007B5D76" w:rsidRPr="006774D3" w:rsidRDefault="007B5D76" w:rsidP="00F77C66">
      <w:pPr>
        <w:widowControl w:val="0"/>
        <w:tabs>
          <w:tab w:val="left" w:pos="567"/>
        </w:tabs>
        <w:rPr>
          <w:color w:val="000000"/>
          <w:sz w:val="22"/>
          <w:szCs w:val="22"/>
        </w:rPr>
      </w:pPr>
    </w:p>
    <w:p w14:paraId="05B8B98E" w14:textId="77777777" w:rsidR="007B5D76" w:rsidRPr="006774D3" w:rsidRDefault="007B5D76" w:rsidP="00F77C66">
      <w:pPr>
        <w:widowControl w:val="0"/>
        <w:tabs>
          <w:tab w:val="left" w:pos="567"/>
        </w:tabs>
        <w:rPr>
          <w:color w:val="000000"/>
          <w:sz w:val="22"/>
          <w:szCs w:val="20"/>
        </w:rPr>
      </w:pPr>
      <w:r w:rsidRPr="006774D3">
        <w:rPr>
          <w:i/>
          <w:color w:val="000000"/>
          <w:sz w:val="22"/>
          <w:szCs w:val="20"/>
        </w:rPr>
        <w:t>Börn</w:t>
      </w:r>
      <w:r w:rsidRPr="006774D3">
        <w:rPr>
          <w:color w:val="000000"/>
          <w:sz w:val="22"/>
          <w:szCs w:val="20"/>
        </w:rPr>
        <w:t>: Í rannsókn I2301, tóku samtals 93 börn, unglingar og ungir fullorðnir sjúklingar (frá 1 til 22 ára) með Ph+ ALL þátt í opinni, fjölsetra, óslembaðri, III. stigs hóprannsókn með raðbundinni (sequential) aðferð, og fengu meðferð með Glivec (340 mg/m</w:t>
      </w:r>
      <w:r w:rsidRPr="006774D3">
        <w:rPr>
          <w:color w:val="000000"/>
          <w:sz w:val="22"/>
          <w:szCs w:val="20"/>
          <w:vertAlign w:val="superscript"/>
        </w:rPr>
        <w:t>2</w:t>
      </w:r>
      <w:r w:rsidRPr="006774D3">
        <w:rPr>
          <w:color w:val="000000"/>
          <w:sz w:val="22"/>
          <w:szCs w:val="20"/>
        </w:rPr>
        <w:t>/sólarhring) samhliða öflugri krabbameinslyfjameðferð eftir innleiðslumeðferð. Glivec var gefið með hléum í hópum 1</w:t>
      </w:r>
      <w:r w:rsidRPr="006774D3">
        <w:rPr>
          <w:color w:val="000000"/>
          <w:sz w:val="22"/>
          <w:szCs w:val="20"/>
        </w:rPr>
        <w:noBreakHyphen/>
        <w:t xml:space="preserve">5, og stóð meðferðin með Glivec lengur og byrjaði fyrr eftir því um hvaða hóp var að ræða; hópur 1 fékk vægustu meðferðina og hópur 5 öflugustu meðferðina með Glivec (í flesta daga og með samfelldri daglegri gjöf Glivec í fyrstu krabbameinslyfjameðferðarlotunni). Samfelld dagleg útsetning fyrir Glivec snemma í meðferðinni samhliða krabbameinslyfjameðferð hjá sjúklingum í hóp 5 (n=50) lengdi lifun án tilvika í 4 ár (event-free survival [EFS]) samanborið við </w:t>
      </w:r>
      <w:r w:rsidRPr="006774D3">
        <w:rPr>
          <w:color w:val="000000"/>
          <w:sz w:val="22"/>
          <w:szCs w:val="22"/>
        </w:rPr>
        <w:t>sögulegan samanburðarhóp (n=120) sjúklinga sem fengu hefðbundna krabbameinslyfjameðferð án Glivec (69,6% samanborið við 31,6%, tilgreint í sömu röð). Áætluð heildarlifun í 4 ár hjá sjúklingum í hóp 5 var 83,6% samanborið við 44,8% hjá sögulegum samanburðarhópi. 20 af 50 (40%) sjúklingum í hóp 5 fengu ígræðslu blóðmyndandi stofnfruma (haematopoietic stem cell transplant).</w:t>
      </w:r>
    </w:p>
    <w:p w14:paraId="05B8B98F" w14:textId="77777777" w:rsidR="007B5D76" w:rsidRPr="006774D3" w:rsidRDefault="007B5D76" w:rsidP="00F77C66">
      <w:pPr>
        <w:widowControl w:val="0"/>
        <w:tabs>
          <w:tab w:val="left" w:pos="567"/>
        </w:tabs>
        <w:rPr>
          <w:color w:val="000000"/>
          <w:sz w:val="22"/>
          <w:szCs w:val="20"/>
        </w:rPr>
      </w:pPr>
    </w:p>
    <w:p w14:paraId="05B8B990" w14:textId="77777777" w:rsidR="007B5D76" w:rsidRPr="006774D3" w:rsidRDefault="007B5D76" w:rsidP="00F77C66">
      <w:pPr>
        <w:keepNext/>
        <w:widowControl w:val="0"/>
        <w:ind w:left="1134" w:hanging="1134"/>
        <w:rPr>
          <w:b/>
          <w:color w:val="000000"/>
          <w:sz w:val="22"/>
          <w:szCs w:val="20"/>
        </w:rPr>
      </w:pPr>
      <w:r w:rsidRPr="006774D3">
        <w:rPr>
          <w:b/>
          <w:color w:val="000000"/>
          <w:sz w:val="22"/>
          <w:szCs w:val="20"/>
        </w:rPr>
        <w:t>Tafla </w:t>
      </w:r>
      <w:r w:rsidR="00F40B8C" w:rsidRPr="006774D3">
        <w:rPr>
          <w:b/>
          <w:color w:val="000000"/>
          <w:sz w:val="22"/>
          <w:szCs w:val="20"/>
        </w:rPr>
        <w:t>5</w:t>
      </w:r>
      <w:r w:rsidRPr="006774D3">
        <w:rPr>
          <w:b/>
          <w:color w:val="000000"/>
          <w:sz w:val="22"/>
          <w:szCs w:val="20"/>
        </w:rPr>
        <w:tab/>
      </w:r>
      <w:r w:rsidRPr="006774D3">
        <w:rPr>
          <w:b/>
          <w:color w:val="000000"/>
          <w:sz w:val="22"/>
          <w:szCs w:val="22"/>
        </w:rPr>
        <w:t>Krabbameinslyfjameðferð samhliða imatinibi</w:t>
      </w:r>
      <w:r w:rsidRPr="006774D3">
        <w:rPr>
          <w:b/>
          <w:color w:val="000000"/>
          <w:sz w:val="22"/>
          <w:szCs w:val="20"/>
        </w:rPr>
        <w:t xml:space="preserve"> í rannsókn I2301</w:t>
      </w:r>
    </w:p>
    <w:p w14:paraId="05B8B991" w14:textId="77777777" w:rsidR="007B5D76" w:rsidRPr="006774D3" w:rsidRDefault="007B5D76" w:rsidP="00F77C66">
      <w:pPr>
        <w:keepNext/>
        <w:widowControl w:val="0"/>
        <w:tabs>
          <w:tab w:val="left" w:pos="567"/>
        </w:tabs>
        <w:rPr>
          <w:color w:val="000000"/>
          <w:sz w:val="22"/>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6710"/>
      </w:tblGrid>
      <w:tr w:rsidR="007B5D76" w:rsidRPr="006774D3" w14:paraId="05B8B99A" w14:textId="77777777" w:rsidTr="00FA5D6F">
        <w:trPr>
          <w:cantSplit/>
        </w:trPr>
        <w:tc>
          <w:tcPr>
            <w:tcW w:w="2358" w:type="dxa"/>
            <w:shd w:val="clear" w:color="auto" w:fill="auto"/>
          </w:tcPr>
          <w:p w14:paraId="05B8B992" w14:textId="77777777" w:rsidR="007B5D76" w:rsidRPr="006774D3" w:rsidRDefault="007B5D76" w:rsidP="00F77C66">
            <w:pPr>
              <w:widowControl w:val="0"/>
              <w:tabs>
                <w:tab w:val="left" w:pos="567"/>
              </w:tabs>
              <w:rPr>
                <w:color w:val="000000"/>
                <w:sz w:val="22"/>
                <w:szCs w:val="20"/>
              </w:rPr>
            </w:pPr>
            <w:r w:rsidRPr="006774D3">
              <w:rPr>
                <w:color w:val="000000"/>
                <w:sz w:val="22"/>
                <w:szCs w:val="20"/>
              </w:rPr>
              <w:t>Upprætingarhluti 1</w:t>
            </w:r>
          </w:p>
          <w:p w14:paraId="05B8B993" w14:textId="77777777" w:rsidR="007B5D76" w:rsidRPr="006774D3" w:rsidRDefault="007B5D76" w:rsidP="00F77C66">
            <w:pPr>
              <w:widowControl w:val="0"/>
              <w:tabs>
                <w:tab w:val="left" w:pos="567"/>
              </w:tabs>
              <w:rPr>
                <w:color w:val="000000"/>
                <w:sz w:val="22"/>
                <w:szCs w:val="20"/>
              </w:rPr>
            </w:pPr>
            <w:r w:rsidRPr="006774D3">
              <w:rPr>
                <w:color w:val="000000"/>
                <w:sz w:val="22"/>
                <w:szCs w:val="20"/>
              </w:rPr>
              <w:t>(3 vikur)</w:t>
            </w:r>
          </w:p>
        </w:tc>
        <w:tc>
          <w:tcPr>
            <w:tcW w:w="6929" w:type="dxa"/>
            <w:shd w:val="clear" w:color="auto" w:fill="auto"/>
          </w:tcPr>
          <w:p w14:paraId="05B8B994" w14:textId="77777777" w:rsidR="007B5D76" w:rsidRPr="006774D3" w:rsidRDefault="007B5D76"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t>16 (100 mg/m</w:t>
            </w:r>
            <w:r w:rsidRPr="006774D3">
              <w:rPr>
                <w:color w:val="000000"/>
                <w:sz w:val="22"/>
                <w:szCs w:val="20"/>
                <w:vertAlign w:val="superscript"/>
              </w:rPr>
              <w:t>2</w:t>
            </w:r>
            <w:r w:rsidRPr="006774D3">
              <w:rPr>
                <w:color w:val="000000"/>
                <w:sz w:val="22"/>
                <w:szCs w:val="20"/>
              </w:rPr>
              <w:t>/sólarhring, i.v.): dagar 1</w:t>
            </w:r>
            <w:r w:rsidRPr="006774D3">
              <w:rPr>
                <w:color w:val="000000"/>
                <w:sz w:val="22"/>
                <w:szCs w:val="20"/>
              </w:rPr>
              <w:noBreakHyphen/>
              <w:t>5</w:t>
            </w:r>
          </w:p>
          <w:p w14:paraId="05B8B995" w14:textId="77777777" w:rsidR="007B5D76" w:rsidRPr="006774D3" w:rsidRDefault="007B5D76" w:rsidP="00F77C66">
            <w:pPr>
              <w:widowControl w:val="0"/>
              <w:tabs>
                <w:tab w:val="left" w:pos="567"/>
              </w:tabs>
              <w:rPr>
                <w:color w:val="000000"/>
                <w:sz w:val="22"/>
                <w:szCs w:val="20"/>
              </w:rPr>
            </w:pPr>
            <w:r w:rsidRPr="006774D3">
              <w:rPr>
                <w:color w:val="000000"/>
                <w:sz w:val="22"/>
                <w:szCs w:val="20"/>
              </w:rPr>
              <w:t>Ifosfamid (1,8 g/m</w:t>
            </w:r>
            <w:r w:rsidRPr="006774D3">
              <w:rPr>
                <w:color w:val="000000"/>
                <w:sz w:val="22"/>
                <w:szCs w:val="20"/>
                <w:vertAlign w:val="superscript"/>
              </w:rPr>
              <w:t>2</w:t>
            </w:r>
            <w:r w:rsidRPr="006774D3">
              <w:rPr>
                <w:color w:val="000000"/>
                <w:sz w:val="22"/>
                <w:szCs w:val="20"/>
              </w:rPr>
              <w:t>/sólarhring, i.v.): dagar 1</w:t>
            </w:r>
            <w:r w:rsidRPr="006774D3">
              <w:rPr>
                <w:color w:val="000000"/>
                <w:sz w:val="22"/>
                <w:szCs w:val="20"/>
              </w:rPr>
              <w:noBreakHyphen/>
              <w:t>5</w:t>
            </w:r>
          </w:p>
          <w:p w14:paraId="05B8B996"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MESNA (360 mg/m</w:t>
            </w:r>
            <w:r w:rsidRPr="006774D3">
              <w:rPr>
                <w:color w:val="000000"/>
                <w:sz w:val="22"/>
                <w:szCs w:val="20"/>
                <w:vertAlign w:val="superscript"/>
              </w:rPr>
              <w:t>2</w:t>
            </w:r>
            <w:r w:rsidRPr="006774D3">
              <w:rPr>
                <w:color w:val="000000"/>
                <w:sz w:val="22"/>
                <w:szCs w:val="20"/>
              </w:rPr>
              <w:t>/skammt á 3 klst. fresti, x 8 skammtar/sólarhring, i.v.): dagar 1</w:t>
            </w:r>
            <w:r w:rsidRPr="006774D3">
              <w:rPr>
                <w:color w:val="000000"/>
                <w:sz w:val="22"/>
                <w:szCs w:val="20"/>
              </w:rPr>
              <w:noBreakHyphen/>
              <w:t>5</w:t>
            </w:r>
          </w:p>
          <w:p w14:paraId="05B8B997"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6</w:t>
            </w:r>
            <w:r w:rsidRPr="006774D3">
              <w:rPr>
                <w:color w:val="000000"/>
                <w:sz w:val="22"/>
                <w:szCs w:val="20"/>
              </w:rPr>
              <w:noBreakHyphen/>
              <w:t>15 eða þar til ANC &gt; 1500 eftir lægsta gildi</w:t>
            </w:r>
          </w:p>
          <w:p w14:paraId="05B8B998" w14:textId="77777777" w:rsidR="007B5D76" w:rsidRPr="006774D3" w:rsidRDefault="007B5D76" w:rsidP="00F77C66">
            <w:pPr>
              <w:widowControl w:val="0"/>
              <w:tabs>
                <w:tab w:val="left" w:pos="567"/>
              </w:tabs>
              <w:rPr>
                <w:color w:val="000000"/>
                <w:sz w:val="22"/>
                <w:szCs w:val="20"/>
              </w:rPr>
            </w:pPr>
            <w:r w:rsidRPr="006774D3">
              <w:rPr>
                <w:color w:val="000000"/>
                <w:sz w:val="22"/>
                <w:szCs w:val="20"/>
              </w:rPr>
              <w:t>I.t. metótrexat (aðlagað að aldri): dagur 1 EINGÖNGU</w:t>
            </w:r>
          </w:p>
          <w:p w14:paraId="05B8B999"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8 og 15</w:t>
            </w:r>
          </w:p>
        </w:tc>
      </w:tr>
      <w:tr w:rsidR="007B5D76" w:rsidRPr="006774D3" w14:paraId="05B8B9A2" w14:textId="77777777" w:rsidTr="00FA5D6F">
        <w:trPr>
          <w:cantSplit/>
        </w:trPr>
        <w:tc>
          <w:tcPr>
            <w:tcW w:w="2358" w:type="dxa"/>
            <w:shd w:val="clear" w:color="auto" w:fill="auto"/>
          </w:tcPr>
          <w:p w14:paraId="05B8B99B" w14:textId="77777777" w:rsidR="007B5D76" w:rsidRPr="006774D3" w:rsidRDefault="007B5D76" w:rsidP="00F77C66">
            <w:pPr>
              <w:widowControl w:val="0"/>
              <w:tabs>
                <w:tab w:val="left" w:pos="567"/>
              </w:tabs>
              <w:rPr>
                <w:color w:val="000000"/>
                <w:sz w:val="22"/>
                <w:szCs w:val="20"/>
              </w:rPr>
            </w:pPr>
            <w:r w:rsidRPr="006774D3">
              <w:rPr>
                <w:color w:val="000000"/>
                <w:sz w:val="22"/>
                <w:szCs w:val="20"/>
              </w:rPr>
              <w:t>Upprætingarhluti 2</w:t>
            </w:r>
          </w:p>
          <w:p w14:paraId="05B8B99C" w14:textId="77777777" w:rsidR="007B5D76" w:rsidRPr="006774D3" w:rsidRDefault="007B5D76" w:rsidP="00F77C66">
            <w:pPr>
              <w:widowControl w:val="0"/>
              <w:tabs>
                <w:tab w:val="left" w:pos="567"/>
              </w:tabs>
              <w:rPr>
                <w:color w:val="000000"/>
                <w:sz w:val="22"/>
                <w:szCs w:val="20"/>
              </w:rPr>
            </w:pPr>
            <w:r w:rsidRPr="006774D3">
              <w:rPr>
                <w:color w:val="000000"/>
                <w:sz w:val="22"/>
                <w:szCs w:val="20"/>
              </w:rPr>
              <w:t>(3 vikur)</w:t>
            </w:r>
          </w:p>
        </w:tc>
        <w:tc>
          <w:tcPr>
            <w:tcW w:w="6929" w:type="dxa"/>
            <w:shd w:val="clear" w:color="auto" w:fill="auto"/>
          </w:tcPr>
          <w:p w14:paraId="05B8B99D"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Metótrexat (5 g/m</w:t>
            </w:r>
            <w:r w:rsidRPr="006774D3">
              <w:rPr>
                <w:color w:val="000000"/>
                <w:sz w:val="22"/>
                <w:szCs w:val="20"/>
                <w:vertAlign w:val="superscript"/>
              </w:rPr>
              <w:t>2</w:t>
            </w:r>
            <w:r w:rsidRPr="006774D3">
              <w:rPr>
                <w:color w:val="000000"/>
                <w:sz w:val="22"/>
                <w:szCs w:val="20"/>
              </w:rPr>
              <w:t xml:space="preserve"> á 24 klst., i.v.): dagur 1</w:t>
            </w:r>
          </w:p>
          <w:p w14:paraId="05B8B99E" w14:textId="77777777" w:rsidR="007B5D76" w:rsidRPr="006774D3" w:rsidRDefault="007B5D76"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á 36. klst. i.v.; 15 mg/m</w:t>
            </w:r>
            <w:r w:rsidRPr="006774D3">
              <w:rPr>
                <w:color w:val="000000"/>
                <w:sz w:val="22"/>
                <w:szCs w:val="20"/>
                <w:vertAlign w:val="superscript"/>
              </w:rPr>
              <w:t>2</w:t>
            </w:r>
            <w:r w:rsidRPr="006774D3">
              <w:rPr>
                <w:color w:val="000000"/>
                <w:sz w:val="22"/>
                <w:szCs w:val="20"/>
              </w:rPr>
              <w:t xml:space="preserve"> i.v. eða til inntöku á 6 klst. fresti x 6 skammtar)iii: dagar 2 og 3</w:t>
            </w:r>
          </w:p>
          <w:p w14:paraId="05B8B99F"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dagur 1</w:t>
            </w:r>
          </w:p>
          <w:p w14:paraId="05B8B9A0" w14:textId="77777777" w:rsidR="007B5D76" w:rsidRPr="006774D3" w:rsidRDefault="007B5D76" w:rsidP="00F77C66">
            <w:pPr>
              <w:widowControl w:val="0"/>
              <w:tabs>
                <w:tab w:val="left" w:pos="567"/>
              </w:tabs>
              <w:rPr>
                <w:color w:val="000000"/>
                <w:sz w:val="22"/>
                <w:szCs w:val="20"/>
              </w:rPr>
            </w:pPr>
            <w:r w:rsidRPr="006774D3">
              <w:rPr>
                <w:color w:val="000000"/>
                <w:sz w:val="22"/>
                <w:szCs w:val="20"/>
              </w:rPr>
              <w:t>ARA-C (3 g/m</w:t>
            </w:r>
            <w:r w:rsidRPr="006774D3">
              <w:rPr>
                <w:color w:val="000000"/>
                <w:sz w:val="22"/>
                <w:szCs w:val="20"/>
                <w:vertAlign w:val="superscript"/>
              </w:rPr>
              <w:t>2</w:t>
            </w:r>
            <w:r w:rsidRPr="006774D3">
              <w:rPr>
                <w:color w:val="000000"/>
                <w:sz w:val="22"/>
                <w:szCs w:val="20"/>
              </w:rPr>
              <w:t>/skammt á 12 klst. fresti x 4, i.v.): dagar 2 og 3</w:t>
            </w:r>
          </w:p>
          <w:p w14:paraId="05B8B9A1"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4</w:t>
            </w:r>
            <w:r w:rsidRPr="006774D3">
              <w:rPr>
                <w:color w:val="000000"/>
                <w:sz w:val="22"/>
                <w:szCs w:val="20"/>
              </w:rPr>
              <w:noBreakHyphen/>
              <w:t>13 eða þar til ANC &gt; 1500 eftir lægsta gildi</w:t>
            </w:r>
          </w:p>
        </w:tc>
      </w:tr>
      <w:tr w:rsidR="007B5D76" w:rsidRPr="006774D3" w14:paraId="05B8B9AC" w14:textId="77777777" w:rsidTr="00FA5D6F">
        <w:trPr>
          <w:cantSplit/>
        </w:trPr>
        <w:tc>
          <w:tcPr>
            <w:tcW w:w="2358" w:type="dxa"/>
            <w:shd w:val="clear" w:color="auto" w:fill="auto"/>
          </w:tcPr>
          <w:p w14:paraId="05B8B9A3" w14:textId="77777777" w:rsidR="007B5D76" w:rsidRPr="006774D3" w:rsidRDefault="007B5D76" w:rsidP="00F77C66">
            <w:pPr>
              <w:widowControl w:val="0"/>
              <w:tabs>
                <w:tab w:val="left" w:pos="567"/>
              </w:tabs>
              <w:rPr>
                <w:color w:val="000000"/>
                <w:sz w:val="22"/>
                <w:szCs w:val="20"/>
              </w:rPr>
            </w:pPr>
            <w:r w:rsidRPr="006774D3">
              <w:rPr>
                <w:color w:val="000000"/>
                <w:sz w:val="22"/>
                <w:szCs w:val="20"/>
              </w:rPr>
              <w:t>Endurinnleiðsluhluti 1</w:t>
            </w:r>
          </w:p>
          <w:p w14:paraId="05B8B9A4" w14:textId="77777777" w:rsidR="007B5D76" w:rsidRPr="006774D3" w:rsidRDefault="007B5D76" w:rsidP="00F77C66">
            <w:pPr>
              <w:widowControl w:val="0"/>
              <w:tabs>
                <w:tab w:val="left" w:pos="567"/>
              </w:tabs>
              <w:rPr>
                <w:color w:val="000000"/>
                <w:sz w:val="22"/>
                <w:szCs w:val="20"/>
              </w:rPr>
            </w:pPr>
            <w:r w:rsidRPr="006774D3">
              <w:rPr>
                <w:color w:val="000000"/>
                <w:sz w:val="22"/>
                <w:szCs w:val="20"/>
              </w:rPr>
              <w:t>(3 vikur)</w:t>
            </w:r>
          </w:p>
        </w:tc>
        <w:tc>
          <w:tcPr>
            <w:tcW w:w="6929" w:type="dxa"/>
            <w:shd w:val="clear" w:color="auto" w:fill="auto"/>
          </w:tcPr>
          <w:p w14:paraId="05B8B9A5" w14:textId="77777777" w:rsidR="007B5D76" w:rsidRPr="006774D3" w:rsidRDefault="007B5D76" w:rsidP="00F77C66">
            <w:pPr>
              <w:widowControl w:val="0"/>
              <w:tabs>
                <w:tab w:val="left" w:pos="567"/>
              </w:tabs>
              <w:rPr>
                <w:color w:val="000000"/>
                <w:sz w:val="22"/>
                <w:szCs w:val="20"/>
              </w:rPr>
            </w:pPr>
            <w:r w:rsidRPr="006774D3">
              <w:rPr>
                <w:color w:val="000000"/>
                <w:sz w:val="22"/>
                <w:szCs w:val="20"/>
              </w:rPr>
              <w:t>VCR (1,5 mg/m</w:t>
            </w:r>
            <w:r w:rsidRPr="006774D3">
              <w:rPr>
                <w:color w:val="000000"/>
                <w:sz w:val="22"/>
                <w:szCs w:val="20"/>
                <w:vertAlign w:val="superscript"/>
              </w:rPr>
              <w:t>2</w:t>
            </w:r>
            <w:r w:rsidRPr="006774D3">
              <w:rPr>
                <w:color w:val="000000"/>
                <w:sz w:val="22"/>
                <w:szCs w:val="20"/>
              </w:rPr>
              <w:t>/sólarhring, i.v.): dagar 1, 8, og 15</w:t>
            </w:r>
          </w:p>
          <w:p w14:paraId="05B8B9A6" w14:textId="77777777" w:rsidR="007B5D76" w:rsidRPr="006774D3" w:rsidRDefault="007B5D76" w:rsidP="00F77C66">
            <w:pPr>
              <w:widowControl w:val="0"/>
              <w:tabs>
                <w:tab w:val="left" w:pos="567"/>
              </w:tabs>
              <w:rPr>
                <w:color w:val="000000"/>
                <w:sz w:val="22"/>
                <w:szCs w:val="20"/>
              </w:rPr>
            </w:pPr>
            <w:r w:rsidRPr="006774D3">
              <w:rPr>
                <w:color w:val="000000"/>
                <w:sz w:val="22"/>
                <w:szCs w:val="20"/>
              </w:rPr>
              <w:t>DAUN (45 mg/m</w:t>
            </w:r>
            <w:r w:rsidRPr="006774D3">
              <w:rPr>
                <w:color w:val="000000"/>
                <w:sz w:val="22"/>
                <w:szCs w:val="20"/>
                <w:vertAlign w:val="superscript"/>
              </w:rPr>
              <w:t>2</w:t>
            </w:r>
            <w:r w:rsidRPr="006774D3">
              <w:rPr>
                <w:color w:val="000000"/>
                <w:sz w:val="22"/>
                <w:szCs w:val="20"/>
              </w:rPr>
              <w:t>/sólarhring í einum skammti [bolus], i.v.): dagar 1 og 2</w:t>
            </w:r>
          </w:p>
          <w:p w14:paraId="05B8B9A7" w14:textId="77777777" w:rsidR="007B5D76" w:rsidRPr="006774D3" w:rsidRDefault="007B5D76" w:rsidP="00F77C66">
            <w:pPr>
              <w:widowControl w:val="0"/>
              <w:tabs>
                <w:tab w:val="left" w:pos="567"/>
              </w:tabs>
              <w:rPr>
                <w:color w:val="000000"/>
                <w:sz w:val="22"/>
                <w:szCs w:val="20"/>
              </w:rPr>
            </w:pPr>
            <w:r w:rsidRPr="006774D3">
              <w:rPr>
                <w:color w:val="000000"/>
                <w:sz w:val="22"/>
                <w:szCs w:val="20"/>
              </w:rPr>
              <w:t>CPM (250 mg/m</w:t>
            </w:r>
            <w:r w:rsidRPr="006774D3">
              <w:rPr>
                <w:color w:val="000000"/>
                <w:sz w:val="22"/>
                <w:szCs w:val="20"/>
                <w:vertAlign w:val="superscript"/>
              </w:rPr>
              <w:t>2</w:t>
            </w:r>
            <w:r w:rsidRPr="006774D3">
              <w:rPr>
                <w:color w:val="000000"/>
                <w:sz w:val="22"/>
                <w:szCs w:val="20"/>
              </w:rPr>
              <w:t>/skammt á 12 klst. fresti x 4 skammtar, i.v.): dagar 3 og 4</w:t>
            </w:r>
          </w:p>
          <w:p w14:paraId="05B8B9A8" w14:textId="77777777" w:rsidR="007B5D76" w:rsidRPr="006774D3" w:rsidRDefault="007B5D76" w:rsidP="00F77C66">
            <w:pPr>
              <w:widowControl w:val="0"/>
              <w:tabs>
                <w:tab w:val="left" w:pos="567"/>
              </w:tabs>
              <w:rPr>
                <w:color w:val="000000"/>
                <w:sz w:val="22"/>
                <w:szCs w:val="20"/>
              </w:rPr>
            </w:pPr>
            <w:r w:rsidRPr="006774D3">
              <w:rPr>
                <w:color w:val="000000"/>
                <w:sz w:val="22"/>
                <w:szCs w:val="20"/>
              </w:rPr>
              <w:t>PEG</w:t>
            </w:r>
            <w:r w:rsidRPr="006774D3">
              <w:rPr>
                <w:color w:val="000000"/>
                <w:sz w:val="22"/>
                <w:szCs w:val="20"/>
              </w:rPr>
              <w:noBreakHyphen/>
              <w:t>ASP (2500 a.einingar/m</w:t>
            </w:r>
            <w:r w:rsidRPr="006774D3">
              <w:rPr>
                <w:color w:val="000000"/>
                <w:sz w:val="22"/>
                <w:szCs w:val="20"/>
                <w:vertAlign w:val="superscript"/>
              </w:rPr>
              <w:t>2</w:t>
            </w:r>
            <w:r w:rsidRPr="006774D3">
              <w:rPr>
                <w:color w:val="000000"/>
                <w:sz w:val="22"/>
                <w:szCs w:val="20"/>
              </w:rPr>
              <w:t>, i.m.): dagur 4</w:t>
            </w:r>
          </w:p>
          <w:p w14:paraId="05B8B9A9"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5</w:t>
            </w:r>
            <w:r w:rsidRPr="006774D3">
              <w:rPr>
                <w:color w:val="000000"/>
                <w:sz w:val="22"/>
                <w:szCs w:val="20"/>
              </w:rPr>
              <w:noBreakHyphen/>
              <w:t>14 eða þar til ANC &gt; 1500 eftir lægsta gildi</w:t>
            </w:r>
          </w:p>
          <w:p w14:paraId="05B8B9AA"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1 og 15</w:t>
            </w:r>
          </w:p>
          <w:p w14:paraId="05B8B9AB" w14:textId="77777777" w:rsidR="007B5D76" w:rsidRPr="006774D3" w:rsidRDefault="007B5D76"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7 og 15</w:t>
            </w:r>
            <w:r w:rsidRPr="006774D3">
              <w:rPr>
                <w:color w:val="000000"/>
                <w:sz w:val="22"/>
                <w:szCs w:val="20"/>
              </w:rPr>
              <w:noBreakHyphen/>
              <w:t>21</w:t>
            </w:r>
          </w:p>
        </w:tc>
      </w:tr>
      <w:tr w:rsidR="007B5D76" w:rsidRPr="006774D3" w14:paraId="05B8B9B8" w14:textId="77777777" w:rsidTr="00FA5D6F">
        <w:trPr>
          <w:cantSplit/>
        </w:trPr>
        <w:tc>
          <w:tcPr>
            <w:tcW w:w="2358" w:type="dxa"/>
            <w:shd w:val="clear" w:color="auto" w:fill="auto"/>
          </w:tcPr>
          <w:p w14:paraId="05B8B9AD" w14:textId="77777777" w:rsidR="007B5D76" w:rsidRPr="006774D3" w:rsidRDefault="007B5D76" w:rsidP="00F77C66">
            <w:pPr>
              <w:widowControl w:val="0"/>
              <w:tabs>
                <w:tab w:val="left" w:pos="567"/>
              </w:tabs>
              <w:rPr>
                <w:color w:val="000000"/>
                <w:sz w:val="22"/>
                <w:szCs w:val="20"/>
              </w:rPr>
            </w:pPr>
            <w:r w:rsidRPr="006774D3">
              <w:rPr>
                <w:color w:val="000000"/>
                <w:sz w:val="22"/>
                <w:szCs w:val="20"/>
              </w:rPr>
              <w:lastRenderedPageBreak/>
              <w:t>Eflingarhluti 1</w:t>
            </w:r>
          </w:p>
          <w:p w14:paraId="05B8B9AE" w14:textId="77777777" w:rsidR="007B5D76" w:rsidRPr="006774D3" w:rsidRDefault="007B5D76" w:rsidP="00F77C66">
            <w:pPr>
              <w:widowControl w:val="0"/>
              <w:tabs>
                <w:tab w:val="left" w:pos="567"/>
              </w:tabs>
              <w:rPr>
                <w:color w:val="000000"/>
                <w:sz w:val="22"/>
                <w:szCs w:val="20"/>
              </w:rPr>
            </w:pPr>
            <w:r w:rsidRPr="006774D3">
              <w:rPr>
                <w:color w:val="000000"/>
                <w:sz w:val="22"/>
                <w:szCs w:val="20"/>
              </w:rPr>
              <w:t>(9 vikur)</w:t>
            </w:r>
          </w:p>
        </w:tc>
        <w:tc>
          <w:tcPr>
            <w:tcW w:w="6929" w:type="dxa"/>
            <w:shd w:val="clear" w:color="auto" w:fill="auto"/>
          </w:tcPr>
          <w:p w14:paraId="05B8B9AF"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Metótrexat (5 g/m</w:t>
            </w:r>
            <w:r w:rsidRPr="006774D3">
              <w:rPr>
                <w:color w:val="000000"/>
                <w:sz w:val="22"/>
                <w:szCs w:val="20"/>
                <w:vertAlign w:val="superscript"/>
              </w:rPr>
              <w:t>2</w:t>
            </w:r>
            <w:r w:rsidRPr="006774D3">
              <w:rPr>
                <w:color w:val="000000"/>
                <w:sz w:val="22"/>
                <w:szCs w:val="20"/>
              </w:rPr>
              <w:t xml:space="preserve"> á 24 klst, i.v.): dagar 1 og 15</w:t>
            </w:r>
          </w:p>
          <w:p w14:paraId="05B8B9B0" w14:textId="77777777" w:rsidR="007B5D76" w:rsidRPr="006774D3" w:rsidRDefault="007B5D76"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á 36. klst. i.v.; 15 mg/m</w:t>
            </w:r>
            <w:r w:rsidRPr="006774D3">
              <w:rPr>
                <w:color w:val="000000"/>
                <w:sz w:val="22"/>
                <w:szCs w:val="20"/>
                <w:vertAlign w:val="superscript"/>
              </w:rPr>
              <w:t>2</w:t>
            </w:r>
            <w:r w:rsidRPr="006774D3">
              <w:rPr>
                <w:color w:val="000000"/>
                <w:sz w:val="22"/>
                <w:szCs w:val="20"/>
              </w:rPr>
              <w:t xml:space="preserve"> i.v. eða til inntöku á 6 klst. fresti x 6 skammtar)iii: dagar 2, 3, 16 og 17</w:t>
            </w:r>
          </w:p>
          <w:p w14:paraId="05B8B9B1"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1 og 22</w:t>
            </w:r>
          </w:p>
          <w:p w14:paraId="05B8B9B2" w14:textId="77777777" w:rsidR="007B5D76" w:rsidRPr="006774D3" w:rsidRDefault="007B5D76"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t>16 (100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B3" w14:textId="77777777" w:rsidR="007B5D76" w:rsidRPr="006774D3" w:rsidRDefault="007B5D76"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B4"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MESNA (150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B5"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27</w:t>
            </w:r>
            <w:r w:rsidRPr="006774D3">
              <w:rPr>
                <w:color w:val="000000"/>
                <w:sz w:val="22"/>
                <w:szCs w:val="20"/>
              </w:rPr>
              <w:noBreakHyphen/>
              <w:t>36 eða þar til ANC &gt; 1500 eftir lægsta gildi</w:t>
            </w:r>
          </w:p>
          <w:p w14:paraId="05B8B9B6" w14:textId="77777777" w:rsidR="007B5D76" w:rsidRPr="006774D3" w:rsidRDefault="007B5D76" w:rsidP="00F77C66">
            <w:pPr>
              <w:widowControl w:val="0"/>
              <w:tabs>
                <w:tab w:val="left" w:pos="567"/>
              </w:tabs>
              <w:rPr>
                <w:color w:val="000000"/>
                <w:sz w:val="22"/>
                <w:szCs w:val="20"/>
              </w:rPr>
            </w:pPr>
            <w:r w:rsidRPr="006774D3">
              <w:rPr>
                <w:color w:val="000000"/>
                <w:sz w:val="22"/>
                <w:szCs w:val="20"/>
              </w:rPr>
              <w:t>ARA</w:t>
            </w:r>
            <w:r w:rsidRPr="006774D3">
              <w:rPr>
                <w:color w:val="000000"/>
                <w:sz w:val="22"/>
                <w:szCs w:val="20"/>
              </w:rPr>
              <w:noBreakHyphen/>
              <w:t>C (3 g/m</w:t>
            </w:r>
            <w:r w:rsidRPr="006774D3">
              <w:rPr>
                <w:color w:val="000000"/>
                <w:sz w:val="22"/>
                <w:szCs w:val="20"/>
                <w:vertAlign w:val="superscript"/>
              </w:rPr>
              <w:t>2</w:t>
            </w:r>
            <w:r w:rsidRPr="006774D3">
              <w:rPr>
                <w:color w:val="000000"/>
                <w:sz w:val="22"/>
                <w:szCs w:val="20"/>
              </w:rPr>
              <w:t>, á 12 klst. fresti, i.v.): dagar 43 og 44</w:t>
            </w:r>
          </w:p>
          <w:p w14:paraId="05B8B9B7" w14:textId="77777777" w:rsidR="007B5D76" w:rsidRPr="006774D3" w:rsidRDefault="007B5D76" w:rsidP="00F77C66">
            <w:pPr>
              <w:widowControl w:val="0"/>
              <w:tabs>
                <w:tab w:val="left" w:pos="567"/>
              </w:tabs>
              <w:rPr>
                <w:color w:val="000000"/>
                <w:sz w:val="22"/>
                <w:szCs w:val="20"/>
              </w:rPr>
            </w:pPr>
            <w:r w:rsidRPr="006774D3">
              <w:rPr>
                <w:color w:val="000000"/>
                <w:sz w:val="22"/>
                <w:szCs w:val="20"/>
              </w:rPr>
              <w:t>L</w:t>
            </w:r>
            <w:r w:rsidRPr="006774D3">
              <w:rPr>
                <w:color w:val="000000"/>
                <w:sz w:val="22"/>
                <w:szCs w:val="20"/>
              </w:rPr>
              <w:noBreakHyphen/>
              <w:t>ASP (6000 a.einingar/m</w:t>
            </w:r>
            <w:r w:rsidRPr="006774D3">
              <w:rPr>
                <w:color w:val="000000"/>
                <w:sz w:val="22"/>
                <w:szCs w:val="20"/>
                <w:vertAlign w:val="superscript"/>
              </w:rPr>
              <w:t>2</w:t>
            </w:r>
            <w:r w:rsidRPr="006774D3">
              <w:rPr>
                <w:color w:val="000000"/>
                <w:sz w:val="22"/>
                <w:szCs w:val="20"/>
              </w:rPr>
              <w:t>, i.m.): dagur 44</w:t>
            </w:r>
          </w:p>
        </w:tc>
      </w:tr>
      <w:tr w:rsidR="007B5D76" w:rsidRPr="006774D3" w14:paraId="05B8B9C2" w14:textId="77777777" w:rsidTr="00FA5D6F">
        <w:trPr>
          <w:cantSplit/>
        </w:trPr>
        <w:tc>
          <w:tcPr>
            <w:tcW w:w="2358" w:type="dxa"/>
            <w:shd w:val="clear" w:color="auto" w:fill="auto"/>
          </w:tcPr>
          <w:p w14:paraId="05B8B9B9" w14:textId="77777777" w:rsidR="007B5D76" w:rsidRPr="006774D3" w:rsidRDefault="007B5D76" w:rsidP="00F77C66">
            <w:pPr>
              <w:widowControl w:val="0"/>
              <w:tabs>
                <w:tab w:val="left" w:pos="567"/>
              </w:tabs>
              <w:rPr>
                <w:color w:val="000000"/>
                <w:sz w:val="22"/>
                <w:szCs w:val="20"/>
              </w:rPr>
            </w:pPr>
            <w:r w:rsidRPr="006774D3">
              <w:rPr>
                <w:color w:val="000000"/>
                <w:sz w:val="22"/>
                <w:szCs w:val="20"/>
              </w:rPr>
              <w:t>Endurinnleiðsluhluti 2</w:t>
            </w:r>
          </w:p>
          <w:p w14:paraId="05B8B9BA" w14:textId="77777777" w:rsidR="007B5D76" w:rsidRPr="006774D3" w:rsidRDefault="007B5D76" w:rsidP="00F77C66">
            <w:pPr>
              <w:widowControl w:val="0"/>
              <w:tabs>
                <w:tab w:val="left" w:pos="567"/>
              </w:tabs>
              <w:rPr>
                <w:color w:val="000000"/>
                <w:sz w:val="22"/>
                <w:szCs w:val="20"/>
              </w:rPr>
            </w:pPr>
            <w:r w:rsidRPr="006774D3">
              <w:rPr>
                <w:color w:val="000000"/>
                <w:sz w:val="22"/>
                <w:szCs w:val="20"/>
              </w:rPr>
              <w:t>(3 vikur)</w:t>
            </w:r>
          </w:p>
        </w:tc>
        <w:tc>
          <w:tcPr>
            <w:tcW w:w="6929" w:type="dxa"/>
            <w:shd w:val="clear" w:color="auto" w:fill="auto"/>
          </w:tcPr>
          <w:p w14:paraId="05B8B9BB" w14:textId="77777777" w:rsidR="007B5D76" w:rsidRPr="006774D3" w:rsidRDefault="007B5D76" w:rsidP="00F77C66">
            <w:pPr>
              <w:widowControl w:val="0"/>
              <w:tabs>
                <w:tab w:val="left" w:pos="567"/>
              </w:tabs>
              <w:rPr>
                <w:color w:val="000000"/>
                <w:sz w:val="22"/>
                <w:szCs w:val="20"/>
              </w:rPr>
            </w:pPr>
            <w:r w:rsidRPr="006774D3">
              <w:rPr>
                <w:color w:val="000000"/>
                <w:sz w:val="22"/>
                <w:szCs w:val="20"/>
              </w:rPr>
              <w:t>VCR (1,5 mg/m</w:t>
            </w:r>
            <w:r w:rsidRPr="006774D3">
              <w:rPr>
                <w:color w:val="000000"/>
                <w:sz w:val="22"/>
                <w:szCs w:val="20"/>
                <w:vertAlign w:val="superscript"/>
              </w:rPr>
              <w:t>2</w:t>
            </w:r>
            <w:r w:rsidRPr="006774D3">
              <w:rPr>
                <w:color w:val="000000"/>
                <w:sz w:val="22"/>
                <w:szCs w:val="20"/>
              </w:rPr>
              <w:t>/sólarhring, i.v.): dagar 1, 8 og 15</w:t>
            </w:r>
          </w:p>
          <w:p w14:paraId="05B8B9BC" w14:textId="77777777" w:rsidR="007B5D76" w:rsidRPr="006774D3" w:rsidRDefault="007B5D76" w:rsidP="00F77C66">
            <w:pPr>
              <w:widowControl w:val="0"/>
              <w:tabs>
                <w:tab w:val="left" w:pos="567"/>
              </w:tabs>
              <w:rPr>
                <w:color w:val="000000"/>
                <w:sz w:val="22"/>
                <w:szCs w:val="20"/>
              </w:rPr>
            </w:pPr>
            <w:r w:rsidRPr="006774D3">
              <w:rPr>
                <w:color w:val="000000"/>
                <w:sz w:val="22"/>
                <w:szCs w:val="20"/>
              </w:rPr>
              <w:t>DAUN (45 mg/m</w:t>
            </w:r>
            <w:r w:rsidRPr="006774D3">
              <w:rPr>
                <w:color w:val="000000"/>
                <w:sz w:val="22"/>
                <w:szCs w:val="20"/>
                <w:vertAlign w:val="superscript"/>
              </w:rPr>
              <w:t>2</w:t>
            </w:r>
            <w:r w:rsidRPr="006774D3">
              <w:rPr>
                <w:color w:val="000000"/>
                <w:sz w:val="22"/>
                <w:szCs w:val="20"/>
              </w:rPr>
              <w:t>/sólarhring í einum skammti [bolus], i.v.): dagar 1 og 2</w:t>
            </w:r>
          </w:p>
          <w:p w14:paraId="05B8B9BD" w14:textId="77777777" w:rsidR="007B5D76" w:rsidRPr="006774D3" w:rsidRDefault="007B5D76" w:rsidP="00F77C66">
            <w:pPr>
              <w:widowControl w:val="0"/>
              <w:tabs>
                <w:tab w:val="left" w:pos="567"/>
              </w:tabs>
              <w:rPr>
                <w:color w:val="000000"/>
                <w:sz w:val="22"/>
                <w:szCs w:val="20"/>
              </w:rPr>
            </w:pPr>
            <w:r w:rsidRPr="006774D3">
              <w:rPr>
                <w:color w:val="000000"/>
                <w:sz w:val="22"/>
                <w:szCs w:val="20"/>
              </w:rPr>
              <w:t>CPM (250 mg/m</w:t>
            </w:r>
            <w:r w:rsidRPr="006774D3">
              <w:rPr>
                <w:color w:val="000000"/>
                <w:sz w:val="22"/>
                <w:szCs w:val="20"/>
                <w:vertAlign w:val="superscript"/>
              </w:rPr>
              <w:t>2</w:t>
            </w:r>
            <w:r w:rsidRPr="006774D3">
              <w:rPr>
                <w:color w:val="000000"/>
                <w:sz w:val="22"/>
                <w:szCs w:val="20"/>
              </w:rPr>
              <w:t>/skammt á 12 klst. fresti x 4 skammtar, i.v.): dagar 3 og 4</w:t>
            </w:r>
          </w:p>
          <w:p w14:paraId="05B8B9BE" w14:textId="77777777" w:rsidR="007B5D76" w:rsidRPr="006774D3" w:rsidRDefault="007B5D76" w:rsidP="00F77C66">
            <w:pPr>
              <w:widowControl w:val="0"/>
              <w:tabs>
                <w:tab w:val="left" w:pos="567"/>
              </w:tabs>
              <w:rPr>
                <w:color w:val="000000"/>
                <w:sz w:val="22"/>
                <w:szCs w:val="20"/>
              </w:rPr>
            </w:pPr>
            <w:r w:rsidRPr="006774D3">
              <w:rPr>
                <w:color w:val="000000"/>
                <w:sz w:val="22"/>
                <w:szCs w:val="20"/>
              </w:rPr>
              <w:t>PEG</w:t>
            </w:r>
            <w:r w:rsidRPr="006774D3">
              <w:rPr>
                <w:color w:val="000000"/>
                <w:sz w:val="22"/>
                <w:szCs w:val="20"/>
              </w:rPr>
              <w:noBreakHyphen/>
              <w:t>ASP (2500 a.einingar/m</w:t>
            </w:r>
            <w:r w:rsidRPr="006774D3">
              <w:rPr>
                <w:color w:val="000000"/>
                <w:sz w:val="22"/>
                <w:szCs w:val="20"/>
                <w:vertAlign w:val="superscript"/>
              </w:rPr>
              <w:t>2</w:t>
            </w:r>
            <w:r w:rsidRPr="006774D3">
              <w:rPr>
                <w:color w:val="000000"/>
                <w:sz w:val="22"/>
                <w:szCs w:val="20"/>
              </w:rPr>
              <w:t>, i.m.): dagur 4</w:t>
            </w:r>
          </w:p>
          <w:p w14:paraId="05B8B9BF"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5</w:t>
            </w:r>
            <w:r w:rsidRPr="006774D3">
              <w:rPr>
                <w:color w:val="000000"/>
                <w:sz w:val="22"/>
                <w:szCs w:val="20"/>
              </w:rPr>
              <w:noBreakHyphen/>
              <w:t>14 eða þar til ANC &gt; 1500 eftir lægsta gildi</w:t>
            </w:r>
          </w:p>
          <w:p w14:paraId="05B8B9C0"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1 og 15</w:t>
            </w:r>
          </w:p>
          <w:p w14:paraId="05B8B9C1" w14:textId="77777777" w:rsidR="007B5D76" w:rsidRPr="006774D3" w:rsidRDefault="007B5D76"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7 og 15</w:t>
            </w:r>
            <w:r w:rsidRPr="006774D3">
              <w:rPr>
                <w:color w:val="000000"/>
                <w:sz w:val="22"/>
                <w:szCs w:val="20"/>
              </w:rPr>
              <w:noBreakHyphen/>
              <w:t>21</w:t>
            </w:r>
          </w:p>
        </w:tc>
      </w:tr>
      <w:tr w:rsidR="007B5D76" w:rsidRPr="006774D3" w14:paraId="05B8B9CE" w14:textId="77777777" w:rsidTr="00FA5D6F">
        <w:trPr>
          <w:cantSplit/>
        </w:trPr>
        <w:tc>
          <w:tcPr>
            <w:tcW w:w="2358" w:type="dxa"/>
            <w:shd w:val="clear" w:color="auto" w:fill="auto"/>
          </w:tcPr>
          <w:p w14:paraId="05B8B9C3" w14:textId="77777777" w:rsidR="007B5D76" w:rsidRPr="006774D3" w:rsidRDefault="007B5D76" w:rsidP="00F77C66">
            <w:pPr>
              <w:widowControl w:val="0"/>
              <w:tabs>
                <w:tab w:val="left" w:pos="567"/>
              </w:tabs>
              <w:rPr>
                <w:color w:val="000000"/>
                <w:sz w:val="22"/>
                <w:szCs w:val="20"/>
              </w:rPr>
            </w:pPr>
            <w:r w:rsidRPr="006774D3">
              <w:rPr>
                <w:color w:val="000000"/>
                <w:sz w:val="22"/>
                <w:szCs w:val="20"/>
              </w:rPr>
              <w:t>Eflingarhluti 2</w:t>
            </w:r>
          </w:p>
          <w:p w14:paraId="05B8B9C4" w14:textId="77777777" w:rsidR="007B5D76" w:rsidRPr="006774D3" w:rsidRDefault="007B5D76" w:rsidP="00F77C66">
            <w:pPr>
              <w:widowControl w:val="0"/>
              <w:tabs>
                <w:tab w:val="left" w:pos="567"/>
              </w:tabs>
              <w:rPr>
                <w:color w:val="000000"/>
                <w:sz w:val="22"/>
                <w:szCs w:val="20"/>
              </w:rPr>
            </w:pPr>
            <w:r w:rsidRPr="006774D3">
              <w:rPr>
                <w:color w:val="000000"/>
                <w:sz w:val="22"/>
                <w:szCs w:val="20"/>
              </w:rPr>
              <w:t>(9 vikur)</w:t>
            </w:r>
          </w:p>
        </w:tc>
        <w:tc>
          <w:tcPr>
            <w:tcW w:w="6929" w:type="dxa"/>
            <w:shd w:val="clear" w:color="auto" w:fill="auto"/>
          </w:tcPr>
          <w:p w14:paraId="05B8B9C5"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Metótrexat (5 g/m</w:t>
            </w:r>
            <w:r w:rsidRPr="006774D3">
              <w:rPr>
                <w:color w:val="000000"/>
                <w:sz w:val="22"/>
                <w:szCs w:val="20"/>
                <w:vertAlign w:val="superscript"/>
              </w:rPr>
              <w:t>2</w:t>
            </w:r>
            <w:r w:rsidRPr="006774D3">
              <w:rPr>
                <w:color w:val="000000"/>
                <w:sz w:val="22"/>
                <w:szCs w:val="20"/>
              </w:rPr>
              <w:t xml:space="preserve"> á 24 klst., i.v.): dagar 1 og 15</w:t>
            </w:r>
          </w:p>
          <w:p w14:paraId="05B8B9C6" w14:textId="77777777" w:rsidR="007B5D76" w:rsidRPr="006774D3" w:rsidRDefault="007B5D76"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á 36. klst. i.v.; 15 mg/m</w:t>
            </w:r>
            <w:r w:rsidRPr="006774D3">
              <w:rPr>
                <w:color w:val="000000"/>
                <w:sz w:val="22"/>
                <w:szCs w:val="20"/>
                <w:vertAlign w:val="superscript"/>
              </w:rPr>
              <w:t>2</w:t>
            </w:r>
            <w:r w:rsidRPr="006774D3">
              <w:rPr>
                <w:color w:val="000000"/>
                <w:sz w:val="22"/>
                <w:szCs w:val="20"/>
              </w:rPr>
              <w:t xml:space="preserve"> i.v. eða til inntöku á 6 klst. fresti x 6 skammtar)iii: dagar 2, 3, 16, og 17</w:t>
            </w:r>
          </w:p>
          <w:p w14:paraId="05B8B9C7"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1 og 22</w:t>
            </w:r>
          </w:p>
          <w:p w14:paraId="05B8B9C8" w14:textId="77777777" w:rsidR="007B5D76" w:rsidRPr="006774D3" w:rsidRDefault="007B5D76"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t>16 (100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C9" w14:textId="77777777" w:rsidR="007B5D76" w:rsidRPr="006774D3" w:rsidRDefault="007B5D76"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CA"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MESNA (150 mg/m</w:t>
            </w:r>
            <w:r w:rsidRPr="006774D3">
              <w:rPr>
                <w:color w:val="000000"/>
                <w:sz w:val="22"/>
                <w:szCs w:val="20"/>
                <w:vertAlign w:val="superscript"/>
              </w:rPr>
              <w:t>2</w:t>
            </w:r>
            <w:r w:rsidRPr="006774D3">
              <w:rPr>
                <w:color w:val="000000"/>
                <w:sz w:val="22"/>
                <w:szCs w:val="20"/>
              </w:rPr>
              <w:t>/sólarhring, i.v.): dagar 22</w:t>
            </w:r>
            <w:r w:rsidRPr="006774D3">
              <w:rPr>
                <w:color w:val="000000"/>
                <w:sz w:val="22"/>
                <w:szCs w:val="20"/>
              </w:rPr>
              <w:noBreakHyphen/>
              <w:t>26</w:t>
            </w:r>
          </w:p>
          <w:p w14:paraId="05B8B9CB"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27</w:t>
            </w:r>
            <w:r w:rsidRPr="006774D3">
              <w:rPr>
                <w:color w:val="000000"/>
                <w:sz w:val="22"/>
                <w:szCs w:val="20"/>
              </w:rPr>
              <w:noBreakHyphen/>
              <w:t>36 eða þar til ANC &gt; 1500 eftir lægsta skammt</w:t>
            </w:r>
          </w:p>
          <w:p w14:paraId="05B8B9CC" w14:textId="77777777" w:rsidR="007B5D76" w:rsidRPr="006774D3" w:rsidRDefault="007B5D76" w:rsidP="00F77C66">
            <w:pPr>
              <w:widowControl w:val="0"/>
              <w:tabs>
                <w:tab w:val="left" w:pos="567"/>
              </w:tabs>
              <w:rPr>
                <w:color w:val="000000"/>
                <w:sz w:val="22"/>
                <w:szCs w:val="20"/>
              </w:rPr>
            </w:pPr>
            <w:r w:rsidRPr="006774D3">
              <w:rPr>
                <w:color w:val="000000"/>
                <w:sz w:val="22"/>
                <w:szCs w:val="20"/>
              </w:rPr>
              <w:t>ARA</w:t>
            </w:r>
            <w:r w:rsidRPr="006774D3">
              <w:rPr>
                <w:color w:val="000000"/>
                <w:sz w:val="22"/>
                <w:szCs w:val="20"/>
              </w:rPr>
              <w:noBreakHyphen/>
              <w:t>C (3 g/m</w:t>
            </w:r>
            <w:r w:rsidRPr="006774D3">
              <w:rPr>
                <w:color w:val="000000"/>
                <w:sz w:val="22"/>
                <w:szCs w:val="20"/>
                <w:vertAlign w:val="superscript"/>
              </w:rPr>
              <w:t>2</w:t>
            </w:r>
            <w:r w:rsidRPr="006774D3">
              <w:rPr>
                <w:color w:val="000000"/>
                <w:sz w:val="22"/>
                <w:szCs w:val="20"/>
              </w:rPr>
              <w:t>, á 12 klst. fresti, i.v.): dagar 43 og 44</w:t>
            </w:r>
          </w:p>
          <w:p w14:paraId="05B8B9CD" w14:textId="77777777" w:rsidR="007B5D76" w:rsidRPr="006774D3" w:rsidRDefault="007B5D76" w:rsidP="00F77C66">
            <w:pPr>
              <w:widowControl w:val="0"/>
              <w:tabs>
                <w:tab w:val="left" w:pos="567"/>
              </w:tabs>
              <w:rPr>
                <w:color w:val="000000"/>
                <w:sz w:val="22"/>
                <w:szCs w:val="20"/>
              </w:rPr>
            </w:pPr>
            <w:r w:rsidRPr="006774D3">
              <w:rPr>
                <w:color w:val="000000"/>
                <w:sz w:val="22"/>
                <w:szCs w:val="20"/>
              </w:rPr>
              <w:t>L</w:t>
            </w:r>
            <w:r w:rsidRPr="006774D3">
              <w:rPr>
                <w:color w:val="000000"/>
                <w:sz w:val="22"/>
                <w:szCs w:val="20"/>
              </w:rPr>
              <w:noBreakHyphen/>
              <w:t>ASP (6000 a.einingar/m</w:t>
            </w:r>
            <w:r w:rsidRPr="006774D3">
              <w:rPr>
                <w:color w:val="000000"/>
                <w:sz w:val="22"/>
                <w:szCs w:val="20"/>
                <w:vertAlign w:val="superscript"/>
              </w:rPr>
              <w:t>2</w:t>
            </w:r>
            <w:r w:rsidRPr="006774D3">
              <w:rPr>
                <w:color w:val="000000"/>
                <w:sz w:val="22"/>
                <w:szCs w:val="20"/>
              </w:rPr>
              <w:t>, i.m.): dagur 44</w:t>
            </w:r>
          </w:p>
        </w:tc>
      </w:tr>
      <w:tr w:rsidR="007B5D76" w:rsidRPr="006774D3" w14:paraId="05B8B9DD" w14:textId="77777777" w:rsidTr="00FA5D6F">
        <w:trPr>
          <w:cantSplit/>
        </w:trPr>
        <w:tc>
          <w:tcPr>
            <w:tcW w:w="2358" w:type="dxa"/>
            <w:shd w:val="clear" w:color="auto" w:fill="auto"/>
          </w:tcPr>
          <w:p w14:paraId="05B8B9CF" w14:textId="77777777" w:rsidR="007B5D76" w:rsidRPr="006774D3" w:rsidRDefault="007B5D76" w:rsidP="00F77C66">
            <w:pPr>
              <w:widowControl w:val="0"/>
              <w:tabs>
                <w:tab w:val="left" w:pos="567"/>
              </w:tabs>
              <w:rPr>
                <w:color w:val="000000"/>
                <w:sz w:val="22"/>
                <w:szCs w:val="20"/>
              </w:rPr>
            </w:pPr>
            <w:r w:rsidRPr="006774D3">
              <w:rPr>
                <w:color w:val="000000"/>
                <w:sz w:val="22"/>
                <w:szCs w:val="22"/>
              </w:rPr>
              <w:t>Viðhaldsmeðferð</w:t>
            </w:r>
          </w:p>
          <w:p w14:paraId="05B8B9D0" w14:textId="77777777" w:rsidR="007B5D76" w:rsidRPr="006774D3" w:rsidRDefault="007B5D76" w:rsidP="00F77C66">
            <w:pPr>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t>vikna lotur)</w:t>
            </w:r>
          </w:p>
          <w:p w14:paraId="05B8B9D1" w14:textId="77777777" w:rsidR="007B5D76" w:rsidRPr="006774D3" w:rsidRDefault="007B5D76" w:rsidP="00F77C66">
            <w:pPr>
              <w:widowControl w:val="0"/>
              <w:tabs>
                <w:tab w:val="left" w:pos="567"/>
              </w:tabs>
              <w:rPr>
                <w:color w:val="000000"/>
                <w:sz w:val="22"/>
                <w:szCs w:val="20"/>
              </w:rPr>
            </w:pPr>
            <w:r w:rsidRPr="006774D3">
              <w:rPr>
                <w:color w:val="000000"/>
                <w:sz w:val="22"/>
                <w:szCs w:val="20"/>
              </w:rPr>
              <w:t>Lota 1–4</w:t>
            </w:r>
          </w:p>
        </w:tc>
        <w:tc>
          <w:tcPr>
            <w:tcW w:w="6929" w:type="dxa"/>
            <w:shd w:val="clear" w:color="auto" w:fill="auto"/>
          </w:tcPr>
          <w:p w14:paraId="05B8B9D2" w14:textId="77777777" w:rsidR="007B5D76" w:rsidRPr="006774D3" w:rsidRDefault="007B5D76" w:rsidP="00F77C66">
            <w:pPr>
              <w:widowControl w:val="0"/>
              <w:tabs>
                <w:tab w:val="left" w:pos="567"/>
              </w:tabs>
              <w:rPr>
                <w:color w:val="000000"/>
                <w:sz w:val="22"/>
                <w:szCs w:val="20"/>
              </w:rPr>
            </w:pPr>
            <w:r w:rsidRPr="006774D3">
              <w:rPr>
                <w:color w:val="000000"/>
                <w:sz w:val="22"/>
                <w:szCs w:val="20"/>
              </w:rPr>
              <w:t>MTX (5 g/m</w:t>
            </w:r>
            <w:r w:rsidRPr="006774D3">
              <w:rPr>
                <w:color w:val="000000"/>
                <w:sz w:val="22"/>
                <w:szCs w:val="20"/>
                <w:vertAlign w:val="superscript"/>
              </w:rPr>
              <w:t>2</w:t>
            </w:r>
            <w:r w:rsidRPr="006774D3">
              <w:rPr>
                <w:color w:val="000000"/>
                <w:sz w:val="22"/>
                <w:szCs w:val="20"/>
              </w:rPr>
              <w:t xml:space="preserve"> á 24 klst., i.v.): dagur 1</w:t>
            </w:r>
          </w:p>
          <w:p w14:paraId="05B8B9D3" w14:textId="77777777" w:rsidR="007B5D76" w:rsidRPr="006774D3" w:rsidRDefault="007B5D76" w:rsidP="00F77C66">
            <w:pPr>
              <w:widowControl w:val="0"/>
              <w:tabs>
                <w:tab w:val="left" w:pos="567"/>
              </w:tabs>
              <w:rPr>
                <w:color w:val="000000"/>
                <w:sz w:val="22"/>
                <w:szCs w:val="20"/>
              </w:rPr>
            </w:pPr>
            <w:r w:rsidRPr="006774D3">
              <w:rPr>
                <w:color w:val="000000"/>
                <w:sz w:val="22"/>
                <w:szCs w:val="20"/>
              </w:rPr>
              <w:t>Leucovorin (75 mg/m</w:t>
            </w:r>
            <w:r w:rsidRPr="006774D3">
              <w:rPr>
                <w:color w:val="000000"/>
                <w:sz w:val="22"/>
                <w:szCs w:val="20"/>
                <w:vertAlign w:val="superscript"/>
              </w:rPr>
              <w:t>2</w:t>
            </w:r>
            <w:r w:rsidRPr="006774D3">
              <w:rPr>
                <w:color w:val="000000"/>
                <w:sz w:val="22"/>
                <w:szCs w:val="20"/>
              </w:rPr>
              <w:t xml:space="preserve"> á 36. klst. i.v.; 15 mg/m</w:t>
            </w:r>
            <w:r w:rsidRPr="006774D3">
              <w:rPr>
                <w:color w:val="000000"/>
                <w:sz w:val="22"/>
                <w:szCs w:val="20"/>
                <w:vertAlign w:val="superscript"/>
              </w:rPr>
              <w:t>2</w:t>
            </w:r>
            <w:r w:rsidRPr="006774D3">
              <w:rPr>
                <w:color w:val="000000"/>
                <w:sz w:val="22"/>
                <w:szCs w:val="20"/>
              </w:rPr>
              <w:t xml:space="preserve"> i.v. eða til inntöku á 6 klst. fresti x 6 skammtar)iii: dagar 2 og 3</w:t>
            </w:r>
          </w:p>
          <w:p w14:paraId="05B8B9D4" w14:textId="77777777" w:rsidR="007B5D76" w:rsidRPr="006774D3" w:rsidRDefault="007B5D76" w:rsidP="00F77C66">
            <w:pPr>
              <w:widowControl w:val="0"/>
              <w:tabs>
                <w:tab w:val="left" w:pos="567"/>
              </w:tabs>
              <w:rPr>
                <w:color w:val="000000"/>
                <w:sz w:val="22"/>
                <w:szCs w:val="20"/>
              </w:rPr>
            </w:pPr>
            <w:r w:rsidRPr="006774D3">
              <w:rPr>
                <w:color w:val="000000"/>
                <w:sz w:val="22"/>
                <w:szCs w:val="20"/>
              </w:rPr>
              <w:t>Þreföld i.t. meðferð (aðlöguð að aldri): dagar 1 og 29</w:t>
            </w:r>
          </w:p>
          <w:p w14:paraId="05B8B9D5" w14:textId="77777777" w:rsidR="007B5D76" w:rsidRPr="006774D3" w:rsidRDefault="007B5D76" w:rsidP="00F77C66">
            <w:pPr>
              <w:widowControl w:val="0"/>
              <w:tabs>
                <w:tab w:val="left" w:pos="567"/>
              </w:tabs>
              <w:rPr>
                <w:color w:val="000000"/>
                <w:sz w:val="22"/>
                <w:szCs w:val="20"/>
              </w:rPr>
            </w:pPr>
            <w:r w:rsidRPr="006774D3">
              <w:rPr>
                <w:color w:val="000000"/>
                <w:sz w:val="22"/>
                <w:szCs w:val="20"/>
              </w:rPr>
              <w:t>VCR (1,5 mg/m</w:t>
            </w:r>
            <w:r w:rsidRPr="006774D3">
              <w:rPr>
                <w:color w:val="000000"/>
                <w:sz w:val="22"/>
                <w:szCs w:val="20"/>
                <w:vertAlign w:val="superscript"/>
              </w:rPr>
              <w:t>2</w:t>
            </w:r>
            <w:r w:rsidRPr="006774D3">
              <w:rPr>
                <w:color w:val="000000"/>
                <w:sz w:val="22"/>
                <w:szCs w:val="20"/>
              </w:rPr>
              <w:t>, i.v.): dagar 1 og 29</w:t>
            </w:r>
          </w:p>
          <w:p w14:paraId="05B8B9D6" w14:textId="77777777" w:rsidR="007B5D76" w:rsidRPr="006774D3" w:rsidRDefault="007B5D76"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5; 29</w:t>
            </w:r>
            <w:r w:rsidRPr="006774D3">
              <w:rPr>
                <w:color w:val="000000"/>
                <w:sz w:val="22"/>
                <w:szCs w:val="20"/>
              </w:rPr>
              <w:noBreakHyphen/>
              <w:t>33</w:t>
            </w:r>
          </w:p>
          <w:p w14:paraId="05B8B9D7" w14:textId="77777777" w:rsidR="007B5D76" w:rsidRPr="006774D3" w:rsidRDefault="007B5D76" w:rsidP="00F77C66">
            <w:pPr>
              <w:widowControl w:val="0"/>
              <w:tabs>
                <w:tab w:val="left" w:pos="567"/>
              </w:tabs>
              <w:rPr>
                <w:color w:val="000000"/>
                <w:sz w:val="22"/>
                <w:szCs w:val="20"/>
              </w:rPr>
            </w:pPr>
            <w:r w:rsidRPr="006774D3">
              <w:rPr>
                <w:color w:val="000000"/>
                <w:sz w:val="22"/>
                <w:szCs w:val="20"/>
              </w:rPr>
              <w:t>6</w:t>
            </w:r>
            <w:r w:rsidRPr="006774D3">
              <w:rPr>
                <w:color w:val="000000"/>
                <w:sz w:val="22"/>
                <w:szCs w:val="20"/>
              </w:rPr>
              <w:noBreakHyphen/>
              <w:t>MP (75 mg/m</w:t>
            </w:r>
            <w:r w:rsidRPr="006774D3">
              <w:rPr>
                <w:color w:val="000000"/>
                <w:sz w:val="22"/>
                <w:szCs w:val="20"/>
                <w:vertAlign w:val="superscript"/>
              </w:rPr>
              <w:t>2</w:t>
            </w:r>
            <w:r w:rsidRPr="006774D3">
              <w:rPr>
                <w:color w:val="000000"/>
                <w:sz w:val="22"/>
                <w:szCs w:val="20"/>
              </w:rPr>
              <w:t>/sólarhring, til inntöku): dagar 8</w:t>
            </w:r>
            <w:r w:rsidRPr="006774D3">
              <w:rPr>
                <w:color w:val="000000"/>
                <w:sz w:val="22"/>
                <w:szCs w:val="20"/>
              </w:rPr>
              <w:noBreakHyphen/>
              <w:t>28</w:t>
            </w:r>
          </w:p>
          <w:p w14:paraId="05B8B9D8"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Metótrexat (20 mg/m</w:t>
            </w:r>
            <w:r w:rsidRPr="006774D3">
              <w:rPr>
                <w:color w:val="000000"/>
                <w:sz w:val="22"/>
                <w:szCs w:val="20"/>
                <w:vertAlign w:val="superscript"/>
              </w:rPr>
              <w:t>2</w:t>
            </w:r>
            <w:r w:rsidRPr="006774D3">
              <w:rPr>
                <w:color w:val="000000"/>
                <w:sz w:val="22"/>
                <w:szCs w:val="20"/>
              </w:rPr>
              <w:t>/viku, til inntöku): dagar 8, 15 og 22</w:t>
            </w:r>
          </w:p>
          <w:p w14:paraId="05B8B9D9" w14:textId="77777777" w:rsidR="007B5D76" w:rsidRPr="006774D3" w:rsidRDefault="007B5D76" w:rsidP="00F77C66">
            <w:pPr>
              <w:widowControl w:val="0"/>
              <w:tabs>
                <w:tab w:val="left" w:pos="567"/>
              </w:tabs>
              <w:rPr>
                <w:color w:val="000000"/>
                <w:sz w:val="22"/>
                <w:szCs w:val="20"/>
              </w:rPr>
            </w:pPr>
            <w:r w:rsidRPr="006774D3">
              <w:rPr>
                <w:color w:val="000000"/>
                <w:sz w:val="22"/>
                <w:szCs w:val="20"/>
              </w:rPr>
              <w:t>VP</w:t>
            </w:r>
            <w:r w:rsidRPr="006774D3">
              <w:rPr>
                <w:color w:val="000000"/>
                <w:sz w:val="22"/>
                <w:szCs w:val="20"/>
              </w:rPr>
              <w:noBreakHyphen/>
              <w:t>16 (100 mg/m</w:t>
            </w:r>
            <w:r w:rsidRPr="006774D3">
              <w:rPr>
                <w:color w:val="000000"/>
                <w:sz w:val="22"/>
                <w:szCs w:val="20"/>
                <w:vertAlign w:val="superscript"/>
              </w:rPr>
              <w:t>2</w:t>
            </w:r>
            <w:r w:rsidRPr="006774D3">
              <w:rPr>
                <w:color w:val="000000"/>
                <w:sz w:val="22"/>
                <w:szCs w:val="20"/>
              </w:rPr>
              <w:t>, i.v.): dagar 29</w:t>
            </w:r>
            <w:r w:rsidRPr="006774D3">
              <w:rPr>
                <w:color w:val="000000"/>
                <w:sz w:val="22"/>
                <w:szCs w:val="20"/>
              </w:rPr>
              <w:noBreakHyphen/>
              <w:t>33</w:t>
            </w:r>
          </w:p>
          <w:p w14:paraId="05B8B9DA" w14:textId="77777777" w:rsidR="007B5D76" w:rsidRPr="006774D3" w:rsidRDefault="007B5D76" w:rsidP="00F77C66">
            <w:pPr>
              <w:widowControl w:val="0"/>
              <w:tabs>
                <w:tab w:val="left" w:pos="567"/>
              </w:tabs>
              <w:rPr>
                <w:color w:val="000000"/>
                <w:sz w:val="22"/>
                <w:szCs w:val="20"/>
              </w:rPr>
            </w:pPr>
            <w:r w:rsidRPr="006774D3">
              <w:rPr>
                <w:color w:val="000000"/>
                <w:sz w:val="22"/>
                <w:szCs w:val="20"/>
              </w:rPr>
              <w:t>CPM (300 mg/m</w:t>
            </w:r>
            <w:r w:rsidRPr="006774D3">
              <w:rPr>
                <w:color w:val="000000"/>
                <w:sz w:val="22"/>
                <w:szCs w:val="20"/>
                <w:vertAlign w:val="superscript"/>
              </w:rPr>
              <w:t>2</w:t>
            </w:r>
            <w:r w:rsidRPr="006774D3">
              <w:rPr>
                <w:color w:val="000000"/>
                <w:sz w:val="22"/>
                <w:szCs w:val="20"/>
              </w:rPr>
              <w:t>, i.v.): dagar 29</w:t>
            </w:r>
            <w:r w:rsidRPr="006774D3">
              <w:rPr>
                <w:color w:val="000000"/>
                <w:sz w:val="22"/>
                <w:szCs w:val="20"/>
              </w:rPr>
              <w:noBreakHyphen/>
              <w:t>33</w:t>
            </w:r>
          </w:p>
          <w:p w14:paraId="05B8B9DB"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MESNA i.v. dagar 29</w:t>
            </w:r>
            <w:r w:rsidRPr="006774D3">
              <w:rPr>
                <w:color w:val="000000"/>
                <w:sz w:val="22"/>
                <w:szCs w:val="20"/>
              </w:rPr>
              <w:noBreakHyphen/>
              <w:t>33</w:t>
            </w:r>
          </w:p>
          <w:p w14:paraId="05B8B9DC" w14:textId="77777777" w:rsidR="007B5D76" w:rsidRPr="006774D3" w:rsidRDefault="007B5D76" w:rsidP="00F77C66">
            <w:pPr>
              <w:widowControl w:val="0"/>
              <w:tabs>
                <w:tab w:val="left" w:pos="567"/>
              </w:tabs>
              <w:rPr>
                <w:color w:val="000000"/>
                <w:sz w:val="22"/>
                <w:szCs w:val="20"/>
              </w:rPr>
            </w:pPr>
            <w:r w:rsidRPr="006774D3">
              <w:rPr>
                <w:color w:val="000000"/>
                <w:sz w:val="22"/>
                <w:szCs w:val="20"/>
              </w:rPr>
              <w:t>G</w:t>
            </w:r>
            <w:r w:rsidRPr="006774D3">
              <w:rPr>
                <w:color w:val="000000"/>
                <w:sz w:val="22"/>
                <w:szCs w:val="20"/>
              </w:rPr>
              <w:noBreakHyphen/>
              <w:t>CSF (5 μg/kg, s.c.): dagar 34</w:t>
            </w:r>
            <w:r w:rsidRPr="006774D3">
              <w:rPr>
                <w:color w:val="000000"/>
                <w:sz w:val="22"/>
                <w:szCs w:val="20"/>
              </w:rPr>
              <w:noBreakHyphen/>
              <w:t>43</w:t>
            </w:r>
          </w:p>
        </w:tc>
      </w:tr>
      <w:tr w:rsidR="007B5D76" w:rsidRPr="006774D3" w14:paraId="05B8B9E8" w14:textId="77777777" w:rsidTr="00FA5D6F">
        <w:trPr>
          <w:cantSplit/>
        </w:trPr>
        <w:tc>
          <w:tcPr>
            <w:tcW w:w="2358" w:type="dxa"/>
            <w:shd w:val="clear" w:color="auto" w:fill="auto"/>
          </w:tcPr>
          <w:p w14:paraId="05B8B9DE" w14:textId="77777777" w:rsidR="007B5D76" w:rsidRPr="006774D3" w:rsidRDefault="007B5D76" w:rsidP="00F77C66">
            <w:pPr>
              <w:widowControl w:val="0"/>
              <w:tabs>
                <w:tab w:val="left" w:pos="567"/>
              </w:tabs>
              <w:rPr>
                <w:color w:val="000000"/>
                <w:sz w:val="22"/>
                <w:szCs w:val="20"/>
              </w:rPr>
            </w:pPr>
            <w:r w:rsidRPr="006774D3">
              <w:rPr>
                <w:color w:val="000000"/>
                <w:sz w:val="22"/>
                <w:szCs w:val="22"/>
              </w:rPr>
              <w:t>Viðhaldsmeðferð</w:t>
            </w:r>
          </w:p>
          <w:p w14:paraId="05B8B9DF" w14:textId="77777777" w:rsidR="007B5D76" w:rsidRPr="006774D3" w:rsidRDefault="007B5D76" w:rsidP="00F77C66">
            <w:pPr>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t>vikna lotur)</w:t>
            </w:r>
          </w:p>
          <w:p w14:paraId="05B8B9E0" w14:textId="77777777" w:rsidR="007B5D76" w:rsidRPr="006774D3" w:rsidRDefault="007B5D76" w:rsidP="00F77C66">
            <w:pPr>
              <w:widowControl w:val="0"/>
              <w:tabs>
                <w:tab w:val="left" w:pos="567"/>
              </w:tabs>
              <w:rPr>
                <w:color w:val="000000"/>
                <w:sz w:val="22"/>
                <w:szCs w:val="20"/>
              </w:rPr>
            </w:pPr>
            <w:r w:rsidRPr="006774D3">
              <w:rPr>
                <w:color w:val="000000"/>
                <w:sz w:val="22"/>
                <w:szCs w:val="20"/>
              </w:rPr>
              <w:t>Lota 5</w:t>
            </w:r>
          </w:p>
        </w:tc>
        <w:tc>
          <w:tcPr>
            <w:tcW w:w="6929" w:type="dxa"/>
            <w:shd w:val="clear" w:color="auto" w:fill="auto"/>
          </w:tcPr>
          <w:p w14:paraId="05B8B9E1" w14:textId="77777777" w:rsidR="007B5D76" w:rsidRPr="006774D3" w:rsidRDefault="007B5D76" w:rsidP="00F77C66">
            <w:pPr>
              <w:widowControl w:val="0"/>
              <w:tabs>
                <w:tab w:val="left" w:pos="567"/>
              </w:tabs>
              <w:rPr>
                <w:color w:val="000000"/>
                <w:sz w:val="22"/>
                <w:szCs w:val="20"/>
              </w:rPr>
            </w:pPr>
            <w:r w:rsidRPr="006774D3">
              <w:rPr>
                <w:color w:val="000000"/>
                <w:sz w:val="22"/>
                <w:szCs w:val="20"/>
              </w:rPr>
              <w:t>Geislun á höfuð (einungis hluti 5)</w:t>
            </w:r>
          </w:p>
          <w:p w14:paraId="05B8B9E2" w14:textId="77777777" w:rsidR="007B5D76" w:rsidRPr="006774D3" w:rsidRDefault="007B5D76" w:rsidP="00F77C66">
            <w:pPr>
              <w:widowControl w:val="0"/>
              <w:tabs>
                <w:tab w:val="left" w:pos="567"/>
              </w:tabs>
              <w:rPr>
                <w:color w:val="000000"/>
                <w:sz w:val="22"/>
                <w:szCs w:val="20"/>
              </w:rPr>
            </w:pPr>
            <w:r w:rsidRPr="006774D3">
              <w:rPr>
                <w:color w:val="000000"/>
                <w:sz w:val="22"/>
                <w:szCs w:val="20"/>
              </w:rPr>
              <w:t>12 Gy í 8 hlutum fyrir alla sjúklinga sem eru CNS1 og CNS2 við greiningu</w:t>
            </w:r>
          </w:p>
          <w:p w14:paraId="05B8B9E3" w14:textId="77777777" w:rsidR="007B5D76" w:rsidRPr="006774D3" w:rsidRDefault="007B5D76" w:rsidP="00F77C66">
            <w:pPr>
              <w:widowControl w:val="0"/>
              <w:tabs>
                <w:tab w:val="left" w:pos="567"/>
              </w:tabs>
              <w:rPr>
                <w:color w:val="000000"/>
                <w:sz w:val="22"/>
                <w:szCs w:val="20"/>
              </w:rPr>
            </w:pPr>
            <w:r w:rsidRPr="006774D3">
              <w:rPr>
                <w:color w:val="000000"/>
                <w:sz w:val="22"/>
                <w:szCs w:val="20"/>
              </w:rPr>
              <w:t>18 Gy í 10 hlutum fyrir sjúklinga sem eru CNS3 við greiningu</w:t>
            </w:r>
          </w:p>
          <w:p w14:paraId="05B8B9E4" w14:textId="77777777" w:rsidR="007B5D76" w:rsidRPr="006774D3" w:rsidRDefault="007B5D76" w:rsidP="00F77C66">
            <w:pPr>
              <w:widowControl w:val="0"/>
              <w:tabs>
                <w:tab w:val="left" w:pos="567"/>
              </w:tabs>
              <w:rPr>
                <w:color w:val="000000"/>
                <w:sz w:val="22"/>
                <w:szCs w:val="20"/>
              </w:rPr>
            </w:pPr>
            <w:r w:rsidRPr="006774D3">
              <w:rPr>
                <w:color w:val="000000"/>
                <w:sz w:val="22"/>
                <w:szCs w:val="20"/>
              </w:rPr>
              <w:t>VCR (1,5 mg/m</w:t>
            </w:r>
            <w:r w:rsidRPr="006774D3">
              <w:rPr>
                <w:color w:val="000000"/>
                <w:sz w:val="22"/>
                <w:szCs w:val="20"/>
                <w:vertAlign w:val="superscript"/>
              </w:rPr>
              <w:t>2</w:t>
            </w:r>
            <w:r w:rsidRPr="006774D3">
              <w:rPr>
                <w:color w:val="000000"/>
                <w:sz w:val="22"/>
                <w:szCs w:val="20"/>
              </w:rPr>
              <w:t>/sólarhring, i.v.): dagar 1 og 29</w:t>
            </w:r>
          </w:p>
          <w:p w14:paraId="05B8B9E5" w14:textId="77777777" w:rsidR="007B5D76" w:rsidRPr="006774D3" w:rsidRDefault="007B5D76" w:rsidP="00F77C66">
            <w:pPr>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5; 29</w:t>
            </w:r>
            <w:r w:rsidRPr="006774D3">
              <w:rPr>
                <w:color w:val="000000"/>
                <w:sz w:val="22"/>
                <w:szCs w:val="20"/>
              </w:rPr>
              <w:noBreakHyphen/>
              <w:t>33</w:t>
            </w:r>
          </w:p>
          <w:p w14:paraId="05B8B9E6" w14:textId="77777777" w:rsidR="007B5D76" w:rsidRPr="006774D3" w:rsidRDefault="007B5D76" w:rsidP="00F77C66">
            <w:pPr>
              <w:widowControl w:val="0"/>
              <w:tabs>
                <w:tab w:val="left" w:pos="567"/>
              </w:tabs>
              <w:rPr>
                <w:color w:val="000000"/>
                <w:sz w:val="22"/>
                <w:szCs w:val="20"/>
              </w:rPr>
            </w:pPr>
            <w:r w:rsidRPr="006774D3">
              <w:rPr>
                <w:color w:val="000000"/>
                <w:sz w:val="22"/>
                <w:szCs w:val="20"/>
              </w:rPr>
              <w:t>6</w:t>
            </w:r>
            <w:r w:rsidRPr="006774D3">
              <w:rPr>
                <w:color w:val="000000"/>
                <w:sz w:val="22"/>
                <w:szCs w:val="20"/>
              </w:rPr>
              <w:noBreakHyphen/>
              <w:t>MP (75 mg/m</w:t>
            </w:r>
            <w:r w:rsidRPr="006774D3">
              <w:rPr>
                <w:color w:val="000000"/>
                <w:sz w:val="22"/>
                <w:szCs w:val="20"/>
                <w:vertAlign w:val="superscript"/>
              </w:rPr>
              <w:t>2</w:t>
            </w:r>
            <w:r w:rsidRPr="006774D3">
              <w:rPr>
                <w:color w:val="000000"/>
                <w:sz w:val="22"/>
                <w:szCs w:val="20"/>
              </w:rPr>
              <w:t>/sólarhring, til inntöku): dagar 11</w:t>
            </w:r>
            <w:r w:rsidRPr="006774D3">
              <w:rPr>
                <w:color w:val="000000"/>
                <w:sz w:val="22"/>
                <w:szCs w:val="20"/>
              </w:rPr>
              <w:noBreakHyphen/>
              <w:t>56 (Gera skal hlé á 6</w:t>
            </w:r>
            <w:r w:rsidRPr="006774D3">
              <w:rPr>
                <w:color w:val="000000"/>
                <w:sz w:val="22"/>
                <w:szCs w:val="20"/>
              </w:rPr>
              <w:noBreakHyphen/>
              <w:t>MP þá 6</w:t>
            </w:r>
            <w:r w:rsidRPr="006774D3">
              <w:rPr>
                <w:color w:val="000000"/>
                <w:sz w:val="22"/>
                <w:szCs w:val="20"/>
              </w:rPr>
              <w:noBreakHyphen/>
              <w:t>10 sólarhringa sem geislun á höfuð stendur yfir, frá 1. degi 5. lotu. Hefja skal meðferð með 6</w:t>
            </w:r>
            <w:r w:rsidRPr="006774D3">
              <w:rPr>
                <w:color w:val="000000"/>
                <w:sz w:val="22"/>
                <w:szCs w:val="20"/>
              </w:rPr>
              <w:noBreakHyphen/>
              <w:t>MP aftur á 1. degi eftir að geislun á höfuðkúpu lýkur.)</w:t>
            </w:r>
          </w:p>
          <w:p w14:paraId="05B8B9E7" w14:textId="77777777" w:rsidR="007B5D76" w:rsidRPr="006774D3" w:rsidRDefault="007B5D76" w:rsidP="00F77C66">
            <w:pPr>
              <w:widowControl w:val="0"/>
              <w:tabs>
                <w:tab w:val="left" w:pos="567"/>
              </w:tabs>
              <w:rPr>
                <w:color w:val="000000"/>
                <w:sz w:val="22"/>
                <w:szCs w:val="20"/>
              </w:rPr>
            </w:pPr>
            <w:r w:rsidRPr="006774D3">
              <w:rPr>
                <w:color w:val="000000"/>
                <w:sz w:val="22"/>
                <w:szCs w:val="20"/>
              </w:rPr>
              <w:t>Metótrexat (20 mg/m</w:t>
            </w:r>
            <w:r w:rsidRPr="006774D3">
              <w:rPr>
                <w:color w:val="000000"/>
                <w:sz w:val="22"/>
                <w:szCs w:val="20"/>
                <w:vertAlign w:val="superscript"/>
              </w:rPr>
              <w:t>2</w:t>
            </w:r>
            <w:r w:rsidR="00745B5F" w:rsidRPr="006774D3">
              <w:rPr>
                <w:color w:val="000000"/>
                <w:sz w:val="22"/>
                <w:szCs w:val="20"/>
              </w:rPr>
              <w:t>/viku, til inntöku): dagar </w:t>
            </w:r>
            <w:r w:rsidRPr="006774D3">
              <w:rPr>
                <w:color w:val="000000"/>
                <w:sz w:val="22"/>
                <w:szCs w:val="20"/>
              </w:rPr>
              <w:t>8, 15, 22, 29, 36, 43 og 50</w:t>
            </w:r>
          </w:p>
        </w:tc>
      </w:tr>
      <w:tr w:rsidR="007B5D76" w:rsidRPr="006774D3" w14:paraId="05B8B9F0" w14:textId="77777777" w:rsidTr="00FA5D6F">
        <w:trPr>
          <w:cantSplit/>
        </w:trPr>
        <w:tc>
          <w:tcPr>
            <w:tcW w:w="2358" w:type="dxa"/>
            <w:shd w:val="clear" w:color="auto" w:fill="auto"/>
          </w:tcPr>
          <w:p w14:paraId="05B8B9E9"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lastRenderedPageBreak/>
              <w:t>Viðhaldsmeðferð</w:t>
            </w:r>
          </w:p>
          <w:p w14:paraId="05B8B9EA"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(8</w:t>
            </w:r>
            <w:r w:rsidRPr="006774D3">
              <w:rPr>
                <w:color w:val="000000"/>
                <w:sz w:val="22"/>
                <w:szCs w:val="20"/>
              </w:rPr>
              <w:noBreakHyphen/>
              <w:t>vikna lotur)</w:t>
            </w:r>
          </w:p>
          <w:p w14:paraId="05B8B9EB"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Lotur 6</w:t>
            </w:r>
            <w:r w:rsidRPr="006774D3">
              <w:rPr>
                <w:color w:val="000000"/>
                <w:sz w:val="22"/>
                <w:szCs w:val="20"/>
              </w:rPr>
              <w:noBreakHyphen/>
              <w:t>12</w:t>
            </w:r>
          </w:p>
        </w:tc>
        <w:tc>
          <w:tcPr>
            <w:tcW w:w="6929" w:type="dxa"/>
            <w:shd w:val="clear" w:color="auto" w:fill="auto"/>
          </w:tcPr>
          <w:p w14:paraId="05B8B9EC"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VCR (1,5 mg/m</w:t>
            </w:r>
            <w:r w:rsidRPr="006774D3">
              <w:rPr>
                <w:color w:val="000000"/>
                <w:sz w:val="22"/>
                <w:szCs w:val="20"/>
                <w:vertAlign w:val="superscript"/>
              </w:rPr>
              <w:t>2</w:t>
            </w:r>
            <w:r w:rsidRPr="006774D3">
              <w:rPr>
                <w:color w:val="000000"/>
                <w:sz w:val="22"/>
                <w:szCs w:val="20"/>
              </w:rPr>
              <w:t>/sólarhring, i.v.): dagar 1 og 29</w:t>
            </w:r>
          </w:p>
          <w:p w14:paraId="05B8B9ED"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DEX (6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5; 29</w:t>
            </w:r>
            <w:r w:rsidRPr="006774D3">
              <w:rPr>
                <w:color w:val="000000"/>
                <w:sz w:val="22"/>
                <w:szCs w:val="20"/>
              </w:rPr>
              <w:noBreakHyphen/>
              <w:t>33</w:t>
            </w:r>
          </w:p>
          <w:p w14:paraId="05B8B9EE"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6</w:t>
            </w:r>
            <w:r w:rsidRPr="006774D3">
              <w:rPr>
                <w:color w:val="000000"/>
                <w:sz w:val="22"/>
                <w:szCs w:val="20"/>
              </w:rPr>
              <w:noBreakHyphen/>
              <w:t>MP (75 mg/m</w:t>
            </w:r>
            <w:r w:rsidRPr="006774D3">
              <w:rPr>
                <w:color w:val="000000"/>
                <w:sz w:val="22"/>
                <w:szCs w:val="20"/>
                <w:vertAlign w:val="superscript"/>
              </w:rPr>
              <w:t>2</w:t>
            </w:r>
            <w:r w:rsidRPr="006774D3">
              <w:rPr>
                <w:color w:val="000000"/>
                <w:sz w:val="22"/>
                <w:szCs w:val="20"/>
              </w:rPr>
              <w:t>/sólarhring, til inntöku): dagar 1</w:t>
            </w:r>
            <w:r w:rsidRPr="006774D3">
              <w:rPr>
                <w:color w:val="000000"/>
                <w:sz w:val="22"/>
                <w:szCs w:val="20"/>
              </w:rPr>
              <w:noBreakHyphen/>
              <w:t>56</w:t>
            </w:r>
          </w:p>
          <w:p w14:paraId="05B8B9EF" w14:textId="77777777" w:rsidR="007B5D76" w:rsidRPr="006774D3" w:rsidRDefault="007B5D76" w:rsidP="00FA5D6F">
            <w:pPr>
              <w:keepNext/>
              <w:widowControl w:val="0"/>
              <w:tabs>
                <w:tab w:val="left" w:pos="567"/>
              </w:tabs>
              <w:rPr>
                <w:color w:val="000000"/>
                <w:sz w:val="22"/>
                <w:szCs w:val="20"/>
              </w:rPr>
            </w:pPr>
            <w:r w:rsidRPr="006774D3">
              <w:rPr>
                <w:color w:val="000000"/>
                <w:sz w:val="22"/>
                <w:szCs w:val="20"/>
              </w:rPr>
              <w:t>Metótrexat (20 mg/m</w:t>
            </w:r>
            <w:r w:rsidRPr="006774D3">
              <w:rPr>
                <w:color w:val="000000"/>
                <w:sz w:val="22"/>
                <w:szCs w:val="20"/>
                <w:vertAlign w:val="superscript"/>
              </w:rPr>
              <w:t>2</w:t>
            </w:r>
            <w:r w:rsidRPr="006774D3">
              <w:rPr>
                <w:color w:val="000000"/>
                <w:sz w:val="22"/>
                <w:szCs w:val="20"/>
              </w:rPr>
              <w:t>/viku, til inntöku): dagar 1, 8, 15, 22, 29, 36, 43 og 50</w:t>
            </w:r>
          </w:p>
        </w:tc>
      </w:tr>
    </w:tbl>
    <w:p w14:paraId="05B8B9F1" w14:textId="77777777" w:rsidR="007B5D76" w:rsidRPr="006774D3" w:rsidRDefault="007B5D76" w:rsidP="00FA5D6F">
      <w:pPr>
        <w:keepLines/>
        <w:widowControl w:val="0"/>
        <w:tabs>
          <w:tab w:val="left" w:pos="567"/>
        </w:tabs>
        <w:rPr>
          <w:color w:val="000000"/>
          <w:sz w:val="22"/>
          <w:szCs w:val="22"/>
        </w:rPr>
      </w:pPr>
      <w:r w:rsidRPr="006774D3">
        <w:rPr>
          <w:color w:val="000000"/>
          <w:sz w:val="22"/>
          <w:szCs w:val="22"/>
        </w:rPr>
        <w:t>G</w:t>
      </w:r>
      <w:r w:rsidRPr="006774D3">
        <w:rPr>
          <w:color w:val="000000"/>
          <w:sz w:val="22"/>
          <w:szCs w:val="22"/>
        </w:rPr>
        <w:noBreakHyphen/>
        <w:t>CSF = kyrningavaxtarþáttur (granulocyte colony stimulating factor), VP</w:t>
      </w:r>
      <w:r w:rsidRPr="006774D3">
        <w:rPr>
          <w:color w:val="000000"/>
          <w:sz w:val="22"/>
          <w:szCs w:val="22"/>
        </w:rPr>
        <w:noBreakHyphen/>
        <w:t>16 = etoposid, MTX = metótrexat, i.v. = í bláæð, s.c. = undir húð, i.t. = í mænuvökva, i.m. = í vöðva, ARA-C = cytarabin, CPM = cyclofosfamid, VCR = vincristin, DEX = dexametason, DAUN = daunorubicin, 6</w:t>
      </w:r>
      <w:r w:rsidRPr="006774D3">
        <w:rPr>
          <w:color w:val="000000"/>
          <w:sz w:val="22"/>
          <w:szCs w:val="22"/>
        </w:rPr>
        <w:noBreakHyphen/>
        <w:t>MP = 6-mercaptopurin, E.coli L</w:t>
      </w:r>
      <w:r w:rsidRPr="006774D3">
        <w:rPr>
          <w:color w:val="000000"/>
          <w:sz w:val="22"/>
          <w:szCs w:val="22"/>
        </w:rPr>
        <w:noBreakHyphen/>
        <w:t>ASP = L</w:t>
      </w:r>
      <w:r w:rsidRPr="006774D3">
        <w:rPr>
          <w:color w:val="000000"/>
          <w:sz w:val="22"/>
          <w:szCs w:val="22"/>
        </w:rPr>
        <w:noBreakHyphen/>
        <w:t>asparaginasi, PEG</w:t>
      </w:r>
      <w:r w:rsidRPr="006774D3">
        <w:rPr>
          <w:color w:val="000000"/>
          <w:sz w:val="22"/>
          <w:szCs w:val="22"/>
        </w:rPr>
        <w:noBreakHyphen/>
        <w:t>ASP = PEG asparaginasi, MESNA= 2</w:t>
      </w:r>
      <w:r w:rsidRPr="006774D3">
        <w:rPr>
          <w:color w:val="000000"/>
          <w:sz w:val="22"/>
          <w:szCs w:val="22"/>
        </w:rPr>
        <w:noBreakHyphen/>
        <w:t>mercaptoetan sulfonat natríum, iii= eða þar til MTX þéttni er &lt; 0,1 µM, Gy= Gray</w:t>
      </w:r>
    </w:p>
    <w:p w14:paraId="05B8B9F2" w14:textId="77777777" w:rsidR="007B5D76" w:rsidRPr="006774D3" w:rsidRDefault="007B5D76" w:rsidP="00F77C66">
      <w:pPr>
        <w:widowControl w:val="0"/>
        <w:tabs>
          <w:tab w:val="left" w:pos="567"/>
        </w:tabs>
        <w:rPr>
          <w:color w:val="000000"/>
          <w:sz w:val="22"/>
          <w:szCs w:val="22"/>
        </w:rPr>
      </w:pPr>
    </w:p>
    <w:p w14:paraId="05B8B9F3" w14:textId="77777777" w:rsidR="007B5D76" w:rsidRPr="006774D3" w:rsidRDefault="007B5D76" w:rsidP="00F77C66">
      <w:pPr>
        <w:widowControl w:val="0"/>
        <w:tabs>
          <w:tab w:val="left" w:pos="567"/>
        </w:tabs>
        <w:rPr>
          <w:color w:val="000000"/>
          <w:sz w:val="22"/>
          <w:szCs w:val="22"/>
        </w:rPr>
      </w:pPr>
      <w:r w:rsidRPr="006774D3">
        <w:rPr>
          <w:color w:val="000000"/>
          <w:sz w:val="22"/>
          <w:szCs w:val="22"/>
        </w:rPr>
        <w:t>RannsóknAIT07 var fjölsetra, opin, slembuð, II/III stigs rannsókn sem í tóku þátt 128 sjúklingar (1 árs til &lt; 18 ára) sem fengu meðferð með imatinibi samhliða krabbameinslyfjameðferð. Upplýsingar um öryggi úr þessari rannsókn virðast vera í samræmi við upplýsingar um öryggi imatinibs hjá sjúklingum með Ph+ ALL.</w:t>
      </w:r>
    </w:p>
    <w:p w14:paraId="05B8B9F4" w14:textId="77777777" w:rsidR="007B5D76" w:rsidRPr="006774D3" w:rsidRDefault="007B5D76" w:rsidP="00F77C66">
      <w:pPr>
        <w:rPr>
          <w:color w:val="000000"/>
          <w:sz w:val="22"/>
          <w:szCs w:val="22"/>
        </w:rPr>
      </w:pPr>
    </w:p>
    <w:p w14:paraId="05B8B9F5" w14:textId="77777777" w:rsidR="007B5D76" w:rsidRPr="006774D3" w:rsidRDefault="007B5D76" w:rsidP="00F77C66">
      <w:pPr>
        <w:rPr>
          <w:color w:val="000000"/>
          <w:sz w:val="22"/>
          <w:szCs w:val="22"/>
        </w:rPr>
      </w:pPr>
      <w:r w:rsidRPr="006774D3">
        <w:rPr>
          <w:i/>
          <w:color w:val="000000"/>
          <w:sz w:val="22"/>
          <w:szCs w:val="22"/>
        </w:rPr>
        <w:t>Endurkomið/þrálátt Ph+ ALL</w:t>
      </w:r>
      <w:r w:rsidRPr="006774D3">
        <w:rPr>
          <w:color w:val="000000"/>
          <w:sz w:val="22"/>
          <w:szCs w:val="22"/>
        </w:rPr>
        <w:t>: Þegar imatinib var notað eitt sér handa sjúklingum með endur</w:t>
      </w:r>
      <w:r w:rsidRPr="006774D3">
        <w:rPr>
          <w:color w:val="000000"/>
          <w:sz w:val="22"/>
          <w:szCs w:val="22"/>
        </w:rPr>
        <w:softHyphen/>
        <w:t xml:space="preserve">komið/þrálátt Ph+ ALL hafði það í för með sér, hjá þeim 53 af 411 sjúklingum sem unnt var að leggja mat á, að hlutfall blóðsvörunar var 30% (hlutfall </w:t>
      </w:r>
      <w:r w:rsidR="00172F56" w:rsidRPr="006774D3">
        <w:rPr>
          <w:color w:val="000000"/>
          <w:sz w:val="22"/>
          <w:szCs w:val="22"/>
        </w:rPr>
        <w:t>heildar</w:t>
      </w:r>
      <w:r w:rsidRPr="006774D3">
        <w:rPr>
          <w:color w:val="000000"/>
          <w:sz w:val="22"/>
          <w:szCs w:val="22"/>
        </w:rPr>
        <w:t>blóðsvörunar var 9%) og hlutfall meiriháttar litningasvörunar var 23%. (Haft skal í huga að af 411 sjúklingum fengu 353 meðferð í útvíkkaðri þátttökurannsókn, án þess að grunnupplýsingum um svörun væri safnað saman). Miðgildi tíma að versnun sjúkdóms hjá öllum 411 sjúklingunum með endurkomið/þrálátt Ph+ ALL var á bilinu 2,6 til 3,1 mánuður og miðgildi heildar lifunar hjá þeim 401 sjúklingi sem unnt var að leggja mat á, var á bilinu 4,9 til 9 mánuðir. Svipaðar niðurstöður komu fram við endurgreiningu upplýsinga þannig að einungis voru metnir þeir sjúklingar sem voru 55 ára eða eldri.</w:t>
      </w:r>
    </w:p>
    <w:p w14:paraId="05B8B9F6" w14:textId="77777777" w:rsidR="007B5D76" w:rsidRPr="006774D3" w:rsidRDefault="007B5D76" w:rsidP="00F77C66">
      <w:pPr>
        <w:rPr>
          <w:color w:val="000000"/>
          <w:sz w:val="22"/>
          <w:szCs w:val="22"/>
        </w:rPr>
      </w:pPr>
    </w:p>
    <w:p w14:paraId="05B8B9F7"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MDS/MPD</w:t>
      </w:r>
    </w:p>
    <w:p w14:paraId="05B8B9F8" w14:textId="77777777" w:rsidR="00A8278A" w:rsidRPr="006774D3" w:rsidRDefault="007B5D76" w:rsidP="00F77C66">
      <w:pPr>
        <w:rPr>
          <w:color w:val="000000"/>
          <w:sz w:val="22"/>
          <w:szCs w:val="22"/>
        </w:rPr>
      </w:pPr>
      <w:r w:rsidRPr="006774D3">
        <w:rPr>
          <w:color w:val="000000"/>
          <w:sz w:val="22"/>
          <w:szCs w:val="22"/>
        </w:rPr>
        <w:t>Reynsla af notkun Glivec við þessari ábendingu er mjög takmörkuð og byggist á blóð- og litningasvörunar</w:t>
      </w:r>
      <w:r w:rsidRPr="006774D3">
        <w:rPr>
          <w:color w:val="000000"/>
          <w:sz w:val="22"/>
          <w:szCs w:val="22"/>
        </w:rPr>
        <w:softHyphen/>
        <w:t>hlutföllum. Ekki hafa verið gerðar neinar samanburðarrannsóknir sem sýna fram á klínískan ávinning eða lengri lifun. Í einni opinni, fjölsetra, II. stigs klínískri rannsókn (rannsókn B2225) var lagt mat á Glivec hjá fjölbreytilegu sjúklingaþýði með lífshættulega sjúkdóma sem tengjast Abl, Kit eða PDGFR proteintyrosin</w:t>
      </w:r>
      <w:r w:rsidRPr="006774D3">
        <w:rPr>
          <w:color w:val="000000"/>
          <w:sz w:val="22"/>
          <w:szCs w:val="22"/>
        </w:rPr>
        <w:softHyphen/>
        <w:t xml:space="preserve">kinasa. Í þessari rannsókn tóku þátt 7 sjúklingar með MDS/MPD sem fengu meðferð með 400 mg af Glivec á sólarhring. Þrír sjúklingar náðu </w:t>
      </w:r>
      <w:r w:rsidR="007C13EA" w:rsidRPr="006774D3">
        <w:rPr>
          <w:color w:val="000000"/>
          <w:sz w:val="22"/>
          <w:szCs w:val="22"/>
        </w:rPr>
        <w:t>heildar</w:t>
      </w:r>
      <w:r w:rsidRPr="006774D3">
        <w:rPr>
          <w:color w:val="000000"/>
          <w:sz w:val="22"/>
          <w:szCs w:val="22"/>
        </w:rPr>
        <w:t>blóðsvörun (CHR) og einn sjúklingur náði blóðsvörun að hluta (PHR). Þegar upphaflega greiningin fór fram höfðu þrír af fjórum sjúklingum með staðfesta PDGFR endurröðun erfðavísa náð blóðsvörun (2 CHR og 1 PHR). Sjúklingarnir voru á aldrinum 20 til 72 ára.</w:t>
      </w:r>
    </w:p>
    <w:p w14:paraId="05B8B9F9" w14:textId="77777777" w:rsidR="00A8278A" w:rsidRPr="006774D3" w:rsidRDefault="00A8278A" w:rsidP="00F77C66">
      <w:pPr>
        <w:rPr>
          <w:color w:val="000000"/>
          <w:sz w:val="22"/>
          <w:szCs w:val="22"/>
        </w:rPr>
      </w:pPr>
    </w:p>
    <w:p w14:paraId="05B8B9FA" w14:textId="77777777" w:rsidR="00A8278A" w:rsidRPr="006774D3" w:rsidRDefault="00A8278A" w:rsidP="00F77C66">
      <w:pPr>
        <w:rPr>
          <w:color w:val="000000"/>
          <w:sz w:val="22"/>
          <w:szCs w:val="22"/>
        </w:rPr>
      </w:pPr>
      <w:r w:rsidRPr="006774D3">
        <w:rPr>
          <w:color w:val="000000"/>
          <w:sz w:val="22"/>
          <w:szCs w:val="22"/>
        </w:rPr>
        <w:t xml:space="preserve">Gerð var áhorfsskrá (rannsókn L2401) til að safna saman upplýsingum um langtímaöryggi og </w:t>
      </w:r>
      <w:r w:rsidRPr="006774D3">
        <w:rPr>
          <w:color w:val="000000"/>
          <w:sz w:val="22"/>
          <w:szCs w:val="22"/>
        </w:rPr>
        <w:noBreakHyphen/>
        <w:t xml:space="preserve">verkun hjá sjúklingum með </w:t>
      </w:r>
      <w:r w:rsidRPr="006774D3">
        <w:rPr>
          <w:iCs/>
          <w:color w:val="000000"/>
          <w:sz w:val="22"/>
          <w:szCs w:val="22"/>
        </w:rPr>
        <w:t xml:space="preserve">æxli vegna mergfrumnafjölgunar með PDGFR- β endurröðun og sem fengu meðferð með Glivec. Þeir 23 sjúklingar sem skráðir voru fengu Glivec skammta sem voru að miðgildi 264 mg á sólarhring (á bilinu 100 til 400 mg) í að miðgildi 7,2 ár (á bilinu 0,1 til 12,7 ár). Vegna eðlis áhorfsskrárinnar lágu upplýsingar um blóðfræðilegt, frumuerfðafræðilegt og sameindafræðilegt mat fyrir hjá 22, 9 og 17 af þeim 23 sjúklingum sem skráðir voru, tilgreint í sömu röð. Þegar varlega er áætlað að sjúklingar sem ekki liggja fyrir upplýsingar um svari ekki meðferð, kemur fram að </w:t>
      </w:r>
      <w:r w:rsidR="00172F56" w:rsidRPr="006774D3">
        <w:rPr>
          <w:iCs/>
          <w:color w:val="000000"/>
          <w:sz w:val="22"/>
          <w:szCs w:val="22"/>
        </w:rPr>
        <w:t>heildar</w:t>
      </w:r>
      <w:r w:rsidRPr="006774D3">
        <w:rPr>
          <w:iCs/>
          <w:color w:val="000000"/>
          <w:sz w:val="22"/>
          <w:szCs w:val="22"/>
        </w:rPr>
        <w:t xml:space="preserve">blóðsvörun sást hjá 20/23 (87%) sjúklingum, </w:t>
      </w:r>
      <w:r w:rsidRPr="006774D3">
        <w:rPr>
          <w:color w:val="000000"/>
          <w:sz w:val="22"/>
          <w:szCs w:val="22"/>
        </w:rPr>
        <w:t xml:space="preserve">full litningasvörun (CCyR) hjá 9/23 (39,1%) sjúklingum og sameindasvörun (MR) hjá 11/23 (47,8%) sjúklingum, tilgreint í sömu röð. Þegar svörunarhlutfallið er reiknað hjá sjúklingum með að minnsta kosti eitt gilt mat er svörunarhlutfallið fyrir </w:t>
      </w:r>
      <w:r w:rsidR="00172F56" w:rsidRPr="006774D3">
        <w:rPr>
          <w:color w:val="000000"/>
          <w:sz w:val="22"/>
          <w:szCs w:val="22"/>
        </w:rPr>
        <w:t>heildar</w:t>
      </w:r>
      <w:r w:rsidRPr="006774D3">
        <w:rPr>
          <w:color w:val="000000"/>
          <w:sz w:val="22"/>
          <w:szCs w:val="22"/>
        </w:rPr>
        <w:t>blóðsvörun 20/22 (90,9%), fyrir fulla litningasvörun 9/9 (100%) og fyrir sameindasvörun 11/17 (64,7%).</w:t>
      </w:r>
    </w:p>
    <w:p w14:paraId="05B8B9FB" w14:textId="77777777" w:rsidR="00A8278A" w:rsidRPr="006774D3" w:rsidRDefault="00A8278A" w:rsidP="00F77C66">
      <w:pPr>
        <w:rPr>
          <w:color w:val="000000"/>
          <w:sz w:val="22"/>
          <w:szCs w:val="22"/>
        </w:rPr>
      </w:pPr>
    </w:p>
    <w:p w14:paraId="05B8B9FC" w14:textId="77777777" w:rsidR="007B5D76" w:rsidRPr="006774D3" w:rsidRDefault="007B5D76" w:rsidP="00F77C66">
      <w:pPr>
        <w:rPr>
          <w:color w:val="000000"/>
          <w:sz w:val="22"/>
          <w:szCs w:val="22"/>
        </w:rPr>
      </w:pPr>
      <w:r w:rsidRPr="006774D3">
        <w:rPr>
          <w:color w:val="000000"/>
          <w:sz w:val="22"/>
          <w:szCs w:val="22"/>
        </w:rPr>
        <w:t>Í 13 birtum heimildum var greint frá 24 sjúklingum til viðbótar, sem voru með MDS/MPD. Af þeim fékk 21 sjúklingur meðferð með Glivec 400 mg á sólarhring en hinir 3 fengu minni skammta. Hjá 11 sjúklingum greindist PDGFR endurröðun erfðavísa og af þeim náðu 9 CHR og 1 PHR. Sjúklingarnir voru á aldrinum 2 til 79 ára. Uppfærðar upplýsingar vegna 6 sjúklinga af þessum 11 voru birtar nýlega og samkvæmt þeim eru allir sjúklingarnir í sjúkdómshléi hvað varðar litningasvörun (á bilinu 32</w:t>
      </w:r>
      <w:r w:rsidRPr="006774D3">
        <w:rPr>
          <w:color w:val="000000"/>
          <w:sz w:val="22"/>
          <w:szCs w:val="22"/>
        </w:rPr>
        <w:noBreakHyphen/>
        <w:t xml:space="preserve">38 mánuðir). Í sömu birtu heimild er greint frá upplýsingum úr langtíma eftirfylgni 12 sjúklinga með MDS/MPD með PDGFR endurröðun erfðavísa (5 sjúklingar úr rannsókn B2225). </w:t>
      </w:r>
      <w:r w:rsidRPr="006774D3">
        <w:rPr>
          <w:color w:val="000000"/>
          <w:sz w:val="22"/>
          <w:szCs w:val="22"/>
        </w:rPr>
        <w:lastRenderedPageBreak/>
        <w:t>Miðgildi tíma sem þessir sjúklingar höfðu notað Glivec var 47 mánuðir (á bilinu 24 dagar </w:t>
      </w:r>
      <w:r w:rsidRPr="006774D3">
        <w:rPr>
          <w:color w:val="000000"/>
          <w:sz w:val="22"/>
          <w:szCs w:val="22"/>
        </w:rPr>
        <w:noBreakHyphen/>
        <w:t> 60 mánuðir). Hjá 6 sjúklinganna hefur eftirfylgni nú varað í meira en 4 ár. 11 sjúklingar náðu skjótri CHR, þar af voru 10 án allra litningafrávika og samrunaumritanir (fusion transcripts), metið samkvæmt RT</w:t>
      </w:r>
      <w:r w:rsidRPr="006774D3">
        <w:rPr>
          <w:color w:val="000000"/>
          <w:sz w:val="22"/>
          <w:szCs w:val="22"/>
        </w:rPr>
        <w:noBreakHyphen/>
        <w:t>PCR, annaðhvort minnkuðu eða hurfu. Miðgildi þess tíma sem blóð- og litningasvörun hefur varað er 49 mánuðir (á bilinu 19</w:t>
      </w:r>
      <w:r w:rsidRPr="006774D3">
        <w:rPr>
          <w:color w:val="000000"/>
          <w:sz w:val="22"/>
          <w:szCs w:val="22"/>
        </w:rPr>
        <w:noBreakHyphen/>
        <w:t>60) og 47 mánuðir (á bilinu 16</w:t>
      </w:r>
      <w:r w:rsidRPr="006774D3">
        <w:rPr>
          <w:color w:val="000000"/>
          <w:sz w:val="22"/>
          <w:szCs w:val="22"/>
        </w:rPr>
        <w:noBreakHyphen/>
        <w:t>59), tilgreint í sömu röð. Heildarlifun er 65 mánuðir frá greiningu (á bilinu 25</w:t>
      </w:r>
      <w:r w:rsidRPr="006774D3">
        <w:rPr>
          <w:color w:val="000000"/>
          <w:sz w:val="22"/>
          <w:szCs w:val="22"/>
        </w:rPr>
        <w:noBreakHyphen/>
        <w:t>234). Notkun Glivec handa sjúklingum sem ekki eru með yfirfærslu í erfðaefni (genetic translocation) skilar yfirleitt ekki ávinningi.</w:t>
      </w:r>
    </w:p>
    <w:p w14:paraId="05B8B9FD" w14:textId="77777777" w:rsidR="007B5D76" w:rsidRPr="006774D3" w:rsidRDefault="007B5D76" w:rsidP="00F77C66">
      <w:pPr>
        <w:rPr>
          <w:color w:val="000000"/>
          <w:sz w:val="22"/>
          <w:szCs w:val="22"/>
        </w:rPr>
      </w:pPr>
    </w:p>
    <w:p w14:paraId="05B8B9FE" w14:textId="77777777" w:rsidR="007B5D76" w:rsidRPr="006774D3" w:rsidRDefault="007B5D76" w:rsidP="00F77C66">
      <w:pPr>
        <w:rPr>
          <w:color w:val="000000"/>
          <w:sz w:val="22"/>
          <w:szCs w:val="22"/>
        </w:rPr>
      </w:pPr>
      <w:r w:rsidRPr="006774D3">
        <w:rPr>
          <w:color w:val="000000"/>
          <w:sz w:val="22"/>
          <w:szCs w:val="22"/>
        </w:rPr>
        <w:t>Ekki hafa verið gerðar neinar samanburðarrannsóknir hjá börnum með MDS/MPD. Í 4 birtum heimildum var greint frá 5 sjúklingum með MDS/MPD í tengslum við PDGFR endurröðun erfðavísa. Sjúklingarnir voru á aldrinum 3 mánaða til 4 ára og fengu imatinib í skammtinum 50 mg á sólarhring eða í skömmtum á bilinu 92,5 til 340 mg/m</w:t>
      </w:r>
      <w:r w:rsidRPr="006774D3">
        <w:rPr>
          <w:color w:val="000000"/>
          <w:sz w:val="22"/>
          <w:szCs w:val="22"/>
          <w:vertAlign w:val="superscript"/>
        </w:rPr>
        <w:t>2</w:t>
      </w:r>
      <w:r w:rsidRPr="006774D3">
        <w:rPr>
          <w:color w:val="000000"/>
          <w:sz w:val="22"/>
          <w:szCs w:val="22"/>
        </w:rPr>
        <w:t xml:space="preserve"> á sólarhring. Allir sjúklingar náðu </w:t>
      </w:r>
      <w:r w:rsidR="007C13EA" w:rsidRPr="006774D3">
        <w:rPr>
          <w:color w:val="000000"/>
          <w:sz w:val="22"/>
          <w:szCs w:val="22"/>
        </w:rPr>
        <w:t>heildar</w:t>
      </w:r>
      <w:r w:rsidRPr="006774D3">
        <w:rPr>
          <w:color w:val="000000"/>
          <w:sz w:val="22"/>
          <w:szCs w:val="22"/>
        </w:rPr>
        <w:t>blóðsvörun, litningasvörun og/eða klínískri svörun.</w:t>
      </w:r>
    </w:p>
    <w:p w14:paraId="05B8B9FF" w14:textId="77777777" w:rsidR="007B5D76" w:rsidRPr="006774D3" w:rsidRDefault="007B5D76" w:rsidP="00F77C66">
      <w:pPr>
        <w:rPr>
          <w:color w:val="000000"/>
          <w:sz w:val="22"/>
          <w:szCs w:val="22"/>
        </w:rPr>
      </w:pPr>
    </w:p>
    <w:p w14:paraId="05B8BA00"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HES/CEL</w:t>
      </w:r>
    </w:p>
    <w:p w14:paraId="05B8BA01" w14:textId="77777777" w:rsidR="007B5D76" w:rsidRPr="006774D3" w:rsidRDefault="007B5D76" w:rsidP="00F77C66">
      <w:pPr>
        <w:rPr>
          <w:color w:val="000000"/>
          <w:sz w:val="22"/>
          <w:szCs w:val="22"/>
        </w:rPr>
      </w:pPr>
      <w:r w:rsidRPr="006774D3">
        <w:rPr>
          <w:color w:val="000000"/>
          <w:sz w:val="22"/>
          <w:szCs w:val="22"/>
        </w:rPr>
        <w:t>Gerð var ein opin, fjölsetra, II. stigs klínísk rannsókn (B2225) þar sem notkun Glivec var rannsökuð hjá fjölbreyttu sjúklingaþýði með lífshættulega sjúkdóma sem tengjast Abl, Kit eða PDGFR proteintyrosin</w:t>
      </w:r>
      <w:r w:rsidRPr="006774D3">
        <w:rPr>
          <w:color w:val="000000"/>
          <w:sz w:val="22"/>
          <w:szCs w:val="22"/>
        </w:rPr>
        <w:softHyphen/>
        <w:t>kinasa. Í þessari rannsókn fengu 14 sjúklingar með HES/CEL meðferð með Glivec 100 til 1.000 mg/sólar</w:t>
      </w:r>
      <w:r w:rsidRPr="006774D3">
        <w:rPr>
          <w:color w:val="000000"/>
          <w:sz w:val="22"/>
          <w:szCs w:val="22"/>
        </w:rPr>
        <w:softHyphen/>
        <w:t>hring. Til viðbótar var greint frá 162 sjúklingum með HES/CEL í 35 birtum tilfellagreinum (case reports) og tilfellasyrpum (case series), sem fengu Glivec 75 mg til 800 mg á sólarhring. Lagt var mat á litningafrávik hjá 117 sjúklingum af heildarþýðinu sem var 176 sjúklingar. Hjá 61 sjúklingi af þessum 117 sjúklingum greindist FIP1L1</w:t>
      </w:r>
      <w:r w:rsidRPr="006774D3">
        <w:rPr>
          <w:color w:val="000000"/>
          <w:sz w:val="22"/>
          <w:szCs w:val="22"/>
        </w:rPr>
        <w:noBreakHyphen/>
        <w:t>PDGFRα samrunakinasi. Fjórir HES sjúklingar til viðbótar voru FIP1L1</w:t>
      </w:r>
      <w:r w:rsidRPr="006774D3">
        <w:rPr>
          <w:color w:val="000000"/>
          <w:sz w:val="22"/>
          <w:szCs w:val="22"/>
        </w:rPr>
        <w:noBreakHyphen/>
        <w:t>PDGFRα</w:t>
      </w:r>
      <w:r w:rsidRPr="006774D3">
        <w:rPr>
          <w:color w:val="000000"/>
          <w:sz w:val="22"/>
          <w:szCs w:val="22"/>
        </w:rPr>
        <w:noBreakHyphen/>
        <w:t>-jákvæðir í 3 öðrum birtum tilfellagreinum. Allir sjúklingarnir 65 sem voru FIP1L1</w:t>
      </w:r>
      <w:r w:rsidRPr="006774D3">
        <w:rPr>
          <w:color w:val="000000"/>
          <w:sz w:val="22"/>
          <w:szCs w:val="22"/>
        </w:rPr>
        <w:noBreakHyphen/>
        <w:t>PDGFRα samrunakinasa-jákvæðir náðu CHR er stóð í marga mánuði (á bilinu 1+ til 44+ mánuðir, miðað við þann tíma þegar upplýsingarnar voru birtar). Nýlega voru birtar upplýsingar um að 21 af þessum 65 sjúklingum hafi einnig náð fullkomnu sjúkdómshléi hvað varðar litninga (complete molecular remission), þar sem miðgildi eftirfylgni var 28 mánuðir (á bilinu 13</w:t>
      </w:r>
      <w:r w:rsidRPr="006774D3">
        <w:rPr>
          <w:color w:val="000000"/>
          <w:sz w:val="22"/>
          <w:szCs w:val="22"/>
        </w:rPr>
        <w:noBreakHyphen/>
        <w:t>67 mánuðir). Sjúklingarnir voru á aldrinum 25 til 72 ára. Í tilvikagreinunum greindu rannsakendur að auki frá bata hvað varðar einkenni og aðra óeðlilega vanstarfsemi líffæra. Greint var frá ávinningi hvað varðar hjarta, taugar, húð/undirhúð, öndunarfæri/brjósthol/miðmæti, stoðkerfi/stoðvef/æðar og meltingarfæri.</w:t>
      </w:r>
    </w:p>
    <w:p w14:paraId="05B8BA02" w14:textId="77777777" w:rsidR="007B5D76" w:rsidRPr="006774D3" w:rsidRDefault="007B5D76" w:rsidP="00F77C66">
      <w:pPr>
        <w:rPr>
          <w:color w:val="000000"/>
          <w:sz w:val="22"/>
          <w:szCs w:val="22"/>
        </w:rPr>
      </w:pPr>
    </w:p>
    <w:p w14:paraId="05B8BA03" w14:textId="77777777" w:rsidR="007B5D76" w:rsidRPr="006774D3" w:rsidRDefault="007B5D76" w:rsidP="00F77C66">
      <w:pPr>
        <w:rPr>
          <w:color w:val="000000"/>
          <w:sz w:val="22"/>
          <w:szCs w:val="22"/>
        </w:rPr>
      </w:pPr>
      <w:r w:rsidRPr="006774D3">
        <w:rPr>
          <w:color w:val="000000"/>
          <w:sz w:val="22"/>
          <w:szCs w:val="22"/>
        </w:rPr>
        <w:t>Ekki hafa verið gerðar neinar samanburðarrannsóknir hjá börnum með HES/CEL. Í 3 birtum heimildum var greint var frá 3 sjúklingum með HES og CEL í tengslum við PDGFR endurröðun erfðavísa. Sjúklingarnir voru á aldrinum 2 ára til 16 ára og fengu imatinib í skammtinum 300 mg/m</w:t>
      </w:r>
      <w:r w:rsidRPr="006774D3">
        <w:rPr>
          <w:color w:val="000000"/>
          <w:sz w:val="22"/>
          <w:szCs w:val="22"/>
          <w:vertAlign w:val="superscript"/>
        </w:rPr>
        <w:t>2</w:t>
      </w:r>
      <w:r w:rsidRPr="006774D3">
        <w:rPr>
          <w:color w:val="000000"/>
          <w:sz w:val="22"/>
          <w:szCs w:val="22"/>
        </w:rPr>
        <w:t xml:space="preserve"> á sólarhring eða í skömmtum á bilinu 200 til 400 mg á sólarhring. Allir sjúklingar náðu </w:t>
      </w:r>
      <w:r w:rsidR="007C13EA" w:rsidRPr="006774D3">
        <w:rPr>
          <w:color w:val="000000"/>
          <w:sz w:val="22"/>
          <w:szCs w:val="22"/>
        </w:rPr>
        <w:t>heildar</w:t>
      </w:r>
      <w:r w:rsidRPr="006774D3">
        <w:rPr>
          <w:color w:val="000000"/>
          <w:sz w:val="22"/>
          <w:szCs w:val="22"/>
        </w:rPr>
        <w:t>blóðsvörun, full</w:t>
      </w:r>
      <w:r w:rsidR="003C5A06" w:rsidRPr="006774D3">
        <w:rPr>
          <w:color w:val="000000"/>
          <w:sz w:val="22"/>
          <w:szCs w:val="22"/>
        </w:rPr>
        <w:t xml:space="preserve">ri </w:t>
      </w:r>
      <w:r w:rsidRPr="006774D3">
        <w:rPr>
          <w:color w:val="000000"/>
          <w:sz w:val="22"/>
          <w:szCs w:val="22"/>
        </w:rPr>
        <w:t>litningasvörun og/eða full</w:t>
      </w:r>
      <w:r w:rsidR="003C5A06" w:rsidRPr="006774D3">
        <w:rPr>
          <w:color w:val="000000"/>
          <w:sz w:val="22"/>
          <w:szCs w:val="22"/>
        </w:rPr>
        <w:t xml:space="preserve">ri </w:t>
      </w:r>
      <w:r w:rsidRPr="006774D3">
        <w:rPr>
          <w:color w:val="000000"/>
          <w:sz w:val="22"/>
          <w:szCs w:val="22"/>
        </w:rPr>
        <w:t>sameindasvörun.</w:t>
      </w:r>
    </w:p>
    <w:p w14:paraId="05B8BA04" w14:textId="77777777" w:rsidR="007B5D76" w:rsidRPr="006774D3" w:rsidRDefault="007B5D76" w:rsidP="00F77C66">
      <w:pPr>
        <w:rPr>
          <w:color w:val="000000"/>
          <w:sz w:val="22"/>
          <w:szCs w:val="22"/>
        </w:rPr>
      </w:pPr>
    </w:p>
    <w:p w14:paraId="05B8BA05"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óskurðtæku GIST og/eða GIST með meinvörpum</w:t>
      </w:r>
    </w:p>
    <w:p w14:paraId="05B8BA06" w14:textId="77777777" w:rsidR="007B5D76" w:rsidRPr="006774D3" w:rsidRDefault="007B5D76" w:rsidP="00F77C66">
      <w:pPr>
        <w:pStyle w:val="EndnoteText"/>
        <w:spacing w:before="0" w:after="0"/>
        <w:ind w:left="0" w:firstLine="0"/>
        <w:rPr>
          <w:color w:val="000000"/>
          <w:sz w:val="22"/>
          <w:szCs w:val="22"/>
          <w:lang w:val="is-IS"/>
        </w:rPr>
      </w:pPr>
      <w:r w:rsidRPr="006774D3">
        <w:rPr>
          <w:color w:val="000000"/>
          <w:sz w:val="22"/>
          <w:szCs w:val="22"/>
          <w:lang w:val="is-IS"/>
        </w:rPr>
        <w:t>Gerð var ein II. stigs, opin, slembuð, fjölþjóðarannsókn án samanburðar hjá sjúklingum með óskurð</w:t>
      </w:r>
      <w:r w:rsidRPr="006774D3">
        <w:rPr>
          <w:color w:val="000000"/>
          <w:sz w:val="22"/>
          <w:szCs w:val="22"/>
          <w:lang w:val="is-IS"/>
        </w:rPr>
        <w:softHyphen/>
        <w:t>tækt eða illkynja æxli í stoðvef maga og þarma með meinvörpum (GIST). Í rannsókninni tóku þátt 147 sjúklingar og voru þeir valdir af handahófi þannig að þeir fengu annaðhvort 400 mg eða 600 mg til inntöku einu sinni á sólarhring í allt að 36 mánuði. Sjúklingarnir voru á aldrinum 18 til 83 ára og höfðu verið meinafræðilega greindir með Kit</w:t>
      </w:r>
      <w:r w:rsidRPr="006774D3">
        <w:rPr>
          <w:color w:val="000000"/>
          <w:sz w:val="22"/>
          <w:szCs w:val="22"/>
          <w:lang w:val="is-IS"/>
        </w:rPr>
        <w:noBreakHyphen/>
        <w:t>jákvætt illkynja GIST sem var óskurðtækt og/eða með meinvörpum. Ónæmisvefjaefna</w:t>
      </w:r>
      <w:r w:rsidRPr="006774D3">
        <w:rPr>
          <w:color w:val="000000"/>
          <w:sz w:val="22"/>
          <w:szCs w:val="22"/>
          <w:lang w:val="is-IS"/>
        </w:rPr>
        <w:softHyphen/>
        <w:t>fræðipróf var framkvæmt reglubundið með Kit mótefni (A</w:t>
      </w:r>
      <w:r w:rsidRPr="006774D3">
        <w:rPr>
          <w:color w:val="000000"/>
          <w:sz w:val="22"/>
          <w:szCs w:val="22"/>
          <w:lang w:val="is-IS"/>
        </w:rPr>
        <w:noBreakHyphen/>
        <w:t>4502, kanínu fjölklóna mótsermi, 1:100; DAKO Corporation, Carpinteria, CA) samkvæmt greiningu með avidin</w:t>
      </w:r>
      <w:r w:rsidRPr="006774D3">
        <w:rPr>
          <w:color w:val="000000"/>
          <w:sz w:val="22"/>
          <w:szCs w:val="22"/>
          <w:lang w:val="is-IS"/>
        </w:rPr>
        <w:noBreakHyphen/>
        <w:t>biotin</w:t>
      </w:r>
      <w:r w:rsidRPr="006774D3">
        <w:rPr>
          <w:color w:val="000000"/>
          <w:sz w:val="22"/>
          <w:szCs w:val="22"/>
          <w:lang w:val="is-IS"/>
        </w:rPr>
        <w:noBreakHyphen/>
        <w:t>peroxidasakomplex aðferð eftir endurheimt mótefnavaka.</w:t>
      </w:r>
    </w:p>
    <w:p w14:paraId="05B8BA07" w14:textId="77777777" w:rsidR="007B5D76" w:rsidRPr="006774D3" w:rsidRDefault="007B5D76" w:rsidP="00F77C66">
      <w:pPr>
        <w:rPr>
          <w:color w:val="000000"/>
          <w:sz w:val="22"/>
          <w:szCs w:val="22"/>
        </w:rPr>
      </w:pPr>
    </w:p>
    <w:p w14:paraId="05B8BA08" w14:textId="77777777" w:rsidR="007B5D76" w:rsidRPr="006774D3" w:rsidRDefault="007B5D76" w:rsidP="00F77C66">
      <w:pPr>
        <w:rPr>
          <w:color w:val="000000"/>
          <w:sz w:val="22"/>
          <w:szCs w:val="22"/>
        </w:rPr>
      </w:pPr>
      <w:r w:rsidRPr="006774D3">
        <w:rPr>
          <w:color w:val="000000"/>
          <w:sz w:val="22"/>
          <w:szCs w:val="22"/>
        </w:rPr>
        <w:t>Fyrsta staðfesting verkunar grundvallaðist á hlutlægu svörunarhlutfalli. Æxli urðu að vera mælanleg á að minnsta kosti einum stað sjúkdóms og svörun byggð á skilmerkjum Southwestern Oncology Group (SWOG). Sjá niðurstöður í töflu </w:t>
      </w:r>
      <w:r w:rsidR="00F40B8C" w:rsidRPr="006774D3">
        <w:rPr>
          <w:color w:val="000000"/>
          <w:sz w:val="22"/>
          <w:szCs w:val="22"/>
        </w:rPr>
        <w:t>6</w:t>
      </w:r>
      <w:r w:rsidRPr="006774D3">
        <w:rPr>
          <w:color w:val="000000"/>
          <w:sz w:val="22"/>
          <w:szCs w:val="22"/>
        </w:rPr>
        <w:t>.</w:t>
      </w:r>
    </w:p>
    <w:p w14:paraId="05B8BA09" w14:textId="77777777" w:rsidR="007B5D76" w:rsidRPr="006774D3" w:rsidRDefault="007B5D76" w:rsidP="00F77C66">
      <w:pPr>
        <w:rPr>
          <w:color w:val="000000"/>
          <w:sz w:val="22"/>
          <w:szCs w:val="22"/>
        </w:rPr>
      </w:pPr>
    </w:p>
    <w:p w14:paraId="05B8BA0A" w14:textId="77777777" w:rsidR="007B5D76" w:rsidRPr="006774D3" w:rsidRDefault="007B5D76" w:rsidP="00FA5D6F">
      <w:pPr>
        <w:pStyle w:val="Heading4"/>
        <w:keepLines w:val="0"/>
        <w:spacing w:before="0"/>
        <w:rPr>
          <w:rFonts w:ascii="Times New Roman" w:hAnsi="Times New Roman"/>
          <w:color w:val="000000"/>
          <w:szCs w:val="22"/>
          <w:lang w:val="is-IS"/>
        </w:rPr>
      </w:pPr>
      <w:r w:rsidRPr="006774D3">
        <w:rPr>
          <w:rFonts w:ascii="Times New Roman" w:hAnsi="Times New Roman"/>
          <w:color w:val="000000"/>
          <w:szCs w:val="22"/>
          <w:lang w:val="is-IS"/>
        </w:rPr>
        <w:lastRenderedPageBreak/>
        <w:t>Tafla </w:t>
      </w:r>
      <w:r w:rsidR="00F40B8C" w:rsidRPr="006774D3">
        <w:rPr>
          <w:rFonts w:ascii="Times New Roman" w:hAnsi="Times New Roman"/>
          <w:color w:val="000000"/>
          <w:szCs w:val="22"/>
          <w:lang w:val="is-IS"/>
        </w:rPr>
        <w:t>6</w:t>
      </w:r>
      <w:r w:rsidRPr="006774D3">
        <w:rPr>
          <w:rFonts w:ascii="Times New Roman" w:hAnsi="Times New Roman"/>
          <w:color w:val="000000"/>
          <w:szCs w:val="22"/>
          <w:lang w:val="is-IS"/>
        </w:rPr>
        <w:tab/>
        <w:t>Besta æxlissvörun í rannsókn STIB2222 (GIST)</w:t>
      </w:r>
    </w:p>
    <w:p w14:paraId="05B8BA0B" w14:textId="77777777" w:rsidR="007B5D76" w:rsidRPr="006774D3" w:rsidRDefault="007B5D76" w:rsidP="00FA5D6F">
      <w:pPr>
        <w:pStyle w:val="Text"/>
        <w:keepNext/>
        <w:spacing w:before="0"/>
        <w:rPr>
          <w:color w:val="000000"/>
          <w:sz w:val="22"/>
          <w:szCs w:val="22"/>
          <w:lang w:val="is-IS"/>
        </w:rPr>
      </w:pPr>
    </w:p>
    <w:tbl>
      <w:tblPr>
        <w:tblW w:w="9322" w:type="dxa"/>
        <w:tblLayout w:type="fixed"/>
        <w:tblLook w:val="0000" w:firstRow="0" w:lastRow="0" w:firstColumn="0" w:lastColumn="0" w:noHBand="0" w:noVBand="0"/>
      </w:tblPr>
      <w:tblGrid>
        <w:gridCol w:w="4608"/>
        <w:gridCol w:w="4714"/>
      </w:tblGrid>
      <w:tr w:rsidR="007B5D76" w:rsidRPr="006774D3" w14:paraId="05B8BA14" w14:textId="77777777" w:rsidTr="00FA5D6F">
        <w:trPr>
          <w:cantSplit/>
        </w:trPr>
        <w:tc>
          <w:tcPr>
            <w:tcW w:w="4608" w:type="dxa"/>
            <w:tcBorders>
              <w:top w:val="single" w:sz="4" w:space="0" w:color="auto"/>
              <w:bottom w:val="single" w:sz="4" w:space="0" w:color="auto"/>
            </w:tcBorders>
          </w:tcPr>
          <w:p w14:paraId="05B8BA0C" w14:textId="77777777" w:rsidR="007B5D76" w:rsidRPr="006774D3" w:rsidRDefault="007B5D76" w:rsidP="00FA5D6F">
            <w:pPr>
              <w:pStyle w:val="Text"/>
              <w:keepNext/>
              <w:spacing w:before="0"/>
              <w:rPr>
                <w:color w:val="000000"/>
                <w:sz w:val="22"/>
                <w:szCs w:val="22"/>
                <w:lang w:val="is-IS"/>
              </w:rPr>
            </w:pPr>
          </w:p>
          <w:p w14:paraId="05B8BA0D" w14:textId="77777777" w:rsidR="007B5D76" w:rsidRPr="006774D3" w:rsidRDefault="007B5D76" w:rsidP="00FA5D6F">
            <w:pPr>
              <w:pStyle w:val="Text"/>
              <w:keepNext/>
              <w:spacing w:before="0"/>
              <w:rPr>
                <w:color w:val="000000"/>
                <w:sz w:val="22"/>
                <w:szCs w:val="22"/>
                <w:lang w:val="is-IS"/>
              </w:rPr>
            </w:pPr>
          </w:p>
          <w:p w14:paraId="05B8BA0E" w14:textId="77777777" w:rsidR="007B5D76" w:rsidRPr="006774D3" w:rsidRDefault="007B5D76" w:rsidP="00FA5D6F">
            <w:pPr>
              <w:pStyle w:val="Text"/>
              <w:keepNext/>
              <w:spacing w:before="0"/>
              <w:rPr>
                <w:color w:val="000000"/>
                <w:sz w:val="22"/>
                <w:szCs w:val="22"/>
                <w:lang w:val="is-IS"/>
              </w:rPr>
            </w:pPr>
          </w:p>
          <w:p w14:paraId="05B8BA0F"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Besta svörun</w:t>
            </w:r>
          </w:p>
        </w:tc>
        <w:tc>
          <w:tcPr>
            <w:tcW w:w="4714" w:type="dxa"/>
            <w:tcBorders>
              <w:top w:val="single" w:sz="4" w:space="0" w:color="auto"/>
              <w:bottom w:val="single" w:sz="4" w:space="0" w:color="auto"/>
            </w:tcBorders>
          </w:tcPr>
          <w:p w14:paraId="05B8BA10" w14:textId="77777777" w:rsidR="007B5D76" w:rsidRPr="006774D3" w:rsidRDefault="007B5D76" w:rsidP="00FA5D6F">
            <w:pPr>
              <w:pStyle w:val="Text"/>
              <w:keepNext/>
              <w:spacing w:before="0"/>
              <w:jc w:val="center"/>
              <w:outlineLvl w:val="0"/>
              <w:rPr>
                <w:color w:val="000000"/>
                <w:sz w:val="22"/>
                <w:szCs w:val="22"/>
                <w:lang w:val="is-IS"/>
              </w:rPr>
            </w:pPr>
            <w:r w:rsidRPr="006774D3">
              <w:rPr>
                <w:color w:val="000000"/>
                <w:sz w:val="22"/>
                <w:szCs w:val="22"/>
                <w:lang w:val="is-IS"/>
              </w:rPr>
              <w:t>Allir skammtar (n=147)</w:t>
            </w:r>
          </w:p>
          <w:p w14:paraId="05B8BA11" w14:textId="77777777" w:rsidR="007B5D76" w:rsidRPr="006774D3" w:rsidRDefault="007B5D76" w:rsidP="00FA5D6F">
            <w:pPr>
              <w:pStyle w:val="Text"/>
              <w:keepNext/>
              <w:spacing w:before="0"/>
              <w:jc w:val="center"/>
              <w:outlineLvl w:val="0"/>
              <w:rPr>
                <w:color w:val="000000"/>
                <w:sz w:val="22"/>
                <w:szCs w:val="22"/>
                <w:lang w:val="is-IS"/>
              </w:rPr>
            </w:pPr>
            <w:r w:rsidRPr="006774D3">
              <w:rPr>
                <w:color w:val="000000"/>
                <w:sz w:val="22"/>
                <w:szCs w:val="22"/>
                <w:lang w:val="is-IS"/>
              </w:rPr>
              <w:t>400 mg (n=73)</w:t>
            </w:r>
          </w:p>
          <w:p w14:paraId="05B8BA12" w14:textId="77777777" w:rsidR="007B5D76" w:rsidRPr="006774D3" w:rsidRDefault="007B5D76" w:rsidP="00FA5D6F">
            <w:pPr>
              <w:pStyle w:val="Text"/>
              <w:keepNext/>
              <w:spacing w:before="0"/>
              <w:jc w:val="center"/>
              <w:outlineLvl w:val="0"/>
              <w:rPr>
                <w:color w:val="000000"/>
                <w:sz w:val="22"/>
                <w:szCs w:val="22"/>
                <w:lang w:val="is-IS"/>
              </w:rPr>
            </w:pPr>
            <w:r w:rsidRPr="006774D3">
              <w:rPr>
                <w:color w:val="000000"/>
                <w:sz w:val="22"/>
                <w:szCs w:val="22"/>
                <w:lang w:val="is-IS"/>
              </w:rPr>
              <w:t>600 mg (n=74)</w:t>
            </w:r>
          </w:p>
          <w:p w14:paraId="05B8BA13" w14:textId="77777777" w:rsidR="007B5D76" w:rsidRPr="006774D3" w:rsidRDefault="007B5D76" w:rsidP="00FA5D6F">
            <w:pPr>
              <w:pStyle w:val="Text"/>
              <w:keepNext/>
              <w:spacing w:before="0"/>
              <w:jc w:val="center"/>
              <w:outlineLvl w:val="0"/>
              <w:rPr>
                <w:color w:val="000000"/>
                <w:sz w:val="22"/>
                <w:szCs w:val="22"/>
                <w:lang w:val="is-IS"/>
              </w:rPr>
            </w:pPr>
            <w:r w:rsidRPr="006774D3">
              <w:rPr>
                <w:color w:val="000000"/>
                <w:sz w:val="22"/>
                <w:szCs w:val="22"/>
                <w:lang w:val="is-IS"/>
              </w:rPr>
              <w:t>n (%)</w:t>
            </w:r>
          </w:p>
        </w:tc>
      </w:tr>
      <w:tr w:rsidR="007B5D76" w:rsidRPr="006774D3" w14:paraId="05B8BA17" w14:textId="77777777" w:rsidTr="00FA5D6F">
        <w:trPr>
          <w:cantSplit/>
        </w:trPr>
        <w:tc>
          <w:tcPr>
            <w:tcW w:w="4608" w:type="dxa"/>
            <w:tcBorders>
              <w:top w:val="single" w:sz="4" w:space="0" w:color="auto"/>
            </w:tcBorders>
          </w:tcPr>
          <w:p w14:paraId="05B8BA15"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Fullkomin svörun</w:t>
            </w:r>
          </w:p>
        </w:tc>
        <w:tc>
          <w:tcPr>
            <w:tcW w:w="4714" w:type="dxa"/>
            <w:tcBorders>
              <w:top w:val="single" w:sz="4" w:space="0" w:color="auto"/>
            </w:tcBorders>
          </w:tcPr>
          <w:p w14:paraId="05B8BA16" w14:textId="77777777" w:rsidR="007B5D76" w:rsidRPr="006774D3" w:rsidRDefault="007B5D76" w:rsidP="00FA5D6F">
            <w:pPr>
              <w:pStyle w:val="Text"/>
              <w:keepNext/>
              <w:spacing w:before="0"/>
              <w:jc w:val="center"/>
              <w:rPr>
                <w:color w:val="000000"/>
                <w:sz w:val="22"/>
                <w:szCs w:val="22"/>
                <w:lang w:val="is-IS"/>
              </w:rPr>
            </w:pPr>
            <w:r w:rsidRPr="006774D3">
              <w:rPr>
                <w:color w:val="000000"/>
                <w:sz w:val="22"/>
                <w:szCs w:val="22"/>
                <w:lang w:val="is-IS"/>
              </w:rPr>
              <w:t>1 (0,7)</w:t>
            </w:r>
          </w:p>
        </w:tc>
      </w:tr>
      <w:tr w:rsidR="007B5D76" w:rsidRPr="006774D3" w14:paraId="05B8BA1A" w14:textId="77777777" w:rsidTr="00FA5D6F">
        <w:trPr>
          <w:cantSplit/>
        </w:trPr>
        <w:tc>
          <w:tcPr>
            <w:tcW w:w="4608" w:type="dxa"/>
          </w:tcPr>
          <w:p w14:paraId="05B8BA18"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Svörun að hluta</w:t>
            </w:r>
          </w:p>
        </w:tc>
        <w:tc>
          <w:tcPr>
            <w:tcW w:w="4714" w:type="dxa"/>
          </w:tcPr>
          <w:p w14:paraId="05B8BA19" w14:textId="77777777" w:rsidR="007B5D76" w:rsidRPr="006774D3" w:rsidRDefault="007B5D76" w:rsidP="00FA5D6F">
            <w:pPr>
              <w:pStyle w:val="Text"/>
              <w:keepNext/>
              <w:spacing w:before="0"/>
              <w:jc w:val="center"/>
              <w:rPr>
                <w:color w:val="000000"/>
                <w:sz w:val="22"/>
                <w:szCs w:val="22"/>
                <w:lang w:val="is-IS"/>
              </w:rPr>
            </w:pPr>
            <w:r w:rsidRPr="006774D3">
              <w:rPr>
                <w:color w:val="000000"/>
                <w:sz w:val="22"/>
                <w:szCs w:val="22"/>
                <w:lang w:val="is-IS"/>
              </w:rPr>
              <w:t>98 (66,7)</w:t>
            </w:r>
          </w:p>
        </w:tc>
      </w:tr>
      <w:tr w:rsidR="007B5D76" w:rsidRPr="006774D3" w14:paraId="05B8BA1D" w14:textId="77777777" w:rsidTr="00FA5D6F">
        <w:trPr>
          <w:cantSplit/>
        </w:trPr>
        <w:tc>
          <w:tcPr>
            <w:tcW w:w="4608" w:type="dxa"/>
          </w:tcPr>
          <w:p w14:paraId="05B8BA1B"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Sjúkdómur stöðugur</w:t>
            </w:r>
          </w:p>
        </w:tc>
        <w:tc>
          <w:tcPr>
            <w:tcW w:w="4714" w:type="dxa"/>
          </w:tcPr>
          <w:p w14:paraId="05B8BA1C" w14:textId="77777777" w:rsidR="007B5D76" w:rsidRPr="006774D3" w:rsidRDefault="007B5D76" w:rsidP="00FA5D6F">
            <w:pPr>
              <w:pStyle w:val="Text"/>
              <w:keepNext/>
              <w:spacing w:before="0"/>
              <w:jc w:val="center"/>
              <w:rPr>
                <w:color w:val="000000"/>
                <w:sz w:val="22"/>
                <w:szCs w:val="22"/>
                <w:lang w:val="is-IS"/>
              </w:rPr>
            </w:pPr>
            <w:r w:rsidRPr="006774D3">
              <w:rPr>
                <w:color w:val="000000"/>
                <w:sz w:val="22"/>
                <w:szCs w:val="22"/>
                <w:lang w:val="is-IS"/>
              </w:rPr>
              <w:t>23 (15,6)</w:t>
            </w:r>
          </w:p>
        </w:tc>
      </w:tr>
      <w:tr w:rsidR="007B5D76" w:rsidRPr="006774D3" w14:paraId="05B8BA20" w14:textId="77777777" w:rsidTr="00FA5D6F">
        <w:trPr>
          <w:cantSplit/>
        </w:trPr>
        <w:tc>
          <w:tcPr>
            <w:tcW w:w="4608" w:type="dxa"/>
          </w:tcPr>
          <w:p w14:paraId="05B8BA1E"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Versnun á sjúkdómi</w:t>
            </w:r>
          </w:p>
        </w:tc>
        <w:tc>
          <w:tcPr>
            <w:tcW w:w="4714" w:type="dxa"/>
          </w:tcPr>
          <w:p w14:paraId="05B8BA1F" w14:textId="77777777" w:rsidR="007B5D76" w:rsidRPr="006774D3" w:rsidRDefault="007B5D76" w:rsidP="00FA5D6F">
            <w:pPr>
              <w:pStyle w:val="Text"/>
              <w:keepNext/>
              <w:spacing w:before="0"/>
              <w:jc w:val="center"/>
              <w:rPr>
                <w:color w:val="000000"/>
                <w:sz w:val="22"/>
                <w:szCs w:val="22"/>
                <w:lang w:val="is-IS"/>
              </w:rPr>
            </w:pPr>
            <w:r w:rsidRPr="006774D3">
              <w:rPr>
                <w:color w:val="000000"/>
                <w:sz w:val="22"/>
                <w:szCs w:val="22"/>
                <w:lang w:val="is-IS"/>
              </w:rPr>
              <w:t>18 (12,2)</w:t>
            </w:r>
          </w:p>
        </w:tc>
      </w:tr>
      <w:tr w:rsidR="007B5D76" w:rsidRPr="006774D3" w14:paraId="05B8BA23" w14:textId="77777777" w:rsidTr="00FA5D6F">
        <w:trPr>
          <w:cantSplit/>
        </w:trPr>
        <w:tc>
          <w:tcPr>
            <w:tcW w:w="4608" w:type="dxa"/>
          </w:tcPr>
          <w:p w14:paraId="05B8BA21" w14:textId="77777777" w:rsidR="007B5D76" w:rsidRPr="006774D3" w:rsidRDefault="007B5D76" w:rsidP="00FA5D6F">
            <w:pPr>
              <w:pStyle w:val="Text"/>
              <w:keepNext/>
              <w:spacing w:before="0"/>
              <w:rPr>
                <w:color w:val="000000"/>
                <w:sz w:val="22"/>
                <w:szCs w:val="22"/>
                <w:lang w:val="is-IS"/>
              </w:rPr>
            </w:pPr>
            <w:r w:rsidRPr="006774D3">
              <w:rPr>
                <w:color w:val="000000"/>
                <w:sz w:val="22"/>
                <w:szCs w:val="22"/>
                <w:lang w:val="is-IS"/>
              </w:rPr>
              <w:t>Ekki metanlegt</w:t>
            </w:r>
          </w:p>
        </w:tc>
        <w:tc>
          <w:tcPr>
            <w:tcW w:w="4714" w:type="dxa"/>
          </w:tcPr>
          <w:p w14:paraId="05B8BA22" w14:textId="77777777" w:rsidR="007B5D76" w:rsidRPr="006774D3" w:rsidRDefault="007B5D76" w:rsidP="00FA5D6F">
            <w:pPr>
              <w:pStyle w:val="Text"/>
              <w:keepNext/>
              <w:spacing w:before="0"/>
              <w:jc w:val="center"/>
              <w:rPr>
                <w:color w:val="000000"/>
                <w:sz w:val="22"/>
                <w:szCs w:val="22"/>
                <w:lang w:val="is-IS"/>
              </w:rPr>
            </w:pPr>
            <w:r w:rsidRPr="006774D3">
              <w:rPr>
                <w:color w:val="000000"/>
                <w:sz w:val="22"/>
                <w:szCs w:val="22"/>
                <w:lang w:val="is-IS"/>
              </w:rPr>
              <w:t>5 (3,4)</w:t>
            </w:r>
          </w:p>
        </w:tc>
      </w:tr>
      <w:tr w:rsidR="007B5D76" w:rsidRPr="006774D3" w14:paraId="05B8BA26" w14:textId="77777777" w:rsidTr="00FA5D6F">
        <w:trPr>
          <w:cantSplit/>
        </w:trPr>
        <w:tc>
          <w:tcPr>
            <w:tcW w:w="4608" w:type="dxa"/>
            <w:tcBorders>
              <w:bottom w:val="single" w:sz="4" w:space="0" w:color="auto"/>
            </w:tcBorders>
          </w:tcPr>
          <w:p w14:paraId="05B8BA24" w14:textId="77777777" w:rsidR="007B5D76" w:rsidRPr="006774D3" w:rsidRDefault="007B5D76" w:rsidP="00FA5D6F">
            <w:pPr>
              <w:pStyle w:val="Text"/>
              <w:spacing w:before="0"/>
              <w:rPr>
                <w:color w:val="000000"/>
                <w:sz w:val="22"/>
                <w:szCs w:val="22"/>
                <w:lang w:val="is-IS"/>
              </w:rPr>
            </w:pPr>
            <w:r w:rsidRPr="006774D3">
              <w:rPr>
                <w:color w:val="000000"/>
                <w:sz w:val="22"/>
                <w:szCs w:val="22"/>
                <w:lang w:val="is-IS"/>
              </w:rPr>
              <w:t>Óþekkt</w:t>
            </w:r>
          </w:p>
        </w:tc>
        <w:tc>
          <w:tcPr>
            <w:tcW w:w="4714" w:type="dxa"/>
            <w:tcBorders>
              <w:bottom w:val="single" w:sz="4" w:space="0" w:color="auto"/>
            </w:tcBorders>
          </w:tcPr>
          <w:p w14:paraId="05B8BA25" w14:textId="77777777" w:rsidR="007B5D76" w:rsidRPr="006774D3" w:rsidRDefault="007B5D76" w:rsidP="00FA5D6F">
            <w:pPr>
              <w:pStyle w:val="Text"/>
              <w:spacing w:before="0"/>
              <w:jc w:val="center"/>
              <w:rPr>
                <w:color w:val="000000"/>
                <w:sz w:val="22"/>
                <w:szCs w:val="22"/>
                <w:lang w:val="is-IS"/>
              </w:rPr>
            </w:pPr>
            <w:r w:rsidRPr="006774D3">
              <w:rPr>
                <w:color w:val="000000"/>
                <w:sz w:val="22"/>
                <w:szCs w:val="22"/>
                <w:lang w:val="is-IS"/>
              </w:rPr>
              <w:t>2 (1,4)</w:t>
            </w:r>
          </w:p>
        </w:tc>
      </w:tr>
    </w:tbl>
    <w:p w14:paraId="05B8BA27" w14:textId="77777777" w:rsidR="007B5D76" w:rsidRPr="006774D3" w:rsidRDefault="007B5D76" w:rsidP="00F77C66">
      <w:pPr>
        <w:rPr>
          <w:color w:val="000000"/>
          <w:sz w:val="22"/>
          <w:szCs w:val="22"/>
        </w:rPr>
      </w:pPr>
    </w:p>
    <w:p w14:paraId="05B8BA28" w14:textId="77777777" w:rsidR="007B5D76" w:rsidRPr="006774D3" w:rsidRDefault="007B5D76" w:rsidP="00F77C66">
      <w:pPr>
        <w:rPr>
          <w:color w:val="000000"/>
          <w:sz w:val="22"/>
          <w:szCs w:val="22"/>
        </w:rPr>
      </w:pPr>
      <w:r w:rsidRPr="006774D3">
        <w:rPr>
          <w:color w:val="000000"/>
          <w:sz w:val="22"/>
          <w:szCs w:val="22"/>
        </w:rPr>
        <w:t>Enginn munur var á svörunarhlutföllum milli skammtahópanna tveggja. Marktækur fjöldi sjúklinga, sem var með stöðugan sjúkdóm þegar milligreining var gerð, náði svörun að hluta með lengri meðferð (miðgildi eftir</w:t>
      </w:r>
      <w:r w:rsidRPr="006774D3">
        <w:rPr>
          <w:color w:val="000000"/>
          <w:sz w:val="22"/>
          <w:szCs w:val="22"/>
        </w:rPr>
        <w:softHyphen/>
        <w:t>fylgni var 31 mánuður). Miðgildi tíma þar til svörun kom fram var 13 vikur (95% CI; 12</w:t>
      </w:r>
      <w:r w:rsidRPr="006774D3">
        <w:rPr>
          <w:color w:val="000000"/>
          <w:sz w:val="22"/>
          <w:szCs w:val="22"/>
        </w:rPr>
        <w:noBreakHyphen/>
        <w:t>23). Miðgildi tíma til meðferðarbrests hjá sjúklingum sem höfðu svarað meðferð var 122 vikur (95% CI: 106</w:t>
      </w:r>
      <w:r w:rsidRPr="006774D3">
        <w:rPr>
          <w:color w:val="000000"/>
          <w:sz w:val="22"/>
          <w:szCs w:val="22"/>
        </w:rPr>
        <w:noBreakHyphen/>
        <w:t>147) en hjá þýðinu öllu var þetta gildi 84 vikur (95% CI: 71</w:t>
      </w:r>
      <w:r w:rsidRPr="006774D3">
        <w:rPr>
          <w:color w:val="000000"/>
          <w:sz w:val="22"/>
          <w:szCs w:val="22"/>
        </w:rPr>
        <w:noBreakHyphen/>
        <w:t>109). Miðgildi heildar lifunar hefur ekki náðst. Kaplan-Meier mat á lifun eftir 36 mánaða eftirfylgni er 68%.</w:t>
      </w:r>
    </w:p>
    <w:p w14:paraId="05B8BA29" w14:textId="77777777" w:rsidR="007B5D76" w:rsidRPr="006774D3" w:rsidRDefault="007B5D76" w:rsidP="00F77C66">
      <w:pPr>
        <w:rPr>
          <w:color w:val="000000"/>
          <w:sz w:val="22"/>
          <w:szCs w:val="22"/>
        </w:rPr>
      </w:pPr>
    </w:p>
    <w:p w14:paraId="05B8BA2A" w14:textId="77777777" w:rsidR="007B5D76" w:rsidRPr="006774D3" w:rsidRDefault="007B5D76" w:rsidP="00F77C66">
      <w:pPr>
        <w:rPr>
          <w:color w:val="000000"/>
          <w:sz w:val="22"/>
          <w:szCs w:val="22"/>
        </w:rPr>
      </w:pPr>
      <w:r w:rsidRPr="006774D3">
        <w:rPr>
          <w:color w:val="000000"/>
          <w:sz w:val="22"/>
          <w:szCs w:val="22"/>
        </w:rPr>
        <w:t>Í tveimur klínískum rannsóknum (rannsókn B2222 og millihópsrannsókn S0033) var sólarhrings</w:t>
      </w:r>
      <w:r w:rsidRPr="006774D3">
        <w:rPr>
          <w:color w:val="000000"/>
          <w:sz w:val="22"/>
          <w:szCs w:val="22"/>
        </w:rPr>
        <w:softHyphen/>
        <w:t>skammtur Glivec aukinn í 800 mg hjá sjúklingum sem voru með versnandi sjúkdóm við minni sólar</w:t>
      </w:r>
      <w:r w:rsidRPr="006774D3">
        <w:rPr>
          <w:color w:val="000000"/>
          <w:sz w:val="22"/>
          <w:szCs w:val="22"/>
        </w:rPr>
        <w:softHyphen/>
        <w:t>hrings</w:t>
      </w:r>
      <w:r w:rsidRPr="006774D3">
        <w:rPr>
          <w:color w:val="000000"/>
          <w:sz w:val="22"/>
          <w:szCs w:val="22"/>
        </w:rPr>
        <w:softHyphen/>
        <w:t>skammtana 400 mg eða 600 mg. Sólarhringsskammturinn var aukinn í 800 mg hjá alls 103 sjúklingum; hjá 6 sjúklingum kom fram svörun að hluta og hjá 21 sjúklingi varð sjúkdómurinn stöðugur eftir skammta</w:t>
      </w:r>
      <w:r w:rsidRPr="006774D3">
        <w:rPr>
          <w:color w:val="000000"/>
          <w:sz w:val="22"/>
          <w:szCs w:val="22"/>
        </w:rPr>
        <w:softHyphen/>
        <w:t>aukningu þannig að heildar klínískur ávinningur var 26%. Samkvæmt fyrirliggjandi upplýsingum um öryggi virðist skammta</w:t>
      </w:r>
      <w:r w:rsidRPr="006774D3">
        <w:rPr>
          <w:color w:val="000000"/>
          <w:sz w:val="22"/>
          <w:szCs w:val="22"/>
        </w:rPr>
        <w:softHyphen/>
        <w:t>aukning í 800 mg á sólarhring, hjá sjúklingum með versnandi sjúkdóm við minni sólarhringsskammtana 400 mg eða 600 mg, ekki hafa áhrif á öryggi Glivec.</w:t>
      </w:r>
    </w:p>
    <w:p w14:paraId="05B8BA2B" w14:textId="77777777" w:rsidR="007B5D76" w:rsidRPr="006774D3" w:rsidRDefault="007B5D76" w:rsidP="00F77C66">
      <w:pPr>
        <w:rPr>
          <w:color w:val="000000"/>
          <w:sz w:val="22"/>
          <w:szCs w:val="22"/>
        </w:rPr>
      </w:pPr>
    </w:p>
    <w:p w14:paraId="05B8BA2C"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viðbótarmeðferð við GIST</w:t>
      </w:r>
    </w:p>
    <w:p w14:paraId="05B8BA2D" w14:textId="77777777" w:rsidR="007B5D76" w:rsidRPr="006774D3" w:rsidRDefault="007B5D76" w:rsidP="00F77C66">
      <w:pPr>
        <w:rPr>
          <w:color w:val="000000"/>
          <w:sz w:val="22"/>
          <w:szCs w:val="22"/>
        </w:rPr>
      </w:pPr>
      <w:r w:rsidRPr="006774D3">
        <w:rPr>
          <w:color w:val="000000"/>
          <w:sz w:val="22"/>
          <w:szCs w:val="22"/>
        </w:rPr>
        <w:t>Viðbótarmeðferð með Glivec var rannsökuð í fjölsetra, tvíblindri, langtíma, III. stigs samanburðarrannsókn með lyfleysu (Z9001) sem í tóku þátt 773 sjúklingar. Sjúklingarnir voru á aldrinum 18 til 91 árs. Sjúklingarnir sem tóku þátt voru með vefjafræðilega greiningu á GIST æxli (primary) sem tjáir Kit prótein samkvæmt ónæmismælingum, og stærð æxlis ≥ 3 cm þar sem það er breiðast og GIST æxlið hefur verið fjarlægt að fullu, innan 14</w:t>
      </w:r>
      <w:r w:rsidRPr="006774D3">
        <w:rPr>
          <w:color w:val="000000"/>
          <w:sz w:val="22"/>
          <w:szCs w:val="22"/>
        </w:rPr>
        <w:noBreakHyphen/>
        <w:t>70 daga fyrir skráningu. Eftir brottnám GIST æxlis var sjúklingunum slembiraðað í tvo hópa, annars vegar Glivec 400 mg/sólarhring eða samsvarandi lyfleysu í eitt ár.</w:t>
      </w:r>
    </w:p>
    <w:p w14:paraId="05B8BA2E" w14:textId="77777777" w:rsidR="007B5D76" w:rsidRPr="006774D3" w:rsidRDefault="007B5D76" w:rsidP="00F77C66">
      <w:pPr>
        <w:rPr>
          <w:color w:val="000000"/>
          <w:sz w:val="22"/>
          <w:szCs w:val="22"/>
        </w:rPr>
      </w:pPr>
    </w:p>
    <w:p w14:paraId="05B8BA2F" w14:textId="77777777" w:rsidR="007B5D76" w:rsidRPr="006774D3" w:rsidRDefault="007B5D76" w:rsidP="00F77C66">
      <w:pPr>
        <w:rPr>
          <w:color w:val="000000"/>
          <w:sz w:val="22"/>
          <w:szCs w:val="22"/>
        </w:rPr>
      </w:pPr>
      <w:r w:rsidRPr="006774D3">
        <w:rPr>
          <w:color w:val="000000"/>
          <w:sz w:val="22"/>
          <w:szCs w:val="22"/>
        </w:rPr>
        <w:t>Megin endapunktur rannsóknarinnar var lifun án endurkomu æxlis, skilgreint sem tímabilið frá þeim degi þegar slembiröðunin fór fram til þess dags sem æxli kom aftur fram eða viðkomandi lést af hvaða orsök sem var.</w:t>
      </w:r>
    </w:p>
    <w:p w14:paraId="05B8BA30" w14:textId="77777777" w:rsidR="007B5D76" w:rsidRPr="006774D3" w:rsidRDefault="007B5D76" w:rsidP="00F77C66">
      <w:pPr>
        <w:rPr>
          <w:color w:val="000000"/>
          <w:sz w:val="22"/>
          <w:szCs w:val="22"/>
        </w:rPr>
      </w:pPr>
    </w:p>
    <w:p w14:paraId="05B8BA31" w14:textId="77777777" w:rsidR="007B5D76" w:rsidRPr="006774D3" w:rsidRDefault="007B5D76" w:rsidP="00F77C66">
      <w:pPr>
        <w:rPr>
          <w:color w:val="000000"/>
          <w:sz w:val="22"/>
          <w:szCs w:val="22"/>
        </w:rPr>
      </w:pPr>
      <w:r w:rsidRPr="006774D3">
        <w:rPr>
          <w:color w:val="000000"/>
          <w:sz w:val="22"/>
          <w:szCs w:val="22"/>
        </w:rPr>
        <w:t>Glivec lengdi lifun án endurkomu æxlis marktækt, þar sem 75% sjúklinganna höfðu ekki fengið æxli aftur eftir 38 mánuði í hópnum sem fékk Glivec, samanborið við 20 mánuði í hópnum sem fékk lyfleysu (95% CI: [30-ekki ákvarðanlegt]; [14-ekki ákvarðanlegt], tilgreint í sömu röð); (áhættuhlutfall = 0,398 [0,259</w:t>
      </w:r>
      <w:r w:rsidRPr="006774D3">
        <w:rPr>
          <w:color w:val="000000"/>
          <w:sz w:val="22"/>
          <w:szCs w:val="22"/>
        </w:rPr>
        <w:noBreakHyphen/>
        <w:t>0,610], p&lt;0,0001). Hætta á endurkomu æxlis minnkaði því um u.þ.b. 89% samanborið við lyfleysu (áhættuhlutfall = 0,113 [0,049</w:t>
      </w:r>
      <w:r w:rsidRPr="006774D3">
        <w:rPr>
          <w:color w:val="000000"/>
          <w:sz w:val="22"/>
          <w:szCs w:val="22"/>
        </w:rPr>
        <w:noBreakHyphen/>
        <w:t>0,264]).</w:t>
      </w:r>
    </w:p>
    <w:p w14:paraId="05B8BA32" w14:textId="77777777" w:rsidR="007B5D76" w:rsidRPr="006774D3" w:rsidRDefault="007B5D76" w:rsidP="00F77C66">
      <w:pPr>
        <w:rPr>
          <w:color w:val="000000"/>
          <w:sz w:val="22"/>
          <w:szCs w:val="22"/>
        </w:rPr>
      </w:pPr>
    </w:p>
    <w:p w14:paraId="05B8BA33" w14:textId="77777777" w:rsidR="007B5D76" w:rsidRPr="006774D3" w:rsidRDefault="007B5D76" w:rsidP="00F77C66">
      <w:pPr>
        <w:rPr>
          <w:color w:val="000000"/>
          <w:sz w:val="22"/>
          <w:szCs w:val="22"/>
        </w:rPr>
      </w:pPr>
      <w:r w:rsidRPr="006774D3">
        <w:rPr>
          <w:color w:val="000000"/>
          <w:sz w:val="22"/>
          <w:szCs w:val="22"/>
        </w:rPr>
        <w:t>Lagt var afturvirkt mat á hættu á endurkomu æxlis hjá sjúklingum eftir brottnám upphaflega GIST æxlisins með skurðaðgerð, á grundvelli eftirtalinna þátta sem hafa áhrif á horfur: æxlistærðar, mítósustuðuls, staðsetningar æxlisins. Upplýsingar um mítósustuðul lágu fyrir hjá 556 af 713 einstaklingum sem ætlunin var að meðhöndla (intention-to-treat [ITT]). Niðurstöður greininga á undirhópum samkvæmt áhættuflokkun NIH (United States National Institutes of Health) og AFIP (Armed Forces Institute of Pathology) eru tilgreindar í töflu </w:t>
      </w:r>
      <w:r w:rsidR="00F40B8C" w:rsidRPr="006774D3">
        <w:rPr>
          <w:color w:val="000000"/>
          <w:sz w:val="22"/>
          <w:szCs w:val="22"/>
        </w:rPr>
        <w:t>7</w:t>
      </w:r>
      <w:r w:rsidRPr="006774D3">
        <w:rPr>
          <w:color w:val="000000"/>
          <w:sz w:val="22"/>
          <w:szCs w:val="22"/>
        </w:rPr>
        <w:t>. Enginn ávinningur kom fram hjá hópunum sem voru í lítilli áhættu eða mjög lítilli áhættu. Enginn heildarávinningur fyrir lifun hefur komið fram.</w:t>
      </w:r>
    </w:p>
    <w:p w14:paraId="05B8BA34" w14:textId="77777777" w:rsidR="007B5D76" w:rsidRPr="006774D3" w:rsidRDefault="007B5D76" w:rsidP="00F77C66">
      <w:pPr>
        <w:rPr>
          <w:color w:val="000000"/>
          <w:sz w:val="22"/>
          <w:szCs w:val="22"/>
        </w:rPr>
      </w:pPr>
    </w:p>
    <w:p w14:paraId="05B8BA35" w14:textId="77777777" w:rsidR="007B5D76" w:rsidRPr="006774D3" w:rsidRDefault="007B5D76" w:rsidP="00F77C66">
      <w:pPr>
        <w:keepNext/>
        <w:ind w:left="1134" w:hanging="1134"/>
        <w:rPr>
          <w:b/>
          <w:color w:val="000000"/>
          <w:sz w:val="22"/>
          <w:szCs w:val="22"/>
        </w:rPr>
      </w:pPr>
      <w:r w:rsidRPr="006774D3">
        <w:rPr>
          <w:b/>
          <w:color w:val="000000"/>
          <w:sz w:val="22"/>
          <w:szCs w:val="22"/>
        </w:rPr>
        <w:lastRenderedPageBreak/>
        <w:t>Tafla </w:t>
      </w:r>
      <w:r w:rsidR="00F40B8C" w:rsidRPr="006774D3">
        <w:rPr>
          <w:b/>
          <w:color w:val="000000"/>
          <w:sz w:val="22"/>
          <w:szCs w:val="22"/>
        </w:rPr>
        <w:t>7</w:t>
      </w:r>
      <w:r w:rsidRPr="006774D3">
        <w:rPr>
          <w:b/>
          <w:color w:val="000000"/>
          <w:sz w:val="22"/>
          <w:szCs w:val="22"/>
        </w:rPr>
        <w:tab/>
      </w:r>
      <w:r w:rsidRPr="006774D3">
        <w:rPr>
          <w:rFonts w:eastAsia="MS Mincho"/>
          <w:b/>
          <w:color w:val="000000"/>
          <w:sz w:val="22"/>
          <w:szCs w:val="22"/>
          <w:lang w:eastAsia="ja-JP"/>
        </w:rPr>
        <w:t xml:space="preserve">Samantekt á greiningu Z9001 rannsóknarinnar á lifun án endurkomu æxlis samkvæmt áhættuflokkun </w:t>
      </w:r>
      <w:r w:rsidRPr="006774D3">
        <w:rPr>
          <w:b/>
          <w:color w:val="000000"/>
          <w:sz w:val="22"/>
          <w:szCs w:val="22"/>
        </w:rPr>
        <w:t>NIH og AFIP</w:t>
      </w:r>
    </w:p>
    <w:p w14:paraId="05B8BA36" w14:textId="77777777" w:rsidR="007B5D76" w:rsidRPr="006774D3" w:rsidRDefault="007B5D76" w:rsidP="00F77C66">
      <w:pPr>
        <w:keepNext/>
        <w:rPr>
          <w:color w:val="000000"/>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301"/>
        <w:gridCol w:w="1134"/>
        <w:gridCol w:w="1984"/>
        <w:gridCol w:w="1701"/>
        <w:gridCol w:w="1534"/>
        <w:gridCol w:w="1418"/>
      </w:tblGrid>
      <w:tr w:rsidR="007B5D76" w:rsidRPr="006774D3" w14:paraId="05B8BA3D" w14:textId="77777777" w:rsidTr="00FA5D6F">
        <w:trPr>
          <w:cantSplit/>
        </w:trPr>
        <w:tc>
          <w:tcPr>
            <w:tcW w:w="959" w:type="dxa"/>
            <w:vMerge w:val="restart"/>
          </w:tcPr>
          <w:p w14:paraId="05B8BA37" w14:textId="77777777" w:rsidR="007B5D76" w:rsidRPr="006774D3" w:rsidRDefault="007B5D76" w:rsidP="00F77C66">
            <w:pPr>
              <w:keepNext/>
              <w:rPr>
                <w:b/>
                <w:color w:val="000000"/>
                <w:sz w:val="22"/>
                <w:szCs w:val="22"/>
              </w:rPr>
            </w:pPr>
            <w:r w:rsidRPr="006774D3">
              <w:rPr>
                <w:b/>
                <w:color w:val="000000"/>
                <w:sz w:val="22"/>
                <w:szCs w:val="22"/>
              </w:rPr>
              <w:t>Mæli</w:t>
            </w:r>
            <w:r w:rsidRPr="006774D3">
              <w:rPr>
                <w:b/>
                <w:color w:val="000000"/>
                <w:sz w:val="22"/>
                <w:szCs w:val="22"/>
              </w:rPr>
              <w:softHyphen/>
              <w:t>kvarði áhættu</w:t>
            </w:r>
          </w:p>
        </w:tc>
        <w:tc>
          <w:tcPr>
            <w:tcW w:w="1301" w:type="dxa"/>
            <w:vMerge w:val="restart"/>
            <w:tcBorders>
              <w:right w:val="single" w:sz="4" w:space="0" w:color="auto"/>
            </w:tcBorders>
          </w:tcPr>
          <w:p w14:paraId="05B8BA38" w14:textId="77777777" w:rsidR="007B5D76" w:rsidRPr="006774D3" w:rsidRDefault="007B5D76" w:rsidP="00F77C66">
            <w:pPr>
              <w:keepNext/>
              <w:rPr>
                <w:b/>
                <w:color w:val="000000"/>
                <w:sz w:val="22"/>
                <w:szCs w:val="22"/>
              </w:rPr>
            </w:pPr>
            <w:r w:rsidRPr="006774D3">
              <w:rPr>
                <w:b/>
                <w:sz w:val="22"/>
                <w:szCs w:val="22"/>
              </w:rPr>
              <w:t>Áhættustig</w:t>
            </w:r>
          </w:p>
        </w:tc>
        <w:tc>
          <w:tcPr>
            <w:tcW w:w="1134" w:type="dxa"/>
            <w:vMerge w:val="restart"/>
            <w:tcBorders>
              <w:left w:val="single" w:sz="4" w:space="0" w:color="auto"/>
              <w:right w:val="single" w:sz="4" w:space="0" w:color="auto"/>
            </w:tcBorders>
          </w:tcPr>
          <w:p w14:paraId="05B8BA39" w14:textId="77777777" w:rsidR="007B5D76" w:rsidRPr="006774D3" w:rsidRDefault="007B5D76" w:rsidP="00F77C66">
            <w:pPr>
              <w:keepNext/>
              <w:rPr>
                <w:b/>
                <w:color w:val="000000"/>
                <w:sz w:val="22"/>
                <w:szCs w:val="22"/>
              </w:rPr>
            </w:pPr>
            <w:r w:rsidRPr="006774D3">
              <w:rPr>
                <w:b/>
                <w:color w:val="000000"/>
                <w:sz w:val="22"/>
                <w:szCs w:val="22"/>
              </w:rPr>
              <w:t xml:space="preserve">% </w:t>
            </w:r>
            <w:r w:rsidRPr="006774D3">
              <w:rPr>
                <w:b/>
                <w:sz w:val="22"/>
                <w:szCs w:val="22"/>
              </w:rPr>
              <w:t>sjúklinga</w:t>
            </w:r>
          </w:p>
        </w:tc>
        <w:tc>
          <w:tcPr>
            <w:tcW w:w="1984" w:type="dxa"/>
            <w:vMerge w:val="restart"/>
            <w:tcBorders>
              <w:left w:val="single" w:sz="4" w:space="0" w:color="auto"/>
              <w:right w:val="single" w:sz="4" w:space="0" w:color="auto"/>
            </w:tcBorders>
          </w:tcPr>
          <w:p w14:paraId="05B8BA3A" w14:textId="77777777" w:rsidR="007B5D76" w:rsidRPr="006774D3" w:rsidRDefault="007B5D76" w:rsidP="00F77C66">
            <w:pPr>
              <w:keepNext/>
              <w:rPr>
                <w:b/>
                <w:color w:val="000000"/>
                <w:sz w:val="22"/>
                <w:szCs w:val="22"/>
              </w:rPr>
            </w:pPr>
            <w:r w:rsidRPr="006774D3">
              <w:rPr>
                <w:b/>
                <w:sz w:val="22"/>
                <w:szCs w:val="22"/>
              </w:rPr>
              <w:t>Fjöldi tilvika/fjöldi sjúklinga</w:t>
            </w:r>
          </w:p>
        </w:tc>
        <w:tc>
          <w:tcPr>
            <w:tcW w:w="1701" w:type="dxa"/>
            <w:vMerge w:val="restart"/>
            <w:tcBorders>
              <w:left w:val="single" w:sz="4" w:space="0" w:color="auto"/>
              <w:right w:val="single" w:sz="4" w:space="0" w:color="auto"/>
            </w:tcBorders>
          </w:tcPr>
          <w:p w14:paraId="05B8BA3B" w14:textId="77777777" w:rsidR="007B5D76" w:rsidRPr="006774D3" w:rsidRDefault="007B5D76" w:rsidP="00F77C66">
            <w:pPr>
              <w:keepNext/>
              <w:rPr>
                <w:b/>
                <w:color w:val="000000"/>
                <w:sz w:val="22"/>
                <w:szCs w:val="22"/>
              </w:rPr>
            </w:pPr>
            <w:r w:rsidRPr="006774D3">
              <w:rPr>
                <w:b/>
                <w:sz w:val="22"/>
                <w:szCs w:val="22"/>
              </w:rPr>
              <w:t>Heildar áhættuhlutfall (95%CI)*</w:t>
            </w:r>
          </w:p>
        </w:tc>
        <w:tc>
          <w:tcPr>
            <w:tcW w:w="2952" w:type="dxa"/>
            <w:gridSpan w:val="2"/>
            <w:tcBorders>
              <w:left w:val="single" w:sz="4" w:space="0" w:color="auto"/>
            </w:tcBorders>
          </w:tcPr>
          <w:p w14:paraId="05B8BA3C" w14:textId="77777777" w:rsidR="007B5D76" w:rsidRPr="006774D3" w:rsidRDefault="007B5D76" w:rsidP="00F77C66">
            <w:pPr>
              <w:keepNext/>
              <w:rPr>
                <w:b/>
                <w:color w:val="000000"/>
                <w:sz w:val="22"/>
                <w:szCs w:val="22"/>
              </w:rPr>
            </w:pPr>
            <w:r w:rsidRPr="006774D3">
              <w:rPr>
                <w:b/>
                <w:sz w:val="22"/>
                <w:szCs w:val="22"/>
              </w:rPr>
              <w:t>Hlutfall lifunar án endurkomu æxlis (%)</w:t>
            </w:r>
          </w:p>
        </w:tc>
      </w:tr>
      <w:tr w:rsidR="007B5D76" w:rsidRPr="006774D3" w14:paraId="05B8BA45" w14:textId="77777777" w:rsidTr="00FA5D6F">
        <w:trPr>
          <w:cantSplit/>
        </w:trPr>
        <w:tc>
          <w:tcPr>
            <w:tcW w:w="959" w:type="dxa"/>
            <w:vMerge/>
          </w:tcPr>
          <w:p w14:paraId="05B8BA3E" w14:textId="77777777" w:rsidR="007B5D76" w:rsidRPr="006774D3" w:rsidRDefault="007B5D76" w:rsidP="00F77C66">
            <w:pPr>
              <w:keepNext/>
              <w:rPr>
                <w:b/>
                <w:color w:val="000000"/>
                <w:sz w:val="22"/>
                <w:szCs w:val="22"/>
              </w:rPr>
            </w:pPr>
          </w:p>
        </w:tc>
        <w:tc>
          <w:tcPr>
            <w:tcW w:w="1301" w:type="dxa"/>
            <w:vMerge/>
            <w:tcBorders>
              <w:right w:val="single" w:sz="4" w:space="0" w:color="auto"/>
            </w:tcBorders>
          </w:tcPr>
          <w:p w14:paraId="05B8BA3F" w14:textId="77777777" w:rsidR="007B5D76" w:rsidRPr="006774D3" w:rsidRDefault="007B5D76" w:rsidP="00F77C66">
            <w:pPr>
              <w:keepNext/>
              <w:rPr>
                <w:b/>
                <w:color w:val="000000"/>
                <w:sz w:val="22"/>
                <w:szCs w:val="22"/>
              </w:rPr>
            </w:pPr>
          </w:p>
        </w:tc>
        <w:tc>
          <w:tcPr>
            <w:tcW w:w="1134" w:type="dxa"/>
            <w:vMerge/>
            <w:tcBorders>
              <w:left w:val="single" w:sz="4" w:space="0" w:color="auto"/>
              <w:right w:val="single" w:sz="4" w:space="0" w:color="auto"/>
            </w:tcBorders>
          </w:tcPr>
          <w:p w14:paraId="05B8BA40" w14:textId="77777777" w:rsidR="007B5D76" w:rsidRPr="006774D3" w:rsidRDefault="007B5D76" w:rsidP="00F77C66">
            <w:pPr>
              <w:keepNext/>
              <w:rPr>
                <w:b/>
                <w:color w:val="000000"/>
                <w:sz w:val="22"/>
                <w:szCs w:val="22"/>
              </w:rPr>
            </w:pPr>
          </w:p>
        </w:tc>
        <w:tc>
          <w:tcPr>
            <w:tcW w:w="1984" w:type="dxa"/>
            <w:vMerge/>
            <w:tcBorders>
              <w:left w:val="single" w:sz="4" w:space="0" w:color="auto"/>
              <w:right w:val="single" w:sz="4" w:space="0" w:color="auto"/>
            </w:tcBorders>
          </w:tcPr>
          <w:p w14:paraId="05B8BA41" w14:textId="77777777" w:rsidR="007B5D76" w:rsidRPr="006774D3" w:rsidRDefault="007B5D76" w:rsidP="00F77C66">
            <w:pPr>
              <w:keepNext/>
              <w:rPr>
                <w:b/>
                <w:color w:val="000000"/>
                <w:sz w:val="22"/>
                <w:szCs w:val="22"/>
              </w:rPr>
            </w:pPr>
          </w:p>
        </w:tc>
        <w:tc>
          <w:tcPr>
            <w:tcW w:w="1701" w:type="dxa"/>
            <w:vMerge/>
            <w:tcBorders>
              <w:left w:val="single" w:sz="4" w:space="0" w:color="auto"/>
              <w:right w:val="single" w:sz="4" w:space="0" w:color="auto"/>
            </w:tcBorders>
          </w:tcPr>
          <w:p w14:paraId="05B8BA42" w14:textId="77777777" w:rsidR="007B5D76" w:rsidRPr="006774D3" w:rsidRDefault="007B5D76" w:rsidP="00F77C66">
            <w:pPr>
              <w:keepNext/>
              <w:rPr>
                <w:b/>
                <w:color w:val="000000"/>
                <w:sz w:val="22"/>
                <w:szCs w:val="22"/>
              </w:rPr>
            </w:pPr>
          </w:p>
        </w:tc>
        <w:tc>
          <w:tcPr>
            <w:tcW w:w="1534" w:type="dxa"/>
            <w:tcBorders>
              <w:left w:val="single" w:sz="4" w:space="0" w:color="auto"/>
              <w:right w:val="single" w:sz="4" w:space="0" w:color="auto"/>
            </w:tcBorders>
          </w:tcPr>
          <w:p w14:paraId="05B8BA43" w14:textId="77777777" w:rsidR="007B5D76" w:rsidRPr="006774D3" w:rsidRDefault="007B5D76" w:rsidP="00F77C66">
            <w:pPr>
              <w:keepNext/>
              <w:rPr>
                <w:b/>
                <w:color w:val="000000"/>
                <w:sz w:val="22"/>
                <w:szCs w:val="22"/>
              </w:rPr>
            </w:pPr>
            <w:r w:rsidRPr="006774D3">
              <w:rPr>
                <w:b/>
                <w:sz w:val="22"/>
                <w:szCs w:val="22"/>
              </w:rPr>
              <w:t>12 mánuðir</w:t>
            </w:r>
          </w:p>
        </w:tc>
        <w:tc>
          <w:tcPr>
            <w:tcW w:w="1418" w:type="dxa"/>
            <w:tcBorders>
              <w:left w:val="single" w:sz="4" w:space="0" w:color="auto"/>
            </w:tcBorders>
          </w:tcPr>
          <w:p w14:paraId="05B8BA44" w14:textId="77777777" w:rsidR="007B5D76" w:rsidRPr="006774D3" w:rsidRDefault="007B5D76" w:rsidP="00F77C66">
            <w:pPr>
              <w:keepNext/>
              <w:rPr>
                <w:b/>
                <w:color w:val="000000"/>
                <w:sz w:val="22"/>
                <w:szCs w:val="22"/>
              </w:rPr>
            </w:pPr>
            <w:r w:rsidRPr="006774D3">
              <w:rPr>
                <w:b/>
                <w:sz w:val="22"/>
                <w:szCs w:val="22"/>
              </w:rPr>
              <w:t>24 mánuðir</w:t>
            </w:r>
          </w:p>
        </w:tc>
      </w:tr>
      <w:tr w:rsidR="007B5D76" w:rsidRPr="006774D3" w14:paraId="05B8BA4D" w14:textId="77777777" w:rsidTr="00FA5D6F">
        <w:trPr>
          <w:cantSplit/>
        </w:trPr>
        <w:tc>
          <w:tcPr>
            <w:tcW w:w="959" w:type="dxa"/>
            <w:vMerge/>
          </w:tcPr>
          <w:p w14:paraId="05B8BA46" w14:textId="77777777" w:rsidR="007B5D76" w:rsidRPr="006774D3" w:rsidRDefault="007B5D76" w:rsidP="00F77C66">
            <w:pPr>
              <w:keepNext/>
              <w:rPr>
                <w:b/>
                <w:color w:val="000000"/>
                <w:sz w:val="22"/>
                <w:szCs w:val="22"/>
              </w:rPr>
            </w:pPr>
          </w:p>
        </w:tc>
        <w:tc>
          <w:tcPr>
            <w:tcW w:w="1301" w:type="dxa"/>
            <w:vMerge/>
            <w:tcBorders>
              <w:right w:val="single" w:sz="4" w:space="0" w:color="auto"/>
            </w:tcBorders>
          </w:tcPr>
          <w:p w14:paraId="05B8BA47" w14:textId="77777777" w:rsidR="007B5D76" w:rsidRPr="006774D3" w:rsidRDefault="007B5D76" w:rsidP="00F77C66">
            <w:pPr>
              <w:keepNext/>
              <w:rPr>
                <w:b/>
                <w:color w:val="000000"/>
                <w:sz w:val="22"/>
                <w:szCs w:val="22"/>
              </w:rPr>
            </w:pPr>
          </w:p>
        </w:tc>
        <w:tc>
          <w:tcPr>
            <w:tcW w:w="1134" w:type="dxa"/>
            <w:vMerge/>
            <w:tcBorders>
              <w:left w:val="single" w:sz="4" w:space="0" w:color="auto"/>
              <w:right w:val="single" w:sz="4" w:space="0" w:color="auto"/>
            </w:tcBorders>
          </w:tcPr>
          <w:p w14:paraId="05B8BA48" w14:textId="77777777" w:rsidR="007B5D76" w:rsidRPr="006774D3" w:rsidRDefault="007B5D76" w:rsidP="00F77C66">
            <w:pPr>
              <w:keepNext/>
              <w:rPr>
                <w:b/>
                <w:color w:val="000000"/>
                <w:sz w:val="22"/>
                <w:szCs w:val="22"/>
              </w:rPr>
            </w:pPr>
          </w:p>
        </w:tc>
        <w:tc>
          <w:tcPr>
            <w:tcW w:w="1984" w:type="dxa"/>
            <w:tcBorders>
              <w:left w:val="single" w:sz="4" w:space="0" w:color="auto"/>
              <w:bottom w:val="single" w:sz="4" w:space="0" w:color="auto"/>
              <w:right w:val="single" w:sz="4" w:space="0" w:color="auto"/>
            </w:tcBorders>
          </w:tcPr>
          <w:p w14:paraId="05B8BA49" w14:textId="77777777" w:rsidR="007B5D76" w:rsidRPr="006774D3" w:rsidRDefault="007B5D76" w:rsidP="00F77C66">
            <w:pPr>
              <w:keepNext/>
              <w:rPr>
                <w:b/>
                <w:color w:val="000000"/>
                <w:sz w:val="22"/>
                <w:szCs w:val="22"/>
              </w:rPr>
            </w:pPr>
            <w:r w:rsidRPr="006774D3">
              <w:rPr>
                <w:b/>
                <w:sz w:val="22"/>
                <w:szCs w:val="22"/>
              </w:rPr>
              <w:t>Glivec samanborið við lyfleysu</w:t>
            </w:r>
          </w:p>
        </w:tc>
        <w:tc>
          <w:tcPr>
            <w:tcW w:w="1701" w:type="dxa"/>
            <w:vMerge/>
            <w:tcBorders>
              <w:left w:val="single" w:sz="4" w:space="0" w:color="auto"/>
              <w:bottom w:val="single" w:sz="4" w:space="0" w:color="auto"/>
              <w:right w:val="single" w:sz="4" w:space="0" w:color="auto"/>
            </w:tcBorders>
          </w:tcPr>
          <w:p w14:paraId="05B8BA4A" w14:textId="77777777" w:rsidR="007B5D76" w:rsidRPr="006774D3" w:rsidRDefault="007B5D76" w:rsidP="00F77C66">
            <w:pPr>
              <w:keepNext/>
              <w:rPr>
                <w:b/>
                <w:color w:val="000000"/>
                <w:sz w:val="22"/>
                <w:szCs w:val="22"/>
              </w:rPr>
            </w:pPr>
          </w:p>
        </w:tc>
        <w:tc>
          <w:tcPr>
            <w:tcW w:w="1534" w:type="dxa"/>
            <w:tcBorders>
              <w:left w:val="single" w:sz="4" w:space="0" w:color="auto"/>
              <w:bottom w:val="single" w:sz="4" w:space="0" w:color="auto"/>
              <w:right w:val="single" w:sz="4" w:space="0" w:color="auto"/>
            </w:tcBorders>
          </w:tcPr>
          <w:p w14:paraId="05B8BA4B" w14:textId="77777777" w:rsidR="007B5D76" w:rsidRPr="006774D3" w:rsidRDefault="007B5D76" w:rsidP="00F77C66">
            <w:pPr>
              <w:keepNext/>
              <w:rPr>
                <w:b/>
                <w:color w:val="000000"/>
                <w:sz w:val="22"/>
                <w:szCs w:val="22"/>
              </w:rPr>
            </w:pPr>
            <w:r w:rsidRPr="006774D3">
              <w:rPr>
                <w:b/>
                <w:sz w:val="22"/>
                <w:szCs w:val="22"/>
              </w:rPr>
              <w:t>Glivec samanborið við lyfleysu</w:t>
            </w:r>
          </w:p>
        </w:tc>
        <w:tc>
          <w:tcPr>
            <w:tcW w:w="1418" w:type="dxa"/>
            <w:tcBorders>
              <w:left w:val="single" w:sz="4" w:space="0" w:color="auto"/>
            </w:tcBorders>
          </w:tcPr>
          <w:p w14:paraId="05B8BA4C" w14:textId="77777777" w:rsidR="007B5D76" w:rsidRPr="006774D3" w:rsidRDefault="007B5D76" w:rsidP="00F77C66">
            <w:pPr>
              <w:keepNext/>
              <w:rPr>
                <w:b/>
                <w:color w:val="000000"/>
                <w:sz w:val="22"/>
                <w:szCs w:val="22"/>
              </w:rPr>
            </w:pPr>
            <w:r w:rsidRPr="006774D3">
              <w:rPr>
                <w:b/>
                <w:sz w:val="22"/>
                <w:szCs w:val="22"/>
              </w:rPr>
              <w:t>Glivec samanborið við lyfleysu</w:t>
            </w:r>
          </w:p>
        </w:tc>
      </w:tr>
      <w:tr w:rsidR="007B5D76" w:rsidRPr="006774D3" w14:paraId="05B8BA55" w14:textId="77777777" w:rsidTr="00FA5D6F">
        <w:trPr>
          <w:cantSplit/>
        </w:trPr>
        <w:tc>
          <w:tcPr>
            <w:tcW w:w="959" w:type="dxa"/>
            <w:vMerge w:val="restart"/>
            <w:shd w:val="clear" w:color="auto" w:fill="auto"/>
          </w:tcPr>
          <w:p w14:paraId="05B8BA4E" w14:textId="77777777" w:rsidR="007B5D76" w:rsidRPr="006774D3" w:rsidRDefault="007B5D76" w:rsidP="00FA5D6F">
            <w:pPr>
              <w:keepNext/>
              <w:rPr>
                <w:color w:val="000000"/>
                <w:sz w:val="22"/>
                <w:szCs w:val="22"/>
              </w:rPr>
            </w:pPr>
            <w:r w:rsidRPr="006774D3">
              <w:rPr>
                <w:color w:val="000000"/>
                <w:sz w:val="22"/>
                <w:szCs w:val="22"/>
              </w:rPr>
              <w:t>NIH</w:t>
            </w:r>
          </w:p>
        </w:tc>
        <w:tc>
          <w:tcPr>
            <w:tcW w:w="1301" w:type="dxa"/>
            <w:tcBorders>
              <w:bottom w:val="nil"/>
              <w:right w:val="single" w:sz="4" w:space="0" w:color="auto"/>
            </w:tcBorders>
            <w:vAlign w:val="bottom"/>
          </w:tcPr>
          <w:p w14:paraId="05B8BA4F" w14:textId="77777777" w:rsidR="007B5D76" w:rsidRPr="006774D3" w:rsidRDefault="007B5D76" w:rsidP="00F77C66">
            <w:pPr>
              <w:keepNext/>
              <w:rPr>
                <w:color w:val="000000"/>
                <w:sz w:val="22"/>
                <w:szCs w:val="22"/>
              </w:rPr>
            </w:pPr>
            <w:r w:rsidRPr="006774D3">
              <w:rPr>
                <w:color w:val="000000"/>
                <w:sz w:val="22"/>
                <w:szCs w:val="22"/>
              </w:rPr>
              <w:t>Lágt</w:t>
            </w:r>
          </w:p>
        </w:tc>
        <w:tc>
          <w:tcPr>
            <w:tcW w:w="1134" w:type="dxa"/>
            <w:tcBorders>
              <w:left w:val="single" w:sz="4" w:space="0" w:color="auto"/>
              <w:bottom w:val="nil"/>
              <w:right w:val="single" w:sz="4" w:space="0" w:color="auto"/>
            </w:tcBorders>
            <w:vAlign w:val="bottom"/>
          </w:tcPr>
          <w:p w14:paraId="05B8BA50" w14:textId="77777777" w:rsidR="007B5D76" w:rsidRPr="006774D3" w:rsidRDefault="007B5D76" w:rsidP="00F77C66">
            <w:pPr>
              <w:keepNext/>
              <w:rPr>
                <w:color w:val="000000"/>
                <w:sz w:val="22"/>
                <w:szCs w:val="22"/>
              </w:rPr>
            </w:pPr>
            <w:r w:rsidRPr="006774D3">
              <w:rPr>
                <w:color w:val="000000"/>
                <w:sz w:val="22"/>
                <w:szCs w:val="22"/>
              </w:rPr>
              <w:t>29,5</w:t>
            </w:r>
          </w:p>
        </w:tc>
        <w:tc>
          <w:tcPr>
            <w:tcW w:w="1984" w:type="dxa"/>
            <w:tcBorders>
              <w:left w:val="single" w:sz="4" w:space="0" w:color="auto"/>
              <w:bottom w:val="nil"/>
              <w:right w:val="single" w:sz="4" w:space="0" w:color="auto"/>
            </w:tcBorders>
            <w:vAlign w:val="bottom"/>
          </w:tcPr>
          <w:p w14:paraId="05B8BA51" w14:textId="77777777" w:rsidR="007B5D76" w:rsidRPr="006774D3" w:rsidRDefault="007B5D76" w:rsidP="00F77C66">
            <w:pPr>
              <w:keepNext/>
              <w:rPr>
                <w:color w:val="000000"/>
                <w:sz w:val="22"/>
                <w:szCs w:val="22"/>
              </w:rPr>
            </w:pPr>
            <w:r w:rsidRPr="006774D3">
              <w:rPr>
                <w:color w:val="000000"/>
                <w:sz w:val="22"/>
                <w:szCs w:val="22"/>
              </w:rPr>
              <w:t>0/86 samanborið við 2/90</w:t>
            </w:r>
          </w:p>
        </w:tc>
        <w:tc>
          <w:tcPr>
            <w:tcW w:w="1701" w:type="dxa"/>
            <w:tcBorders>
              <w:left w:val="single" w:sz="4" w:space="0" w:color="auto"/>
              <w:bottom w:val="nil"/>
              <w:right w:val="single" w:sz="4" w:space="0" w:color="auto"/>
            </w:tcBorders>
            <w:vAlign w:val="bottom"/>
          </w:tcPr>
          <w:p w14:paraId="05B8BA52" w14:textId="77777777" w:rsidR="007B5D76" w:rsidRPr="006774D3" w:rsidRDefault="007B5D76" w:rsidP="00F77C66">
            <w:pPr>
              <w:keepNext/>
              <w:rPr>
                <w:color w:val="000000"/>
                <w:sz w:val="22"/>
                <w:szCs w:val="22"/>
              </w:rPr>
            </w:pPr>
            <w:r w:rsidRPr="006774D3">
              <w:rPr>
                <w:sz w:val="22"/>
                <w:szCs w:val="22"/>
              </w:rPr>
              <w:t>E.Á.</w:t>
            </w:r>
          </w:p>
        </w:tc>
        <w:tc>
          <w:tcPr>
            <w:tcW w:w="1534" w:type="dxa"/>
            <w:tcBorders>
              <w:left w:val="single" w:sz="4" w:space="0" w:color="auto"/>
              <w:bottom w:val="nil"/>
              <w:right w:val="single" w:sz="4" w:space="0" w:color="auto"/>
            </w:tcBorders>
            <w:vAlign w:val="bottom"/>
          </w:tcPr>
          <w:p w14:paraId="05B8BA53" w14:textId="77777777" w:rsidR="007B5D76" w:rsidRPr="006774D3" w:rsidRDefault="007B5D76" w:rsidP="00F77C66">
            <w:pPr>
              <w:keepNext/>
              <w:rPr>
                <w:color w:val="000000"/>
                <w:sz w:val="22"/>
                <w:szCs w:val="22"/>
              </w:rPr>
            </w:pPr>
            <w:r w:rsidRPr="006774D3">
              <w:rPr>
                <w:color w:val="000000"/>
                <w:sz w:val="22"/>
                <w:szCs w:val="22"/>
              </w:rPr>
              <w:t>100 samanborið við 98,7</w:t>
            </w:r>
          </w:p>
        </w:tc>
        <w:tc>
          <w:tcPr>
            <w:tcW w:w="1418" w:type="dxa"/>
            <w:tcBorders>
              <w:left w:val="single" w:sz="4" w:space="0" w:color="auto"/>
              <w:bottom w:val="nil"/>
            </w:tcBorders>
            <w:vAlign w:val="bottom"/>
          </w:tcPr>
          <w:p w14:paraId="05B8BA54" w14:textId="77777777" w:rsidR="007B5D76" w:rsidRPr="006774D3" w:rsidRDefault="007B5D76" w:rsidP="00F77C66">
            <w:pPr>
              <w:keepNext/>
              <w:rPr>
                <w:color w:val="000000"/>
                <w:sz w:val="22"/>
                <w:szCs w:val="22"/>
              </w:rPr>
            </w:pPr>
            <w:r w:rsidRPr="006774D3">
              <w:rPr>
                <w:color w:val="000000"/>
                <w:sz w:val="22"/>
                <w:szCs w:val="22"/>
              </w:rPr>
              <w:t>100 samanborið við 95,5</w:t>
            </w:r>
          </w:p>
        </w:tc>
      </w:tr>
      <w:tr w:rsidR="007B5D76" w:rsidRPr="006774D3" w14:paraId="05B8BA5D" w14:textId="77777777" w:rsidTr="00FA5D6F">
        <w:trPr>
          <w:cantSplit/>
        </w:trPr>
        <w:tc>
          <w:tcPr>
            <w:tcW w:w="959" w:type="dxa"/>
            <w:vMerge/>
            <w:shd w:val="clear" w:color="auto" w:fill="auto"/>
          </w:tcPr>
          <w:p w14:paraId="05B8BA56" w14:textId="77777777" w:rsidR="007B5D76" w:rsidRPr="006774D3" w:rsidRDefault="007B5D76" w:rsidP="00F77C66">
            <w:pPr>
              <w:keepNext/>
              <w:rPr>
                <w:color w:val="000000"/>
                <w:sz w:val="22"/>
                <w:szCs w:val="22"/>
              </w:rPr>
            </w:pPr>
          </w:p>
        </w:tc>
        <w:tc>
          <w:tcPr>
            <w:tcW w:w="1301" w:type="dxa"/>
            <w:tcBorders>
              <w:top w:val="nil"/>
              <w:bottom w:val="nil"/>
              <w:right w:val="single" w:sz="4" w:space="0" w:color="auto"/>
            </w:tcBorders>
            <w:vAlign w:val="bottom"/>
          </w:tcPr>
          <w:p w14:paraId="05B8BA57" w14:textId="77777777" w:rsidR="007B5D76" w:rsidRPr="006774D3" w:rsidRDefault="007B5D76" w:rsidP="00F77C66">
            <w:pPr>
              <w:keepNext/>
              <w:rPr>
                <w:color w:val="000000"/>
                <w:sz w:val="22"/>
                <w:szCs w:val="22"/>
              </w:rPr>
            </w:pPr>
            <w:r w:rsidRPr="006774D3">
              <w:rPr>
                <w:color w:val="000000"/>
                <w:sz w:val="22"/>
                <w:szCs w:val="22"/>
              </w:rPr>
              <w:t>Í meðallagi hátt</w:t>
            </w:r>
          </w:p>
        </w:tc>
        <w:tc>
          <w:tcPr>
            <w:tcW w:w="1134" w:type="dxa"/>
            <w:tcBorders>
              <w:top w:val="nil"/>
              <w:left w:val="single" w:sz="4" w:space="0" w:color="auto"/>
              <w:bottom w:val="nil"/>
              <w:right w:val="single" w:sz="4" w:space="0" w:color="auto"/>
            </w:tcBorders>
            <w:vAlign w:val="bottom"/>
          </w:tcPr>
          <w:p w14:paraId="05B8BA58" w14:textId="77777777" w:rsidR="007B5D76" w:rsidRPr="006774D3" w:rsidRDefault="007B5D76" w:rsidP="00F77C66">
            <w:pPr>
              <w:keepNext/>
              <w:rPr>
                <w:color w:val="000000"/>
                <w:sz w:val="22"/>
                <w:szCs w:val="22"/>
              </w:rPr>
            </w:pPr>
            <w:r w:rsidRPr="006774D3">
              <w:rPr>
                <w:color w:val="000000"/>
                <w:sz w:val="22"/>
                <w:szCs w:val="22"/>
              </w:rPr>
              <w:t>25,7</w:t>
            </w:r>
          </w:p>
        </w:tc>
        <w:tc>
          <w:tcPr>
            <w:tcW w:w="1984" w:type="dxa"/>
            <w:tcBorders>
              <w:top w:val="nil"/>
              <w:left w:val="single" w:sz="4" w:space="0" w:color="auto"/>
              <w:bottom w:val="nil"/>
              <w:right w:val="single" w:sz="4" w:space="0" w:color="auto"/>
            </w:tcBorders>
            <w:vAlign w:val="bottom"/>
          </w:tcPr>
          <w:p w14:paraId="05B8BA59" w14:textId="77777777" w:rsidR="007B5D76" w:rsidRPr="006774D3" w:rsidRDefault="007B5D76" w:rsidP="00F77C66">
            <w:pPr>
              <w:keepNext/>
              <w:rPr>
                <w:color w:val="000000"/>
                <w:sz w:val="22"/>
                <w:szCs w:val="22"/>
              </w:rPr>
            </w:pPr>
            <w:r w:rsidRPr="006774D3">
              <w:rPr>
                <w:color w:val="000000"/>
                <w:sz w:val="22"/>
                <w:szCs w:val="22"/>
              </w:rPr>
              <w:t>4/75 samanborið við 6/78</w:t>
            </w:r>
          </w:p>
        </w:tc>
        <w:tc>
          <w:tcPr>
            <w:tcW w:w="1701" w:type="dxa"/>
            <w:tcBorders>
              <w:top w:val="nil"/>
              <w:left w:val="single" w:sz="4" w:space="0" w:color="auto"/>
              <w:bottom w:val="nil"/>
              <w:right w:val="single" w:sz="4" w:space="0" w:color="auto"/>
            </w:tcBorders>
            <w:vAlign w:val="bottom"/>
          </w:tcPr>
          <w:p w14:paraId="05B8BA5A" w14:textId="77777777" w:rsidR="007B5D76" w:rsidRPr="006774D3" w:rsidRDefault="007B5D76" w:rsidP="00F77C66">
            <w:pPr>
              <w:keepNext/>
              <w:rPr>
                <w:color w:val="000000"/>
                <w:sz w:val="22"/>
                <w:szCs w:val="22"/>
              </w:rPr>
            </w:pPr>
            <w:r w:rsidRPr="006774D3">
              <w:rPr>
                <w:color w:val="000000"/>
                <w:sz w:val="22"/>
                <w:szCs w:val="22"/>
              </w:rPr>
              <w:t>0,59 (0,17; 2,10)</w:t>
            </w:r>
          </w:p>
        </w:tc>
        <w:tc>
          <w:tcPr>
            <w:tcW w:w="1534" w:type="dxa"/>
            <w:tcBorders>
              <w:top w:val="nil"/>
              <w:left w:val="single" w:sz="4" w:space="0" w:color="auto"/>
              <w:bottom w:val="nil"/>
              <w:right w:val="single" w:sz="4" w:space="0" w:color="auto"/>
            </w:tcBorders>
            <w:vAlign w:val="bottom"/>
          </w:tcPr>
          <w:p w14:paraId="05B8BA5B" w14:textId="77777777" w:rsidR="007B5D76" w:rsidRPr="006774D3" w:rsidRDefault="007B5D76" w:rsidP="00F77C66">
            <w:pPr>
              <w:keepNext/>
              <w:rPr>
                <w:color w:val="000000"/>
                <w:sz w:val="22"/>
                <w:szCs w:val="22"/>
              </w:rPr>
            </w:pPr>
            <w:r w:rsidRPr="006774D3">
              <w:rPr>
                <w:color w:val="000000"/>
                <w:sz w:val="22"/>
                <w:szCs w:val="22"/>
              </w:rPr>
              <w:t>100 samanborið við 94,8</w:t>
            </w:r>
          </w:p>
        </w:tc>
        <w:tc>
          <w:tcPr>
            <w:tcW w:w="1418" w:type="dxa"/>
            <w:tcBorders>
              <w:top w:val="nil"/>
              <w:left w:val="single" w:sz="4" w:space="0" w:color="auto"/>
              <w:bottom w:val="nil"/>
            </w:tcBorders>
            <w:vAlign w:val="bottom"/>
          </w:tcPr>
          <w:p w14:paraId="05B8BA5C" w14:textId="77777777" w:rsidR="007B5D76" w:rsidRPr="006774D3" w:rsidRDefault="007B5D76" w:rsidP="00F77C66">
            <w:pPr>
              <w:keepNext/>
              <w:rPr>
                <w:color w:val="000000"/>
                <w:sz w:val="22"/>
                <w:szCs w:val="22"/>
              </w:rPr>
            </w:pPr>
            <w:r w:rsidRPr="006774D3">
              <w:rPr>
                <w:color w:val="000000"/>
                <w:sz w:val="22"/>
                <w:szCs w:val="22"/>
              </w:rPr>
              <w:t>97,8 samanborið við 89,5</w:t>
            </w:r>
          </w:p>
        </w:tc>
      </w:tr>
      <w:tr w:rsidR="007B5D76" w:rsidRPr="006774D3" w14:paraId="05B8BA65" w14:textId="77777777" w:rsidTr="00FA5D6F">
        <w:trPr>
          <w:cantSplit/>
        </w:trPr>
        <w:tc>
          <w:tcPr>
            <w:tcW w:w="959" w:type="dxa"/>
            <w:vMerge/>
            <w:shd w:val="clear" w:color="auto" w:fill="auto"/>
          </w:tcPr>
          <w:p w14:paraId="05B8BA5E" w14:textId="77777777" w:rsidR="007B5D76" w:rsidRPr="006774D3" w:rsidRDefault="007B5D76" w:rsidP="00F77C66">
            <w:pPr>
              <w:keepNext/>
              <w:rPr>
                <w:color w:val="000000"/>
                <w:sz w:val="22"/>
                <w:szCs w:val="22"/>
              </w:rPr>
            </w:pPr>
          </w:p>
        </w:tc>
        <w:tc>
          <w:tcPr>
            <w:tcW w:w="1301" w:type="dxa"/>
            <w:tcBorders>
              <w:top w:val="nil"/>
              <w:right w:val="single" w:sz="4" w:space="0" w:color="auto"/>
            </w:tcBorders>
            <w:vAlign w:val="bottom"/>
          </w:tcPr>
          <w:p w14:paraId="05B8BA5F" w14:textId="77777777" w:rsidR="007B5D76" w:rsidRPr="006774D3" w:rsidRDefault="007B5D76" w:rsidP="00F77C66">
            <w:pPr>
              <w:keepNext/>
              <w:rPr>
                <w:color w:val="000000"/>
                <w:sz w:val="22"/>
                <w:szCs w:val="22"/>
              </w:rPr>
            </w:pPr>
            <w:r w:rsidRPr="006774D3">
              <w:rPr>
                <w:color w:val="000000"/>
                <w:sz w:val="22"/>
                <w:szCs w:val="22"/>
              </w:rPr>
              <w:t>Hátt</w:t>
            </w:r>
          </w:p>
        </w:tc>
        <w:tc>
          <w:tcPr>
            <w:tcW w:w="1134" w:type="dxa"/>
            <w:tcBorders>
              <w:top w:val="nil"/>
              <w:left w:val="single" w:sz="4" w:space="0" w:color="auto"/>
              <w:right w:val="single" w:sz="4" w:space="0" w:color="auto"/>
            </w:tcBorders>
            <w:vAlign w:val="bottom"/>
          </w:tcPr>
          <w:p w14:paraId="05B8BA60" w14:textId="77777777" w:rsidR="007B5D76" w:rsidRPr="006774D3" w:rsidRDefault="007B5D76" w:rsidP="00F77C66">
            <w:pPr>
              <w:keepNext/>
              <w:rPr>
                <w:color w:val="000000"/>
                <w:sz w:val="22"/>
                <w:szCs w:val="22"/>
              </w:rPr>
            </w:pPr>
            <w:r w:rsidRPr="006774D3">
              <w:rPr>
                <w:color w:val="000000"/>
                <w:sz w:val="22"/>
                <w:szCs w:val="22"/>
              </w:rPr>
              <w:t>44.8</w:t>
            </w:r>
          </w:p>
        </w:tc>
        <w:tc>
          <w:tcPr>
            <w:tcW w:w="1984" w:type="dxa"/>
            <w:tcBorders>
              <w:top w:val="nil"/>
              <w:left w:val="single" w:sz="4" w:space="0" w:color="auto"/>
              <w:right w:val="single" w:sz="4" w:space="0" w:color="auto"/>
            </w:tcBorders>
            <w:vAlign w:val="bottom"/>
          </w:tcPr>
          <w:p w14:paraId="05B8BA61" w14:textId="77777777" w:rsidR="007B5D76" w:rsidRPr="006774D3" w:rsidRDefault="007B5D76" w:rsidP="00F77C66">
            <w:pPr>
              <w:keepNext/>
              <w:rPr>
                <w:color w:val="000000"/>
                <w:sz w:val="22"/>
                <w:szCs w:val="22"/>
              </w:rPr>
            </w:pPr>
            <w:r w:rsidRPr="006774D3">
              <w:rPr>
                <w:color w:val="000000"/>
                <w:sz w:val="22"/>
                <w:szCs w:val="22"/>
              </w:rPr>
              <w:t>21/140 samanborið við 51/127</w:t>
            </w:r>
          </w:p>
        </w:tc>
        <w:tc>
          <w:tcPr>
            <w:tcW w:w="1701" w:type="dxa"/>
            <w:tcBorders>
              <w:top w:val="nil"/>
              <w:left w:val="single" w:sz="4" w:space="0" w:color="auto"/>
              <w:right w:val="single" w:sz="4" w:space="0" w:color="auto"/>
            </w:tcBorders>
            <w:vAlign w:val="bottom"/>
          </w:tcPr>
          <w:p w14:paraId="05B8BA62" w14:textId="77777777" w:rsidR="007B5D76" w:rsidRPr="006774D3" w:rsidRDefault="007B5D76" w:rsidP="00F77C66">
            <w:pPr>
              <w:keepNext/>
              <w:rPr>
                <w:color w:val="000000"/>
                <w:sz w:val="22"/>
                <w:szCs w:val="22"/>
              </w:rPr>
            </w:pPr>
            <w:r w:rsidRPr="006774D3">
              <w:rPr>
                <w:color w:val="000000"/>
                <w:sz w:val="22"/>
                <w:szCs w:val="22"/>
              </w:rPr>
              <w:t>0,29 (0,18; 0,49)</w:t>
            </w:r>
          </w:p>
        </w:tc>
        <w:tc>
          <w:tcPr>
            <w:tcW w:w="1534" w:type="dxa"/>
            <w:tcBorders>
              <w:top w:val="nil"/>
              <w:left w:val="single" w:sz="4" w:space="0" w:color="auto"/>
              <w:right w:val="single" w:sz="4" w:space="0" w:color="auto"/>
            </w:tcBorders>
            <w:vAlign w:val="bottom"/>
          </w:tcPr>
          <w:p w14:paraId="05B8BA63" w14:textId="77777777" w:rsidR="007B5D76" w:rsidRPr="006774D3" w:rsidRDefault="007B5D76" w:rsidP="00F77C66">
            <w:pPr>
              <w:keepNext/>
              <w:rPr>
                <w:color w:val="000000"/>
                <w:sz w:val="22"/>
                <w:szCs w:val="22"/>
              </w:rPr>
            </w:pPr>
            <w:r w:rsidRPr="006774D3">
              <w:rPr>
                <w:color w:val="000000"/>
                <w:sz w:val="22"/>
                <w:szCs w:val="22"/>
              </w:rPr>
              <w:t>94,8 samanborið við 64,0</w:t>
            </w:r>
          </w:p>
        </w:tc>
        <w:tc>
          <w:tcPr>
            <w:tcW w:w="1418" w:type="dxa"/>
            <w:tcBorders>
              <w:top w:val="nil"/>
              <w:left w:val="single" w:sz="4" w:space="0" w:color="auto"/>
            </w:tcBorders>
            <w:vAlign w:val="bottom"/>
          </w:tcPr>
          <w:p w14:paraId="05B8BA64" w14:textId="77777777" w:rsidR="007B5D76" w:rsidRPr="006774D3" w:rsidRDefault="007B5D76" w:rsidP="00F77C66">
            <w:pPr>
              <w:keepNext/>
              <w:rPr>
                <w:color w:val="000000"/>
                <w:sz w:val="22"/>
                <w:szCs w:val="22"/>
              </w:rPr>
            </w:pPr>
            <w:r w:rsidRPr="006774D3">
              <w:rPr>
                <w:color w:val="000000"/>
                <w:sz w:val="22"/>
                <w:szCs w:val="22"/>
              </w:rPr>
              <w:t>80,7 samanborið við 46,6</w:t>
            </w:r>
          </w:p>
        </w:tc>
      </w:tr>
      <w:tr w:rsidR="007B5D76" w:rsidRPr="006774D3" w14:paraId="05B8BA6D" w14:textId="77777777" w:rsidTr="00FA5D6F">
        <w:trPr>
          <w:cantSplit/>
        </w:trPr>
        <w:tc>
          <w:tcPr>
            <w:tcW w:w="959" w:type="dxa"/>
            <w:vMerge w:val="restart"/>
            <w:shd w:val="clear" w:color="auto" w:fill="auto"/>
          </w:tcPr>
          <w:p w14:paraId="05B8BA66" w14:textId="77777777" w:rsidR="007B5D76" w:rsidRPr="006774D3" w:rsidRDefault="007B5D76" w:rsidP="00FA5D6F">
            <w:pPr>
              <w:keepNext/>
              <w:rPr>
                <w:color w:val="000000"/>
                <w:sz w:val="22"/>
                <w:szCs w:val="22"/>
              </w:rPr>
            </w:pPr>
            <w:r w:rsidRPr="006774D3">
              <w:rPr>
                <w:color w:val="000000"/>
                <w:sz w:val="22"/>
                <w:szCs w:val="22"/>
              </w:rPr>
              <w:t>AFIP</w:t>
            </w:r>
          </w:p>
        </w:tc>
        <w:tc>
          <w:tcPr>
            <w:tcW w:w="1301" w:type="dxa"/>
            <w:tcBorders>
              <w:bottom w:val="nil"/>
              <w:right w:val="single" w:sz="4" w:space="0" w:color="auto"/>
            </w:tcBorders>
            <w:vAlign w:val="bottom"/>
          </w:tcPr>
          <w:p w14:paraId="05B8BA67" w14:textId="77777777" w:rsidR="007B5D76" w:rsidRPr="006774D3" w:rsidRDefault="007B5D76" w:rsidP="00F77C66">
            <w:pPr>
              <w:keepNext/>
              <w:rPr>
                <w:color w:val="000000"/>
                <w:sz w:val="22"/>
                <w:szCs w:val="22"/>
              </w:rPr>
            </w:pPr>
            <w:r w:rsidRPr="006774D3">
              <w:rPr>
                <w:color w:val="000000"/>
                <w:sz w:val="22"/>
                <w:szCs w:val="22"/>
              </w:rPr>
              <w:t>Mjög lágt</w:t>
            </w:r>
          </w:p>
        </w:tc>
        <w:tc>
          <w:tcPr>
            <w:tcW w:w="1134" w:type="dxa"/>
            <w:tcBorders>
              <w:left w:val="single" w:sz="4" w:space="0" w:color="auto"/>
              <w:bottom w:val="nil"/>
              <w:right w:val="single" w:sz="4" w:space="0" w:color="auto"/>
            </w:tcBorders>
            <w:vAlign w:val="bottom"/>
          </w:tcPr>
          <w:p w14:paraId="05B8BA68" w14:textId="77777777" w:rsidR="007B5D76" w:rsidRPr="006774D3" w:rsidRDefault="007B5D76" w:rsidP="00F77C66">
            <w:pPr>
              <w:keepNext/>
              <w:rPr>
                <w:color w:val="000000"/>
                <w:sz w:val="22"/>
                <w:szCs w:val="22"/>
              </w:rPr>
            </w:pPr>
            <w:r w:rsidRPr="006774D3">
              <w:rPr>
                <w:color w:val="000000"/>
                <w:sz w:val="22"/>
                <w:szCs w:val="22"/>
              </w:rPr>
              <w:t>20,7</w:t>
            </w:r>
          </w:p>
        </w:tc>
        <w:tc>
          <w:tcPr>
            <w:tcW w:w="1984" w:type="dxa"/>
            <w:tcBorders>
              <w:left w:val="single" w:sz="4" w:space="0" w:color="auto"/>
              <w:bottom w:val="nil"/>
              <w:right w:val="single" w:sz="4" w:space="0" w:color="auto"/>
            </w:tcBorders>
            <w:vAlign w:val="bottom"/>
          </w:tcPr>
          <w:p w14:paraId="05B8BA69" w14:textId="77777777" w:rsidR="007B5D76" w:rsidRPr="006774D3" w:rsidRDefault="007B5D76" w:rsidP="00F77C66">
            <w:pPr>
              <w:keepNext/>
              <w:rPr>
                <w:color w:val="000000"/>
                <w:sz w:val="22"/>
                <w:szCs w:val="22"/>
              </w:rPr>
            </w:pPr>
            <w:r w:rsidRPr="006774D3">
              <w:rPr>
                <w:color w:val="000000"/>
                <w:sz w:val="22"/>
                <w:szCs w:val="22"/>
              </w:rPr>
              <w:t>0/52 samanborið við 2/63</w:t>
            </w:r>
          </w:p>
        </w:tc>
        <w:tc>
          <w:tcPr>
            <w:tcW w:w="1701" w:type="dxa"/>
            <w:tcBorders>
              <w:left w:val="single" w:sz="4" w:space="0" w:color="auto"/>
              <w:bottom w:val="nil"/>
              <w:right w:val="single" w:sz="4" w:space="0" w:color="auto"/>
            </w:tcBorders>
            <w:vAlign w:val="bottom"/>
          </w:tcPr>
          <w:p w14:paraId="05B8BA6A" w14:textId="77777777" w:rsidR="007B5D76" w:rsidRPr="006774D3" w:rsidRDefault="007B5D76" w:rsidP="00F77C66">
            <w:pPr>
              <w:keepNext/>
              <w:rPr>
                <w:color w:val="000000"/>
                <w:sz w:val="22"/>
                <w:szCs w:val="22"/>
              </w:rPr>
            </w:pPr>
            <w:r w:rsidRPr="006774D3">
              <w:rPr>
                <w:sz w:val="22"/>
                <w:szCs w:val="22"/>
              </w:rPr>
              <w:t>E.Á.</w:t>
            </w:r>
          </w:p>
        </w:tc>
        <w:tc>
          <w:tcPr>
            <w:tcW w:w="1534" w:type="dxa"/>
            <w:tcBorders>
              <w:left w:val="single" w:sz="4" w:space="0" w:color="auto"/>
              <w:bottom w:val="nil"/>
              <w:right w:val="single" w:sz="4" w:space="0" w:color="auto"/>
            </w:tcBorders>
            <w:vAlign w:val="bottom"/>
          </w:tcPr>
          <w:p w14:paraId="05B8BA6B" w14:textId="77777777" w:rsidR="007B5D76" w:rsidRPr="006774D3" w:rsidRDefault="007B5D76" w:rsidP="00F77C66">
            <w:pPr>
              <w:keepNext/>
              <w:rPr>
                <w:color w:val="000000"/>
                <w:sz w:val="22"/>
                <w:szCs w:val="22"/>
              </w:rPr>
            </w:pPr>
            <w:r w:rsidRPr="006774D3">
              <w:rPr>
                <w:color w:val="000000"/>
                <w:sz w:val="22"/>
                <w:szCs w:val="22"/>
              </w:rPr>
              <w:t>100 samanborið við 98,1</w:t>
            </w:r>
          </w:p>
        </w:tc>
        <w:tc>
          <w:tcPr>
            <w:tcW w:w="1418" w:type="dxa"/>
            <w:tcBorders>
              <w:left w:val="single" w:sz="4" w:space="0" w:color="auto"/>
              <w:bottom w:val="nil"/>
            </w:tcBorders>
            <w:vAlign w:val="bottom"/>
          </w:tcPr>
          <w:p w14:paraId="05B8BA6C" w14:textId="77777777" w:rsidR="007B5D76" w:rsidRPr="006774D3" w:rsidRDefault="007B5D76" w:rsidP="00F77C66">
            <w:pPr>
              <w:keepNext/>
              <w:rPr>
                <w:color w:val="000000"/>
                <w:sz w:val="22"/>
                <w:szCs w:val="22"/>
              </w:rPr>
            </w:pPr>
            <w:r w:rsidRPr="006774D3">
              <w:rPr>
                <w:color w:val="000000"/>
                <w:sz w:val="22"/>
                <w:szCs w:val="22"/>
              </w:rPr>
              <w:t>100 samanborið við 93,0</w:t>
            </w:r>
          </w:p>
        </w:tc>
      </w:tr>
      <w:tr w:rsidR="007B5D76" w:rsidRPr="006774D3" w14:paraId="05B8BA75" w14:textId="77777777" w:rsidTr="00FA5D6F">
        <w:trPr>
          <w:cantSplit/>
        </w:trPr>
        <w:tc>
          <w:tcPr>
            <w:tcW w:w="959" w:type="dxa"/>
            <w:vMerge/>
            <w:shd w:val="clear" w:color="auto" w:fill="auto"/>
          </w:tcPr>
          <w:p w14:paraId="05B8BA6E" w14:textId="77777777" w:rsidR="007B5D76" w:rsidRPr="006774D3" w:rsidRDefault="007B5D76" w:rsidP="00F77C66">
            <w:pPr>
              <w:keepNext/>
              <w:rPr>
                <w:color w:val="000000"/>
                <w:sz w:val="22"/>
                <w:szCs w:val="22"/>
              </w:rPr>
            </w:pPr>
          </w:p>
        </w:tc>
        <w:tc>
          <w:tcPr>
            <w:tcW w:w="1301" w:type="dxa"/>
            <w:tcBorders>
              <w:top w:val="nil"/>
              <w:bottom w:val="nil"/>
              <w:right w:val="single" w:sz="4" w:space="0" w:color="auto"/>
            </w:tcBorders>
            <w:vAlign w:val="bottom"/>
          </w:tcPr>
          <w:p w14:paraId="05B8BA6F" w14:textId="77777777" w:rsidR="007B5D76" w:rsidRPr="006774D3" w:rsidRDefault="007B5D76" w:rsidP="00F77C66">
            <w:pPr>
              <w:keepNext/>
              <w:rPr>
                <w:color w:val="000000"/>
                <w:sz w:val="22"/>
                <w:szCs w:val="22"/>
              </w:rPr>
            </w:pPr>
            <w:r w:rsidRPr="006774D3">
              <w:rPr>
                <w:color w:val="000000"/>
                <w:sz w:val="22"/>
                <w:szCs w:val="22"/>
              </w:rPr>
              <w:t>Lágt</w:t>
            </w:r>
          </w:p>
        </w:tc>
        <w:tc>
          <w:tcPr>
            <w:tcW w:w="1134" w:type="dxa"/>
            <w:tcBorders>
              <w:top w:val="nil"/>
              <w:left w:val="single" w:sz="4" w:space="0" w:color="auto"/>
              <w:bottom w:val="nil"/>
              <w:right w:val="single" w:sz="4" w:space="0" w:color="auto"/>
            </w:tcBorders>
            <w:vAlign w:val="bottom"/>
          </w:tcPr>
          <w:p w14:paraId="05B8BA70" w14:textId="77777777" w:rsidR="007B5D76" w:rsidRPr="006774D3" w:rsidRDefault="007B5D76" w:rsidP="00F77C66">
            <w:pPr>
              <w:keepNext/>
              <w:rPr>
                <w:color w:val="000000"/>
                <w:sz w:val="22"/>
                <w:szCs w:val="22"/>
              </w:rPr>
            </w:pPr>
            <w:r w:rsidRPr="006774D3">
              <w:rPr>
                <w:color w:val="000000"/>
                <w:sz w:val="22"/>
                <w:szCs w:val="22"/>
              </w:rPr>
              <w:t>25,0</w:t>
            </w:r>
          </w:p>
        </w:tc>
        <w:tc>
          <w:tcPr>
            <w:tcW w:w="1984" w:type="dxa"/>
            <w:tcBorders>
              <w:top w:val="nil"/>
              <w:left w:val="single" w:sz="4" w:space="0" w:color="auto"/>
              <w:bottom w:val="nil"/>
              <w:right w:val="single" w:sz="4" w:space="0" w:color="auto"/>
            </w:tcBorders>
            <w:vAlign w:val="bottom"/>
          </w:tcPr>
          <w:p w14:paraId="05B8BA71" w14:textId="77777777" w:rsidR="007B5D76" w:rsidRPr="006774D3" w:rsidRDefault="007B5D76" w:rsidP="00F77C66">
            <w:pPr>
              <w:keepNext/>
              <w:rPr>
                <w:color w:val="000000"/>
                <w:sz w:val="22"/>
                <w:szCs w:val="22"/>
              </w:rPr>
            </w:pPr>
            <w:r w:rsidRPr="006774D3">
              <w:rPr>
                <w:color w:val="000000"/>
                <w:sz w:val="22"/>
                <w:szCs w:val="22"/>
              </w:rPr>
              <w:t>2/70 samanborið við 0/69</w:t>
            </w:r>
          </w:p>
        </w:tc>
        <w:tc>
          <w:tcPr>
            <w:tcW w:w="1701" w:type="dxa"/>
            <w:tcBorders>
              <w:top w:val="nil"/>
              <w:left w:val="single" w:sz="4" w:space="0" w:color="auto"/>
              <w:bottom w:val="nil"/>
              <w:right w:val="single" w:sz="4" w:space="0" w:color="auto"/>
            </w:tcBorders>
            <w:vAlign w:val="bottom"/>
          </w:tcPr>
          <w:p w14:paraId="05B8BA72" w14:textId="77777777" w:rsidR="007B5D76" w:rsidRPr="006774D3" w:rsidRDefault="007B5D76" w:rsidP="00F77C66">
            <w:pPr>
              <w:keepNext/>
              <w:rPr>
                <w:color w:val="000000"/>
                <w:sz w:val="22"/>
                <w:szCs w:val="22"/>
              </w:rPr>
            </w:pPr>
            <w:r w:rsidRPr="006774D3">
              <w:rPr>
                <w:sz w:val="22"/>
                <w:szCs w:val="22"/>
              </w:rPr>
              <w:t>E.Á.</w:t>
            </w:r>
          </w:p>
        </w:tc>
        <w:tc>
          <w:tcPr>
            <w:tcW w:w="1534" w:type="dxa"/>
            <w:tcBorders>
              <w:top w:val="nil"/>
              <w:left w:val="single" w:sz="4" w:space="0" w:color="auto"/>
              <w:bottom w:val="nil"/>
              <w:right w:val="single" w:sz="4" w:space="0" w:color="auto"/>
            </w:tcBorders>
            <w:vAlign w:val="bottom"/>
          </w:tcPr>
          <w:p w14:paraId="05B8BA73" w14:textId="77777777" w:rsidR="007B5D76" w:rsidRPr="006774D3" w:rsidRDefault="007B5D76" w:rsidP="00F77C66">
            <w:pPr>
              <w:keepNext/>
              <w:rPr>
                <w:color w:val="000000"/>
                <w:sz w:val="22"/>
                <w:szCs w:val="22"/>
              </w:rPr>
            </w:pPr>
            <w:r w:rsidRPr="006774D3">
              <w:rPr>
                <w:color w:val="000000"/>
                <w:sz w:val="22"/>
                <w:szCs w:val="22"/>
              </w:rPr>
              <w:t>100 samanborið við 100</w:t>
            </w:r>
          </w:p>
        </w:tc>
        <w:tc>
          <w:tcPr>
            <w:tcW w:w="1418" w:type="dxa"/>
            <w:tcBorders>
              <w:top w:val="nil"/>
              <w:left w:val="single" w:sz="4" w:space="0" w:color="auto"/>
              <w:bottom w:val="nil"/>
            </w:tcBorders>
            <w:vAlign w:val="bottom"/>
          </w:tcPr>
          <w:p w14:paraId="05B8BA74" w14:textId="77777777" w:rsidR="007B5D76" w:rsidRPr="006774D3" w:rsidRDefault="007B5D76" w:rsidP="00F77C66">
            <w:pPr>
              <w:keepNext/>
              <w:rPr>
                <w:color w:val="000000"/>
                <w:sz w:val="22"/>
                <w:szCs w:val="22"/>
              </w:rPr>
            </w:pPr>
            <w:r w:rsidRPr="006774D3">
              <w:rPr>
                <w:color w:val="000000"/>
                <w:sz w:val="22"/>
                <w:szCs w:val="22"/>
              </w:rPr>
              <w:t>97,8 samanborið við 100</w:t>
            </w:r>
          </w:p>
        </w:tc>
      </w:tr>
      <w:tr w:rsidR="007B5D76" w:rsidRPr="006774D3" w14:paraId="05B8BA7D" w14:textId="77777777" w:rsidTr="00FA5D6F">
        <w:trPr>
          <w:cantSplit/>
        </w:trPr>
        <w:tc>
          <w:tcPr>
            <w:tcW w:w="959" w:type="dxa"/>
            <w:vMerge/>
            <w:shd w:val="clear" w:color="auto" w:fill="auto"/>
          </w:tcPr>
          <w:p w14:paraId="05B8BA76" w14:textId="77777777" w:rsidR="007B5D76" w:rsidRPr="006774D3" w:rsidRDefault="007B5D76" w:rsidP="00F77C66">
            <w:pPr>
              <w:keepNext/>
              <w:rPr>
                <w:b/>
                <w:color w:val="000000"/>
                <w:sz w:val="22"/>
                <w:szCs w:val="22"/>
              </w:rPr>
            </w:pPr>
          </w:p>
        </w:tc>
        <w:tc>
          <w:tcPr>
            <w:tcW w:w="1301" w:type="dxa"/>
            <w:tcBorders>
              <w:top w:val="nil"/>
              <w:bottom w:val="nil"/>
              <w:right w:val="single" w:sz="4" w:space="0" w:color="auto"/>
            </w:tcBorders>
            <w:vAlign w:val="bottom"/>
          </w:tcPr>
          <w:p w14:paraId="05B8BA77" w14:textId="77777777" w:rsidR="007B5D76" w:rsidRPr="006774D3" w:rsidRDefault="007B5D76" w:rsidP="00F77C66">
            <w:pPr>
              <w:keepNext/>
              <w:rPr>
                <w:color w:val="000000"/>
                <w:sz w:val="22"/>
                <w:szCs w:val="22"/>
              </w:rPr>
            </w:pPr>
            <w:r w:rsidRPr="006774D3">
              <w:rPr>
                <w:color w:val="000000"/>
                <w:sz w:val="22"/>
                <w:szCs w:val="22"/>
              </w:rPr>
              <w:t>Í meðallagi hátt</w:t>
            </w:r>
          </w:p>
        </w:tc>
        <w:tc>
          <w:tcPr>
            <w:tcW w:w="1134" w:type="dxa"/>
            <w:tcBorders>
              <w:top w:val="nil"/>
              <w:left w:val="single" w:sz="4" w:space="0" w:color="auto"/>
              <w:bottom w:val="nil"/>
              <w:right w:val="single" w:sz="4" w:space="0" w:color="auto"/>
            </w:tcBorders>
            <w:vAlign w:val="bottom"/>
          </w:tcPr>
          <w:p w14:paraId="05B8BA78" w14:textId="77777777" w:rsidR="007B5D76" w:rsidRPr="006774D3" w:rsidRDefault="007B5D76" w:rsidP="00F77C66">
            <w:pPr>
              <w:keepNext/>
              <w:rPr>
                <w:color w:val="000000"/>
                <w:sz w:val="22"/>
                <w:szCs w:val="22"/>
              </w:rPr>
            </w:pPr>
            <w:r w:rsidRPr="006774D3">
              <w:rPr>
                <w:color w:val="000000"/>
                <w:sz w:val="22"/>
                <w:szCs w:val="22"/>
              </w:rPr>
              <w:t>24,6</w:t>
            </w:r>
          </w:p>
        </w:tc>
        <w:tc>
          <w:tcPr>
            <w:tcW w:w="1984" w:type="dxa"/>
            <w:tcBorders>
              <w:top w:val="nil"/>
              <w:left w:val="single" w:sz="4" w:space="0" w:color="auto"/>
              <w:bottom w:val="nil"/>
              <w:right w:val="single" w:sz="4" w:space="0" w:color="auto"/>
            </w:tcBorders>
            <w:vAlign w:val="bottom"/>
          </w:tcPr>
          <w:p w14:paraId="05B8BA79" w14:textId="77777777" w:rsidR="007B5D76" w:rsidRPr="006774D3" w:rsidRDefault="007B5D76" w:rsidP="00F77C66">
            <w:pPr>
              <w:keepNext/>
              <w:rPr>
                <w:color w:val="000000"/>
                <w:sz w:val="22"/>
                <w:szCs w:val="22"/>
              </w:rPr>
            </w:pPr>
            <w:r w:rsidRPr="006774D3">
              <w:rPr>
                <w:color w:val="000000"/>
                <w:sz w:val="22"/>
                <w:szCs w:val="22"/>
              </w:rPr>
              <w:t>2/70 samanborið við 11/67</w:t>
            </w:r>
          </w:p>
        </w:tc>
        <w:tc>
          <w:tcPr>
            <w:tcW w:w="1701" w:type="dxa"/>
            <w:tcBorders>
              <w:top w:val="nil"/>
              <w:left w:val="single" w:sz="4" w:space="0" w:color="auto"/>
              <w:bottom w:val="nil"/>
              <w:right w:val="single" w:sz="4" w:space="0" w:color="auto"/>
            </w:tcBorders>
            <w:vAlign w:val="bottom"/>
          </w:tcPr>
          <w:p w14:paraId="05B8BA7A" w14:textId="77777777" w:rsidR="007B5D76" w:rsidRPr="006774D3" w:rsidRDefault="007B5D76" w:rsidP="00F77C66">
            <w:pPr>
              <w:keepNext/>
              <w:rPr>
                <w:color w:val="000000"/>
                <w:sz w:val="22"/>
                <w:szCs w:val="22"/>
              </w:rPr>
            </w:pPr>
            <w:r w:rsidRPr="006774D3">
              <w:rPr>
                <w:color w:val="000000"/>
                <w:sz w:val="22"/>
                <w:szCs w:val="22"/>
              </w:rPr>
              <w:t>0,16 (0,03; 0,70)</w:t>
            </w:r>
          </w:p>
        </w:tc>
        <w:tc>
          <w:tcPr>
            <w:tcW w:w="1534" w:type="dxa"/>
            <w:tcBorders>
              <w:top w:val="nil"/>
              <w:left w:val="single" w:sz="4" w:space="0" w:color="auto"/>
              <w:bottom w:val="nil"/>
              <w:right w:val="single" w:sz="4" w:space="0" w:color="auto"/>
            </w:tcBorders>
            <w:vAlign w:val="bottom"/>
          </w:tcPr>
          <w:p w14:paraId="05B8BA7B" w14:textId="77777777" w:rsidR="007B5D76" w:rsidRPr="006774D3" w:rsidRDefault="007B5D76" w:rsidP="00F77C66">
            <w:pPr>
              <w:keepNext/>
              <w:rPr>
                <w:color w:val="000000"/>
                <w:sz w:val="22"/>
                <w:szCs w:val="22"/>
              </w:rPr>
            </w:pPr>
            <w:r w:rsidRPr="006774D3">
              <w:rPr>
                <w:color w:val="000000"/>
                <w:sz w:val="22"/>
                <w:szCs w:val="22"/>
              </w:rPr>
              <w:t>97,9 samanborið við 90,8</w:t>
            </w:r>
          </w:p>
        </w:tc>
        <w:tc>
          <w:tcPr>
            <w:tcW w:w="1418" w:type="dxa"/>
            <w:tcBorders>
              <w:top w:val="nil"/>
              <w:left w:val="single" w:sz="4" w:space="0" w:color="auto"/>
              <w:bottom w:val="nil"/>
            </w:tcBorders>
            <w:vAlign w:val="bottom"/>
          </w:tcPr>
          <w:p w14:paraId="05B8BA7C" w14:textId="77777777" w:rsidR="007B5D76" w:rsidRPr="006774D3" w:rsidRDefault="007B5D76" w:rsidP="00F77C66">
            <w:pPr>
              <w:keepNext/>
              <w:rPr>
                <w:color w:val="000000"/>
                <w:sz w:val="22"/>
                <w:szCs w:val="22"/>
              </w:rPr>
            </w:pPr>
            <w:r w:rsidRPr="006774D3">
              <w:rPr>
                <w:color w:val="000000"/>
                <w:sz w:val="22"/>
                <w:szCs w:val="22"/>
              </w:rPr>
              <w:t>97,9 samanborið við 73,3</w:t>
            </w:r>
          </w:p>
        </w:tc>
      </w:tr>
      <w:tr w:rsidR="007B5D76" w:rsidRPr="006774D3" w14:paraId="05B8BA85" w14:textId="77777777" w:rsidTr="00FA5D6F">
        <w:trPr>
          <w:cantSplit/>
        </w:trPr>
        <w:tc>
          <w:tcPr>
            <w:tcW w:w="959" w:type="dxa"/>
            <w:vMerge/>
            <w:tcBorders>
              <w:bottom w:val="single" w:sz="4" w:space="0" w:color="auto"/>
            </w:tcBorders>
            <w:shd w:val="clear" w:color="auto" w:fill="auto"/>
          </w:tcPr>
          <w:p w14:paraId="05B8BA7E" w14:textId="77777777" w:rsidR="007B5D76" w:rsidRPr="006774D3" w:rsidRDefault="007B5D76" w:rsidP="00F77C66">
            <w:pPr>
              <w:keepNext/>
              <w:rPr>
                <w:color w:val="000000"/>
                <w:sz w:val="22"/>
                <w:szCs w:val="22"/>
              </w:rPr>
            </w:pPr>
          </w:p>
        </w:tc>
        <w:tc>
          <w:tcPr>
            <w:tcW w:w="1301" w:type="dxa"/>
            <w:tcBorders>
              <w:top w:val="nil"/>
              <w:bottom w:val="single" w:sz="4" w:space="0" w:color="auto"/>
              <w:right w:val="single" w:sz="4" w:space="0" w:color="auto"/>
            </w:tcBorders>
            <w:vAlign w:val="bottom"/>
          </w:tcPr>
          <w:p w14:paraId="05B8BA7F" w14:textId="77777777" w:rsidR="007B5D76" w:rsidRPr="006774D3" w:rsidRDefault="007B5D76" w:rsidP="00F77C66">
            <w:pPr>
              <w:keepNext/>
              <w:rPr>
                <w:color w:val="000000"/>
                <w:sz w:val="22"/>
                <w:szCs w:val="22"/>
              </w:rPr>
            </w:pPr>
            <w:r w:rsidRPr="006774D3">
              <w:rPr>
                <w:color w:val="000000"/>
                <w:sz w:val="22"/>
                <w:szCs w:val="22"/>
              </w:rPr>
              <w:t>Hátt</w:t>
            </w:r>
          </w:p>
        </w:tc>
        <w:tc>
          <w:tcPr>
            <w:tcW w:w="1134" w:type="dxa"/>
            <w:tcBorders>
              <w:top w:val="nil"/>
              <w:left w:val="single" w:sz="4" w:space="0" w:color="auto"/>
              <w:bottom w:val="single" w:sz="4" w:space="0" w:color="auto"/>
              <w:right w:val="single" w:sz="4" w:space="0" w:color="auto"/>
            </w:tcBorders>
            <w:vAlign w:val="bottom"/>
          </w:tcPr>
          <w:p w14:paraId="05B8BA80" w14:textId="77777777" w:rsidR="007B5D76" w:rsidRPr="006774D3" w:rsidRDefault="007B5D76" w:rsidP="00F77C66">
            <w:pPr>
              <w:keepNext/>
              <w:rPr>
                <w:color w:val="000000"/>
                <w:sz w:val="22"/>
                <w:szCs w:val="22"/>
              </w:rPr>
            </w:pPr>
            <w:r w:rsidRPr="006774D3">
              <w:rPr>
                <w:color w:val="000000"/>
                <w:sz w:val="22"/>
                <w:szCs w:val="22"/>
              </w:rPr>
              <w:t>29,7</w:t>
            </w:r>
          </w:p>
        </w:tc>
        <w:tc>
          <w:tcPr>
            <w:tcW w:w="1984" w:type="dxa"/>
            <w:tcBorders>
              <w:top w:val="nil"/>
              <w:left w:val="single" w:sz="4" w:space="0" w:color="auto"/>
              <w:bottom w:val="single" w:sz="4" w:space="0" w:color="auto"/>
              <w:right w:val="single" w:sz="4" w:space="0" w:color="auto"/>
            </w:tcBorders>
            <w:vAlign w:val="bottom"/>
          </w:tcPr>
          <w:p w14:paraId="05B8BA81" w14:textId="77777777" w:rsidR="007B5D76" w:rsidRPr="006774D3" w:rsidRDefault="007B5D76" w:rsidP="00F77C66">
            <w:pPr>
              <w:keepNext/>
              <w:rPr>
                <w:color w:val="000000"/>
                <w:sz w:val="22"/>
                <w:szCs w:val="22"/>
              </w:rPr>
            </w:pPr>
            <w:r w:rsidRPr="006774D3">
              <w:rPr>
                <w:color w:val="000000"/>
                <w:sz w:val="22"/>
                <w:szCs w:val="22"/>
              </w:rPr>
              <w:t>16/84 samanborið við 39/81</w:t>
            </w:r>
          </w:p>
        </w:tc>
        <w:tc>
          <w:tcPr>
            <w:tcW w:w="1701" w:type="dxa"/>
            <w:tcBorders>
              <w:top w:val="nil"/>
              <w:left w:val="single" w:sz="4" w:space="0" w:color="auto"/>
              <w:bottom w:val="single" w:sz="4" w:space="0" w:color="auto"/>
              <w:right w:val="single" w:sz="4" w:space="0" w:color="auto"/>
            </w:tcBorders>
            <w:vAlign w:val="bottom"/>
          </w:tcPr>
          <w:p w14:paraId="05B8BA82" w14:textId="77777777" w:rsidR="007B5D76" w:rsidRPr="006774D3" w:rsidRDefault="007B5D76" w:rsidP="00F77C66">
            <w:pPr>
              <w:keepNext/>
              <w:rPr>
                <w:color w:val="000000"/>
                <w:sz w:val="22"/>
                <w:szCs w:val="22"/>
              </w:rPr>
            </w:pPr>
            <w:r w:rsidRPr="006774D3">
              <w:rPr>
                <w:color w:val="000000"/>
                <w:sz w:val="22"/>
                <w:szCs w:val="22"/>
              </w:rPr>
              <w:t>0,27 (0,15; 0,48)</w:t>
            </w:r>
          </w:p>
        </w:tc>
        <w:tc>
          <w:tcPr>
            <w:tcW w:w="1534" w:type="dxa"/>
            <w:tcBorders>
              <w:top w:val="nil"/>
              <w:left w:val="single" w:sz="4" w:space="0" w:color="auto"/>
              <w:bottom w:val="single" w:sz="4" w:space="0" w:color="auto"/>
              <w:right w:val="single" w:sz="4" w:space="0" w:color="auto"/>
            </w:tcBorders>
            <w:vAlign w:val="bottom"/>
          </w:tcPr>
          <w:p w14:paraId="05B8BA83" w14:textId="77777777" w:rsidR="007B5D76" w:rsidRPr="006774D3" w:rsidRDefault="007B5D76" w:rsidP="00F77C66">
            <w:pPr>
              <w:keepNext/>
              <w:rPr>
                <w:color w:val="000000"/>
                <w:sz w:val="22"/>
                <w:szCs w:val="22"/>
              </w:rPr>
            </w:pPr>
            <w:r w:rsidRPr="006774D3">
              <w:rPr>
                <w:color w:val="000000"/>
                <w:sz w:val="22"/>
                <w:szCs w:val="22"/>
              </w:rPr>
              <w:t>98,7 samanborið við 56,1</w:t>
            </w:r>
          </w:p>
        </w:tc>
        <w:tc>
          <w:tcPr>
            <w:tcW w:w="1418" w:type="dxa"/>
            <w:tcBorders>
              <w:top w:val="nil"/>
              <w:left w:val="single" w:sz="4" w:space="0" w:color="auto"/>
              <w:bottom w:val="single" w:sz="4" w:space="0" w:color="auto"/>
            </w:tcBorders>
            <w:vAlign w:val="bottom"/>
          </w:tcPr>
          <w:p w14:paraId="05B8BA84" w14:textId="77777777" w:rsidR="007B5D76" w:rsidRPr="006774D3" w:rsidRDefault="007B5D76" w:rsidP="00F77C66">
            <w:pPr>
              <w:keepNext/>
              <w:rPr>
                <w:color w:val="000000"/>
                <w:sz w:val="22"/>
                <w:szCs w:val="22"/>
              </w:rPr>
            </w:pPr>
            <w:r w:rsidRPr="006774D3">
              <w:rPr>
                <w:color w:val="000000"/>
                <w:sz w:val="22"/>
                <w:szCs w:val="22"/>
              </w:rPr>
              <w:t>79,9 samanborið við 41,5</w:t>
            </w:r>
          </w:p>
        </w:tc>
      </w:tr>
    </w:tbl>
    <w:p w14:paraId="05B8BA86" w14:textId="77777777" w:rsidR="007B5D76" w:rsidRPr="006774D3" w:rsidRDefault="007B5D76" w:rsidP="00F77C66">
      <w:pPr>
        <w:jc w:val="both"/>
        <w:rPr>
          <w:sz w:val="22"/>
          <w:szCs w:val="22"/>
        </w:rPr>
      </w:pPr>
      <w:r w:rsidRPr="006774D3">
        <w:rPr>
          <w:sz w:val="22"/>
          <w:szCs w:val="22"/>
        </w:rPr>
        <w:t>* Heildareftirfylgnitímabil; E.Á. – Ekki ákvarðanlegt</w:t>
      </w:r>
    </w:p>
    <w:p w14:paraId="05B8BA87" w14:textId="77777777" w:rsidR="007B5D76" w:rsidRPr="006774D3" w:rsidRDefault="007B5D76" w:rsidP="00F77C66">
      <w:pPr>
        <w:rPr>
          <w:color w:val="000000"/>
          <w:sz w:val="22"/>
          <w:szCs w:val="22"/>
        </w:rPr>
      </w:pPr>
    </w:p>
    <w:p w14:paraId="05B8BA88" w14:textId="77777777" w:rsidR="007B5D76" w:rsidRPr="006774D3" w:rsidRDefault="007B5D76" w:rsidP="00F77C66">
      <w:pPr>
        <w:rPr>
          <w:iCs/>
          <w:color w:val="000000"/>
          <w:sz w:val="22"/>
          <w:szCs w:val="22"/>
        </w:rPr>
      </w:pPr>
      <w:r w:rsidRPr="006774D3">
        <w:rPr>
          <w:color w:val="000000"/>
          <w:sz w:val="22"/>
          <w:szCs w:val="22"/>
        </w:rPr>
        <w:t>Í annarri fjölsetra, opinni III. stigs rannsókn (SSG XVIII/AIO) var borin saman meðferð með 400 mg/sólarhring af Glivec í 12 mánuði og 36 mánuði hjá sjúklingum eftir að GIST æxlið hafði verið fjarlægt með skurðaðgerð og eitt af eftirfarandi: þvermál æxlis &gt; 5 cm og kjarnadeiling &gt; 5/50 HPF (</w:t>
      </w:r>
      <w:r w:rsidRPr="006774D3">
        <w:rPr>
          <w:iCs/>
          <w:color w:val="000000"/>
          <w:sz w:val="22"/>
          <w:szCs w:val="22"/>
        </w:rPr>
        <w:t>high power field); eða þvermál æxlis &gt; 10 cm og einhverja kjarnadeilingu eða æxli af hvaða stærð sem er með kjarnadeilingu &gt; 10/50 HPF eða æxli sem rofnað hafa inn í kviðarhol (peritoneal cavity). Samtals 397 sjúklingar voru samþykktir og þeim slembiraðað í rannsóknina (199 sjúklingar í 12 mánaða hópinn og 198 sjúklingar í 36 mánaða hópinn), miðgildi aldurs var 61 ár (á bilinu 22 til 84 ár). Miðgildi tíma sem sjúklingunum var fylgt eftir var 54 mánuðir (frá því að slembiröðun fór fram og að lokadagsetningu), þar sem samtals 83 mánuðir liðu frá því að fyrsta sjúklingnum var slembiraðað og að lokadagsetningu.</w:t>
      </w:r>
    </w:p>
    <w:p w14:paraId="05B8BA89" w14:textId="77777777" w:rsidR="007B5D76" w:rsidRPr="006774D3" w:rsidRDefault="007B5D76" w:rsidP="00F77C66">
      <w:pPr>
        <w:rPr>
          <w:iCs/>
          <w:color w:val="000000"/>
          <w:sz w:val="22"/>
          <w:szCs w:val="22"/>
        </w:rPr>
      </w:pPr>
    </w:p>
    <w:p w14:paraId="05B8BA8A" w14:textId="77777777" w:rsidR="007B5D76" w:rsidRPr="006774D3" w:rsidRDefault="007B5D76" w:rsidP="00F77C66">
      <w:pPr>
        <w:rPr>
          <w:color w:val="000000"/>
          <w:sz w:val="22"/>
          <w:szCs w:val="22"/>
        </w:rPr>
      </w:pPr>
      <w:r w:rsidRPr="006774D3">
        <w:rPr>
          <w:color w:val="000000"/>
          <w:sz w:val="22"/>
          <w:szCs w:val="22"/>
        </w:rPr>
        <w:t>Megin endapunktur rannsóknarinnar var lifun án endurkomu æxlis, skilgreint sem tímabilið frá þeim degi þegar slembiröðunin fór fram til þess dags sem æxli kom aftur fram eða viðkomandi lést af hvaða orsök sem var.</w:t>
      </w:r>
    </w:p>
    <w:p w14:paraId="05B8BA8B" w14:textId="77777777" w:rsidR="007B5D76" w:rsidRPr="006774D3" w:rsidRDefault="007B5D76" w:rsidP="00F77C66">
      <w:pPr>
        <w:rPr>
          <w:color w:val="000000"/>
          <w:sz w:val="22"/>
          <w:szCs w:val="22"/>
        </w:rPr>
      </w:pPr>
    </w:p>
    <w:p w14:paraId="05B8BA8C" w14:textId="77777777" w:rsidR="007B5D76" w:rsidRPr="006774D3" w:rsidRDefault="007B5D76" w:rsidP="00F77C66">
      <w:pPr>
        <w:rPr>
          <w:color w:val="000000"/>
          <w:sz w:val="22"/>
          <w:szCs w:val="22"/>
        </w:rPr>
      </w:pPr>
      <w:r w:rsidRPr="006774D3">
        <w:rPr>
          <w:color w:val="000000"/>
          <w:sz w:val="22"/>
          <w:szCs w:val="22"/>
        </w:rPr>
        <w:t>Meðferð með Glivec í 36 mánuði lengdi lifun án endurkomu æxlis marktækt samanborið við meðferð með Glivec í 12 mánuði (heildaráhættuhlutfall = 0,46 [0,32; 0,65], p&lt;0,0001) (tafla </w:t>
      </w:r>
      <w:r w:rsidR="00F40B8C" w:rsidRPr="006774D3">
        <w:rPr>
          <w:color w:val="000000"/>
          <w:sz w:val="22"/>
          <w:szCs w:val="22"/>
        </w:rPr>
        <w:t>8</w:t>
      </w:r>
      <w:r w:rsidRPr="006774D3">
        <w:rPr>
          <w:color w:val="000000"/>
          <w:sz w:val="22"/>
          <w:szCs w:val="22"/>
        </w:rPr>
        <w:t>, mynd 1).</w:t>
      </w:r>
    </w:p>
    <w:p w14:paraId="05B8BA8D" w14:textId="77777777" w:rsidR="007B5D76" w:rsidRPr="006774D3" w:rsidRDefault="007B5D76" w:rsidP="00F77C66">
      <w:pPr>
        <w:rPr>
          <w:color w:val="000000"/>
          <w:sz w:val="22"/>
          <w:szCs w:val="22"/>
        </w:rPr>
      </w:pPr>
    </w:p>
    <w:p w14:paraId="05B8BA8E" w14:textId="77777777" w:rsidR="007B5D76" w:rsidRPr="006774D3" w:rsidRDefault="007B5D76" w:rsidP="00F77C66">
      <w:pPr>
        <w:rPr>
          <w:color w:val="000000"/>
          <w:sz w:val="22"/>
          <w:szCs w:val="22"/>
        </w:rPr>
      </w:pPr>
      <w:r w:rsidRPr="006774D3">
        <w:rPr>
          <w:color w:val="000000"/>
          <w:sz w:val="22"/>
          <w:szCs w:val="22"/>
        </w:rPr>
        <w:t>Auk þess lengdi þrjátíu og sex (36) mánaða meðferð með Glivec marktækt heildarlifun samanborið við 12 mánaða meðferð með Glivec (áhættuhlutfall = 0,45 [0,22; 0,89], p=0,0187) (tafla </w:t>
      </w:r>
      <w:r w:rsidR="00F40B8C" w:rsidRPr="006774D3">
        <w:rPr>
          <w:color w:val="000000"/>
          <w:sz w:val="22"/>
          <w:szCs w:val="22"/>
        </w:rPr>
        <w:t>8</w:t>
      </w:r>
      <w:r w:rsidRPr="006774D3">
        <w:rPr>
          <w:color w:val="000000"/>
          <w:sz w:val="22"/>
          <w:szCs w:val="22"/>
        </w:rPr>
        <w:t>, mynd 2).</w:t>
      </w:r>
    </w:p>
    <w:p w14:paraId="05B8BA8F" w14:textId="77777777" w:rsidR="007B5D76" w:rsidRPr="006774D3" w:rsidRDefault="007B5D76" w:rsidP="00F77C66">
      <w:pPr>
        <w:rPr>
          <w:color w:val="000000"/>
          <w:sz w:val="22"/>
          <w:szCs w:val="22"/>
        </w:rPr>
      </w:pPr>
    </w:p>
    <w:p w14:paraId="05B8BA90" w14:textId="77777777" w:rsidR="007B5D76" w:rsidRPr="006774D3" w:rsidRDefault="007B5D76" w:rsidP="00F77C66">
      <w:pPr>
        <w:rPr>
          <w:color w:val="000000"/>
          <w:sz w:val="22"/>
          <w:szCs w:val="22"/>
        </w:rPr>
      </w:pPr>
      <w:r w:rsidRPr="006774D3">
        <w:rPr>
          <w:color w:val="000000"/>
          <w:sz w:val="22"/>
          <w:szCs w:val="22"/>
        </w:rPr>
        <w:t>Lengri meðferðartími (&gt; 36 mánuðir) getur seinkað frekari endurkomu æxlis. Hinsvegar eru áhrif þessarar niðurstöðu á heildarlifun enn óþekkt.</w:t>
      </w:r>
    </w:p>
    <w:p w14:paraId="05B8BA91" w14:textId="77777777" w:rsidR="007B5D76" w:rsidRPr="006774D3" w:rsidRDefault="007B5D76" w:rsidP="00F77C66">
      <w:pPr>
        <w:rPr>
          <w:color w:val="000000"/>
          <w:sz w:val="22"/>
          <w:szCs w:val="22"/>
        </w:rPr>
      </w:pPr>
    </w:p>
    <w:p w14:paraId="05B8BA92" w14:textId="77777777" w:rsidR="007B5D76" w:rsidRPr="006774D3" w:rsidRDefault="007B5D76" w:rsidP="00F77C66">
      <w:pPr>
        <w:rPr>
          <w:color w:val="000000"/>
          <w:sz w:val="22"/>
          <w:szCs w:val="22"/>
        </w:rPr>
      </w:pPr>
      <w:r w:rsidRPr="006774D3">
        <w:rPr>
          <w:color w:val="000000"/>
          <w:sz w:val="22"/>
          <w:szCs w:val="22"/>
        </w:rPr>
        <w:lastRenderedPageBreak/>
        <w:t>Heildarfjöldi dauðsfalla var 25 hjá þeim sem fengu meðferð í 12 mánuði og 12 hjá þeim sem fengu meðferð í 36 mánuði.</w:t>
      </w:r>
    </w:p>
    <w:p w14:paraId="05B8BA93" w14:textId="77777777" w:rsidR="007B5D76" w:rsidRPr="006774D3" w:rsidRDefault="007B5D76" w:rsidP="00F77C66">
      <w:pPr>
        <w:rPr>
          <w:color w:val="000000"/>
          <w:sz w:val="22"/>
          <w:szCs w:val="22"/>
        </w:rPr>
      </w:pPr>
    </w:p>
    <w:p w14:paraId="05B8BA94" w14:textId="77777777" w:rsidR="007B5D76" w:rsidRPr="006774D3" w:rsidRDefault="007B5D76" w:rsidP="00F77C66">
      <w:pPr>
        <w:rPr>
          <w:color w:val="000000"/>
          <w:sz w:val="22"/>
          <w:szCs w:val="22"/>
        </w:rPr>
      </w:pPr>
      <w:r w:rsidRPr="006774D3">
        <w:rPr>
          <w:color w:val="000000"/>
          <w:sz w:val="22"/>
          <w:szCs w:val="22"/>
        </w:rPr>
        <w:t xml:space="preserve">Meðferð með imatinibi í 36 mánuði hafði yfirburði yfir meðferð í 12 mánuði í ITT greiningunni, þ.e. sem tekur til heildarþýðisins í rannsókninni. Í ráðgerðri greiningu á undirhópum eftir gerð stökkbreytingar var áhættuhlutfall fyrir lifun án endurkomu æxlis fyrir 36 mánaða meðferð hjá sjúklingum með stökkbreytingar í táknröð (exon) 11 var 0,35 </w:t>
      </w:r>
      <w:r w:rsidRPr="006774D3">
        <w:rPr>
          <w:iCs/>
          <w:color w:val="000000"/>
          <w:sz w:val="22"/>
          <w:szCs w:val="22"/>
        </w:rPr>
        <w:t>[95% CI: 0,22; 0,56]. Ekki er hægt að fá niðurstöður fyrir aðra sjaldgæfari undirhópa stökkbreytinga vegna fárra tilvika sem komu fyrir.</w:t>
      </w:r>
    </w:p>
    <w:p w14:paraId="05B8BA95" w14:textId="77777777" w:rsidR="007B5D76" w:rsidRPr="006774D3" w:rsidRDefault="007B5D76" w:rsidP="00F77C66">
      <w:pPr>
        <w:rPr>
          <w:color w:val="000000"/>
          <w:sz w:val="22"/>
          <w:szCs w:val="22"/>
        </w:rPr>
      </w:pPr>
    </w:p>
    <w:p w14:paraId="05B8BA96" w14:textId="77777777" w:rsidR="007B5D76" w:rsidRPr="006774D3" w:rsidRDefault="007B5D76" w:rsidP="00FA5D6F">
      <w:pPr>
        <w:keepNext/>
        <w:ind w:left="1134" w:hanging="1134"/>
        <w:rPr>
          <w:rFonts w:eastAsia="MS Mincho"/>
          <w:b/>
          <w:sz w:val="22"/>
          <w:szCs w:val="22"/>
          <w:lang w:eastAsia="ja-JP"/>
        </w:rPr>
      </w:pPr>
      <w:r w:rsidRPr="006774D3">
        <w:rPr>
          <w:rFonts w:eastAsia="MS Mincho"/>
          <w:b/>
          <w:sz w:val="22"/>
          <w:szCs w:val="22"/>
        </w:rPr>
        <w:t>Tafla </w:t>
      </w:r>
      <w:r w:rsidR="00F40B8C" w:rsidRPr="006774D3">
        <w:rPr>
          <w:rFonts w:eastAsia="MS Mincho"/>
          <w:b/>
          <w:sz w:val="22"/>
          <w:szCs w:val="22"/>
        </w:rPr>
        <w:t>8</w:t>
      </w:r>
      <w:r w:rsidRPr="006774D3">
        <w:rPr>
          <w:rFonts w:eastAsia="MS Mincho"/>
          <w:b/>
          <w:sz w:val="22"/>
          <w:szCs w:val="22"/>
        </w:rPr>
        <w:tab/>
        <w:t>Meðferð með Glivec í 12 mánuði og 36 mánuði</w:t>
      </w:r>
      <w:r w:rsidRPr="006774D3">
        <w:rPr>
          <w:rFonts w:eastAsia="MS Mincho"/>
          <w:b/>
          <w:sz w:val="22"/>
          <w:szCs w:val="22"/>
          <w:lang w:eastAsia="ja-JP"/>
        </w:rPr>
        <w:t xml:space="preserve"> (SSGXVIII/AIO Rannsókn)</w:t>
      </w:r>
    </w:p>
    <w:p w14:paraId="05B8BA97" w14:textId="77777777" w:rsidR="007B5D76" w:rsidRPr="006774D3" w:rsidRDefault="007B5D76" w:rsidP="00FA5D6F">
      <w:pPr>
        <w:keepNext/>
        <w:rPr>
          <w:rFonts w:eastAsia="MS Mincho"/>
          <w:sz w:val="22"/>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7B5D76" w:rsidRPr="006774D3" w14:paraId="05B8BA9B" w14:textId="77777777" w:rsidTr="00FA5D6F">
        <w:trPr>
          <w:cantSplit/>
        </w:trPr>
        <w:tc>
          <w:tcPr>
            <w:tcW w:w="3099" w:type="dxa"/>
            <w:tcBorders>
              <w:top w:val="single" w:sz="4" w:space="0" w:color="auto"/>
              <w:bottom w:val="nil"/>
            </w:tcBorders>
            <w:shd w:val="clear" w:color="auto" w:fill="auto"/>
          </w:tcPr>
          <w:p w14:paraId="05B8BA98" w14:textId="77777777" w:rsidR="007B5D76" w:rsidRPr="006774D3" w:rsidRDefault="007B5D76" w:rsidP="00FA5D6F">
            <w:pPr>
              <w:keepNext/>
              <w:tabs>
                <w:tab w:val="left" w:pos="284"/>
              </w:tabs>
              <w:rPr>
                <w:rFonts w:eastAsia="MS Mincho"/>
                <w:sz w:val="22"/>
                <w:szCs w:val="22"/>
              </w:rPr>
            </w:pPr>
          </w:p>
        </w:tc>
        <w:tc>
          <w:tcPr>
            <w:tcW w:w="3100" w:type="dxa"/>
            <w:tcBorders>
              <w:top w:val="single" w:sz="4" w:space="0" w:color="auto"/>
              <w:bottom w:val="nil"/>
            </w:tcBorders>
            <w:shd w:val="clear" w:color="auto" w:fill="auto"/>
          </w:tcPr>
          <w:p w14:paraId="05B8BA99"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12-mánaða meðferðarhópurinn</w:t>
            </w:r>
          </w:p>
        </w:tc>
        <w:tc>
          <w:tcPr>
            <w:tcW w:w="3100" w:type="dxa"/>
            <w:tcBorders>
              <w:top w:val="single" w:sz="4" w:space="0" w:color="auto"/>
              <w:bottom w:val="nil"/>
            </w:tcBorders>
            <w:shd w:val="clear" w:color="auto" w:fill="auto"/>
          </w:tcPr>
          <w:p w14:paraId="05B8BA9A"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36-mánaða meðferðarhópurinn</w:t>
            </w:r>
          </w:p>
        </w:tc>
      </w:tr>
      <w:tr w:rsidR="007B5D76" w:rsidRPr="006774D3" w14:paraId="05B8BA9F" w14:textId="77777777" w:rsidTr="00FA5D6F">
        <w:trPr>
          <w:cantSplit/>
        </w:trPr>
        <w:tc>
          <w:tcPr>
            <w:tcW w:w="3099" w:type="dxa"/>
            <w:tcBorders>
              <w:top w:val="nil"/>
            </w:tcBorders>
            <w:shd w:val="clear" w:color="auto" w:fill="auto"/>
          </w:tcPr>
          <w:p w14:paraId="05B8BA9C"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Lifun án endurkomu æxlis</w:t>
            </w:r>
          </w:p>
        </w:tc>
        <w:tc>
          <w:tcPr>
            <w:tcW w:w="3100" w:type="dxa"/>
            <w:tcBorders>
              <w:top w:val="nil"/>
            </w:tcBorders>
            <w:shd w:val="clear" w:color="auto" w:fill="auto"/>
          </w:tcPr>
          <w:p w14:paraId="05B8BA9D"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%(CI)</w:t>
            </w:r>
          </w:p>
        </w:tc>
        <w:tc>
          <w:tcPr>
            <w:tcW w:w="3100" w:type="dxa"/>
            <w:tcBorders>
              <w:top w:val="nil"/>
            </w:tcBorders>
            <w:shd w:val="clear" w:color="auto" w:fill="auto"/>
          </w:tcPr>
          <w:p w14:paraId="05B8BA9E"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%(CI)</w:t>
            </w:r>
          </w:p>
        </w:tc>
      </w:tr>
      <w:tr w:rsidR="007B5D76" w:rsidRPr="006774D3" w14:paraId="05B8BAA3" w14:textId="77777777" w:rsidTr="00FA5D6F">
        <w:trPr>
          <w:cantSplit/>
        </w:trPr>
        <w:tc>
          <w:tcPr>
            <w:tcW w:w="3099" w:type="dxa"/>
            <w:shd w:val="clear" w:color="auto" w:fill="auto"/>
          </w:tcPr>
          <w:p w14:paraId="05B8BAA0" w14:textId="77777777" w:rsidR="007B5D76" w:rsidRPr="006774D3" w:rsidRDefault="007B5D76" w:rsidP="00FA5D6F">
            <w:pPr>
              <w:keepNext/>
              <w:ind w:left="284"/>
              <w:rPr>
                <w:rFonts w:eastAsia="MS Mincho"/>
                <w:sz w:val="22"/>
                <w:szCs w:val="22"/>
              </w:rPr>
            </w:pPr>
            <w:r w:rsidRPr="006774D3">
              <w:rPr>
                <w:rFonts w:eastAsia="MS Mincho"/>
                <w:sz w:val="22"/>
                <w:szCs w:val="22"/>
              </w:rPr>
              <w:t>12</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A1"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93,7 (89,2</w:t>
            </w:r>
            <w:r w:rsidRPr="006774D3">
              <w:rPr>
                <w:rFonts w:eastAsia="MS Mincho"/>
                <w:sz w:val="22"/>
                <w:szCs w:val="22"/>
              </w:rPr>
              <w:noBreakHyphen/>
              <w:t>96,4)</w:t>
            </w:r>
          </w:p>
        </w:tc>
        <w:tc>
          <w:tcPr>
            <w:tcW w:w="3100" w:type="dxa"/>
            <w:shd w:val="clear" w:color="auto" w:fill="auto"/>
          </w:tcPr>
          <w:p w14:paraId="05B8BAA2"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95,9 (91,9</w:t>
            </w:r>
            <w:r w:rsidRPr="006774D3">
              <w:rPr>
                <w:rFonts w:eastAsia="MS Mincho"/>
                <w:sz w:val="22"/>
                <w:szCs w:val="22"/>
              </w:rPr>
              <w:noBreakHyphen/>
              <w:t>97,9)</w:t>
            </w:r>
          </w:p>
        </w:tc>
      </w:tr>
      <w:tr w:rsidR="007B5D76" w:rsidRPr="006774D3" w14:paraId="05B8BAA7" w14:textId="77777777" w:rsidTr="00FA5D6F">
        <w:trPr>
          <w:cantSplit/>
        </w:trPr>
        <w:tc>
          <w:tcPr>
            <w:tcW w:w="3099" w:type="dxa"/>
            <w:shd w:val="clear" w:color="auto" w:fill="auto"/>
          </w:tcPr>
          <w:p w14:paraId="05B8BAA4" w14:textId="77777777" w:rsidR="007B5D76" w:rsidRPr="006774D3" w:rsidRDefault="007B5D76" w:rsidP="00FA5D6F">
            <w:pPr>
              <w:keepNext/>
              <w:ind w:left="284"/>
              <w:rPr>
                <w:rFonts w:eastAsia="MS Mincho"/>
                <w:sz w:val="22"/>
                <w:szCs w:val="22"/>
              </w:rPr>
            </w:pPr>
            <w:r w:rsidRPr="006774D3">
              <w:rPr>
                <w:rFonts w:eastAsia="MS Mincho"/>
                <w:sz w:val="22"/>
                <w:szCs w:val="22"/>
              </w:rPr>
              <w:t>24</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A5"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75,4 (68,6</w:t>
            </w:r>
            <w:r w:rsidRPr="006774D3">
              <w:rPr>
                <w:rFonts w:eastAsia="MS Mincho"/>
                <w:sz w:val="22"/>
                <w:szCs w:val="22"/>
              </w:rPr>
              <w:noBreakHyphen/>
              <w:t>81,0)</w:t>
            </w:r>
          </w:p>
        </w:tc>
        <w:tc>
          <w:tcPr>
            <w:tcW w:w="3100" w:type="dxa"/>
            <w:shd w:val="clear" w:color="auto" w:fill="auto"/>
          </w:tcPr>
          <w:p w14:paraId="05B8BAA6"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90,7 (85,6</w:t>
            </w:r>
            <w:r w:rsidRPr="006774D3">
              <w:rPr>
                <w:rFonts w:eastAsia="MS Mincho"/>
                <w:sz w:val="22"/>
                <w:szCs w:val="22"/>
              </w:rPr>
              <w:noBreakHyphen/>
              <w:t>94,0)</w:t>
            </w:r>
          </w:p>
        </w:tc>
      </w:tr>
      <w:tr w:rsidR="007B5D76" w:rsidRPr="006774D3" w14:paraId="05B8BAAB" w14:textId="77777777" w:rsidTr="00FA5D6F">
        <w:trPr>
          <w:cantSplit/>
        </w:trPr>
        <w:tc>
          <w:tcPr>
            <w:tcW w:w="3099" w:type="dxa"/>
            <w:shd w:val="clear" w:color="auto" w:fill="auto"/>
          </w:tcPr>
          <w:p w14:paraId="05B8BAA8" w14:textId="77777777" w:rsidR="007B5D76" w:rsidRPr="006774D3" w:rsidRDefault="007B5D76" w:rsidP="00FA5D6F">
            <w:pPr>
              <w:keepNext/>
              <w:ind w:left="284"/>
              <w:rPr>
                <w:rFonts w:eastAsia="MS Mincho"/>
                <w:sz w:val="22"/>
                <w:szCs w:val="22"/>
              </w:rPr>
            </w:pPr>
            <w:r w:rsidRPr="006774D3">
              <w:rPr>
                <w:rFonts w:eastAsia="MS Mincho"/>
                <w:sz w:val="22"/>
                <w:szCs w:val="22"/>
              </w:rPr>
              <w:t>36</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A9"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60,1 (52,5</w:t>
            </w:r>
            <w:r w:rsidRPr="006774D3">
              <w:rPr>
                <w:rFonts w:eastAsia="MS Mincho"/>
                <w:sz w:val="22"/>
                <w:szCs w:val="22"/>
              </w:rPr>
              <w:noBreakHyphen/>
              <w:t>66,9)</w:t>
            </w:r>
          </w:p>
        </w:tc>
        <w:tc>
          <w:tcPr>
            <w:tcW w:w="3100" w:type="dxa"/>
            <w:shd w:val="clear" w:color="auto" w:fill="auto"/>
          </w:tcPr>
          <w:p w14:paraId="05B8BAAA"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86,6 (80,8</w:t>
            </w:r>
            <w:r w:rsidRPr="006774D3">
              <w:rPr>
                <w:rFonts w:eastAsia="MS Mincho"/>
                <w:sz w:val="22"/>
                <w:szCs w:val="22"/>
              </w:rPr>
              <w:noBreakHyphen/>
              <w:t>90,8)</w:t>
            </w:r>
          </w:p>
        </w:tc>
      </w:tr>
      <w:tr w:rsidR="007B5D76" w:rsidRPr="006774D3" w14:paraId="05B8BAAF" w14:textId="77777777" w:rsidTr="00FA5D6F">
        <w:trPr>
          <w:cantSplit/>
        </w:trPr>
        <w:tc>
          <w:tcPr>
            <w:tcW w:w="3099" w:type="dxa"/>
            <w:shd w:val="clear" w:color="auto" w:fill="auto"/>
          </w:tcPr>
          <w:p w14:paraId="05B8BAAC" w14:textId="77777777" w:rsidR="007B5D76" w:rsidRPr="006774D3" w:rsidRDefault="007B5D76" w:rsidP="00FA5D6F">
            <w:pPr>
              <w:keepNext/>
              <w:ind w:left="284"/>
              <w:rPr>
                <w:rFonts w:eastAsia="MS Mincho"/>
                <w:sz w:val="22"/>
                <w:szCs w:val="22"/>
              </w:rPr>
            </w:pPr>
            <w:r w:rsidRPr="006774D3">
              <w:rPr>
                <w:rFonts w:eastAsia="MS Mincho"/>
                <w:sz w:val="22"/>
                <w:szCs w:val="22"/>
              </w:rPr>
              <w:t>48</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AD"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52,3 (44,0</w:t>
            </w:r>
            <w:r w:rsidRPr="006774D3">
              <w:rPr>
                <w:rFonts w:eastAsia="MS Mincho"/>
                <w:sz w:val="22"/>
                <w:szCs w:val="22"/>
              </w:rPr>
              <w:noBreakHyphen/>
              <w:t>59,8)</w:t>
            </w:r>
          </w:p>
        </w:tc>
        <w:tc>
          <w:tcPr>
            <w:tcW w:w="3100" w:type="dxa"/>
            <w:shd w:val="clear" w:color="auto" w:fill="auto"/>
          </w:tcPr>
          <w:p w14:paraId="05B8BAAE"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78,3 (70,8</w:t>
            </w:r>
            <w:r w:rsidRPr="006774D3">
              <w:rPr>
                <w:rFonts w:eastAsia="MS Mincho"/>
                <w:sz w:val="22"/>
                <w:szCs w:val="22"/>
              </w:rPr>
              <w:noBreakHyphen/>
              <w:t>84,1)</w:t>
            </w:r>
          </w:p>
        </w:tc>
      </w:tr>
      <w:tr w:rsidR="007B5D76" w:rsidRPr="006774D3" w14:paraId="05B8BAB3" w14:textId="77777777" w:rsidTr="00FA5D6F">
        <w:trPr>
          <w:cantSplit/>
        </w:trPr>
        <w:tc>
          <w:tcPr>
            <w:tcW w:w="3099" w:type="dxa"/>
            <w:shd w:val="clear" w:color="auto" w:fill="auto"/>
          </w:tcPr>
          <w:p w14:paraId="05B8BAB0" w14:textId="77777777" w:rsidR="007B5D76" w:rsidRPr="006774D3" w:rsidRDefault="007B5D76" w:rsidP="00FA5D6F">
            <w:pPr>
              <w:keepNext/>
              <w:ind w:left="284"/>
              <w:rPr>
                <w:rFonts w:eastAsia="MS Mincho"/>
                <w:sz w:val="22"/>
                <w:szCs w:val="22"/>
              </w:rPr>
            </w:pPr>
            <w:r w:rsidRPr="006774D3">
              <w:rPr>
                <w:rFonts w:eastAsia="MS Mincho"/>
                <w:sz w:val="22"/>
                <w:szCs w:val="22"/>
              </w:rPr>
              <w:t>60</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B1"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47,9 (39,0</w:t>
            </w:r>
            <w:r w:rsidRPr="006774D3">
              <w:rPr>
                <w:rFonts w:eastAsia="MS Mincho"/>
                <w:sz w:val="22"/>
                <w:szCs w:val="22"/>
              </w:rPr>
              <w:noBreakHyphen/>
              <w:t>56,3)</w:t>
            </w:r>
          </w:p>
        </w:tc>
        <w:tc>
          <w:tcPr>
            <w:tcW w:w="3100" w:type="dxa"/>
            <w:shd w:val="clear" w:color="auto" w:fill="auto"/>
          </w:tcPr>
          <w:p w14:paraId="05B8BAB2"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65,6 (56,1</w:t>
            </w:r>
            <w:r w:rsidRPr="006774D3">
              <w:rPr>
                <w:rFonts w:eastAsia="MS Mincho"/>
                <w:sz w:val="22"/>
                <w:szCs w:val="22"/>
              </w:rPr>
              <w:noBreakHyphen/>
              <w:t>73,4)</w:t>
            </w:r>
          </w:p>
        </w:tc>
      </w:tr>
      <w:tr w:rsidR="007B5D76" w:rsidRPr="006774D3" w14:paraId="05B8BAB7" w14:textId="77777777" w:rsidTr="00FA5D6F">
        <w:trPr>
          <w:cantSplit/>
        </w:trPr>
        <w:tc>
          <w:tcPr>
            <w:tcW w:w="3099" w:type="dxa"/>
            <w:shd w:val="clear" w:color="auto" w:fill="auto"/>
          </w:tcPr>
          <w:p w14:paraId="05B8BAB4" w14:textId="77777777" w:rsidR="007B5D76" w:rsidRPr="006774D3" w:rsidRDefault="007B5D76" w:rsidP="00FA5D6F">
            <w:pPr>
              <w:keepNext/>
              <w:tabs>
                <w:tab w:val="left" w:pos="284"/>
              </w:tabs>
              <w:rPr>
                <w:rFonts w:eastAsia="MS Mincho"/>
                <w:b/>
                <w:sz w:val="22"/>
                <w:szCs w:val="22"/>
              </w:rPr>
            </w:pPr>
            <w:r w:rsidRPr="006774D3">
              <w:rPr>
                <w:rFonts w:eastAsia="MS Mincho"/>
                <w:b/>
                <w:sz w:val="22"/>
                <w:szCs w:val="22"/>
              </w:rPr>
              <w:t>Lifun</w:t>
            </w:r>
          </w:p>
        </w:tc>
        <w:tc>
          <w:tcPr>
            <w:tcW w:w="3100" w:type="dxa"/>
            <w:shd w:val="clear" w:color="auto" w:fill="auto"/>
          </w:tcPr>
          <w:p w14:paraId="05B8BAB5" w14:textId="77777777" w:rsidR="007B5D76" w:rsidRPr="006774D3" w:rsidRDefault="007B5D76" w:rsidP="00FA5D6F">
            <w:pPr>
              <w:keepNext/>
              <w:tabs>
                <w:tab w:val="left" w:pos="284"/>
              </w:tabs>
              <w:rPr>
                <w:rFonts w:eastAsia="MS Mincho"/>
                <w:sz w:val="22"/>
                <w:szCs w:val="22"/>
              </w:rPr>
            </w:pPr>
          </w:p>
        </w:tc>
        <w:tc>
          <w:tcPr>
            <w:tcW w:w="3100" w:type="dxa"/>
            <w:shd w:val="clear" w:color="auto" w:fill="auto"/>
          </w:tcPr>
          <w:p w14:paraId="05B8BAB6" w14:textId="77777777" w:rsidR="007B5D76" w:rsidRPr="006774D3" w:rsidRDefault="007B5D76" w:rsidP="00FA5D6F">
            <w:pPr>
              <w:keepNext/>
              <w:tabs>
                <w:tab w:val="left" w:pos="284"/>
              </w:tabs>
              <w:rPr>
                <w:rFonts w:eastAsia="MS Mincho"/>
                <w:sz w:val="22"/>
                <w:szCs w:val="22"/>
              </w:rPr>
            </w:pPr>
          </w:p>
        </w:tc>
      </w:tr>
      <w:tr w:rsidR="007B5D76" w:rsidRPr="006774D3" w14:paraId="05B8BABB" w14:textId="77777777" w:rsidTr="00FA5D6F">
        <w:trPr>
          <w:cantSplit/>
        </w:trPr>
        <w:tc>
          <w:tcPr>
            <w:tcW w:w="3099" w:type="dxa"/>
            <w:shd w:val="clear" w:color="auto" w:fill="auto"/>
          </w:tcPr>
          <w:p w14:paraId="05B8BAB8" w14:textId="77777777" w:rsidR="007B5D76" w:rsidRPr="006774D3" w:rsidRDefault="007B5D76" w:rsidP="00FA5D6F">
            <w:pPr>
              <w:keepNext/>
              <w:ind w:left="284"/>
              <w:rPr>
                <w:rFonts w:eastAsia="MS Mincho"/>
                <w:sz w:val="22"/>
                <w:szCs w:val="22"/>
              </w:rPr>
            </w:pPr>
            <w:r w:rsidRPr="006774D3">
              <w:rPr>
                <w:rFonts w:eastAsia="MS Mincho"/>
                <w:sz w:val="22"/>
                <w:szCs w:val="22"/>
              </w:rPr>
              <w:t>36</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B9"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94,0 (89,5</w:t>
            </w:r>
            <w:r w:rsidRPr="006774D3">
              <w:rPr>
                <w:rFonts w:eastAsia="MS Mincho"/>
                <w:sz w:val="22"/>
                <w:szCs w:val="22"/>
              </w:rPr>
              <w:noBreakHyphen/>
              <w:t>96,7)</w:t>
            </w:r>
          </w:p>
        </w:tc>
        <w:tc>
          <w:tcPr>
            <w:tcW w:w="3100" w:type="dxa"/>
            <w:shd w:val="clear" w:color="auto" w:fill="auto"/>
          </w:tcPr>
          <w:p w14:paraId="05B8BABA"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96,3 (92,4</w:t>
            </w:r>
            <w:r w:rsidRPr="006774D3">
              <w:rPr>
                <w:rFonts w:eastAsia="MS Mincho"/>
                <w:sz w:val="22"/>
                <w:szCs w:val="22"/>
              </w:rPr>
              <w:noBreakHyphen/>
              <w:t>98,2)</w:t>
            </w:r>
          </w:p>
        </w:tc>
      </w:tr>
      <w:tr w:rsidR="007B5D76" w:rsidRPr="006774D3" w14:paraId="05B8BABF" w14:textId="77777777" w:rsidTr="00FA5D6F">
        <w:trPr>
          <w:cantSplit/>
        </w:trPr>
        <w:tc>
          <w:tcPr>
            <w:tcW w:w="3099" w:type="dxa"/>
            <w:shd w:val="clear" w:color="auto" w:fill="auto"/>
          </w:tcPr>
          <w:p w14:paraId="05B8BABC" w14:textId="77777777" w:rsidR="007B5D76" w:rsidRPr="006774D3" w:rsidRDefault="007B5D76" w:rsidP="00FA5D6F">
            <w:pPr>
              <w:keepNext/>
              <w:ind w:left="284"/>
              <w:rPr>
                <w:rFonts w:eastAsia="MS Mincho"/>
                <w:sz w:val="22"/>
                <w:szCs w:val="22"/>
              </w:rPr>
            </w:pPr>
            <w:r w:rsidRPr="006774D3">
              <w:rPr>
                <w:rFonts w:eastAsia="MS Mincho"/>
                <w:sz w:val="22"/>
                <w:szCs w:val="22"/>
              </w:rPr>
              <w:t>48</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BD"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87,9 (81,1</w:t>
            </w:r>
            <w:r w:rsidRPr="006774D3">
              <w:rPr>
                <w:rFonts w:eastAsia="MS Mincho"/>
                <w:sz w:val="22"/>
                <w:szCs w:val="22"/>
              </w:rPr>
              <w:noBreakHyphen/>
              <w:t>92,3)</w:t>
            </w:r>
          </w:p>
        </w:tc>
        <w:tc>
          <w:tcPr>
            <w:tcW w:w="3100" w:type="dxa"/>
            <w:shd w:val="clear" w:color="auto" w:fill="auto"/>
          </w:tcPr>
          <w:p w14:paraId="05B8BABE" w14:textId="77777777" w:rsidR="007B5D76" w:rsidRPr="006774D3" w:rsidRDefault="007B5D76" w:rsidP="00FA5D6F">
            <w:pPr>
              <w:keepNext/>
              <w:tabs>
                <w:tab w:val="left" w:pos="284"/>
              </w:tabs>
              <w:rPr>
                <w:rFonts w:eastAsia="MS Mincho"/>
                <w:sz w:val="22"/>
                <w:szCs w:val="22"/>
              </w:rPr>
            </w:pPr>
            <w:r w:rsidRPr="006774D3">
              <w:rPr>
                <w:rFonts w:eastAsia="MS Mincho"/>
                <w:sz w:val="22"/>
                <w:szCs w:val="22"/>
              </w:rPr>
              <w:t>95,6 (91,2</w:t>
            </w:r>
            <w:r w:rsidRPr="006774D3">
              <w:rPr>
                <w:rFonts w:eastAsia="MS Mincho"/>
                <w:sz w:val="22"/>
                <w:szCs w:val="22"/>
              </w:rPr>
              <w:noBreakHyphen/>
              <w:t>97,8)</w:t>
            </w:r>
          </w:p>
        </w:tc>
      </w:tr>
      <w:tr w:rsidR="007B5D76" w:rsidRPr="006774D3" w14:paraId="05B8BAC3" w14:textId="77777777" w:rsidTr="00FA5D6F">
        <w:trPr>
          <w:cantSplit/>
        </w:trPr>
        <w:tc>
          <w:tcPr>
            <w:tcW w:w="3099" w:type="dxa"/>
            <w:shd w:val="clear" w:color="auto" w:fill="auto"/>
          </w:tcPr>
          <w:p w14:paraId="05B8BAC0" w14:textId="77777777" w:rsidR="007B5D76" w:rsidRPr="006774D3" w:rsidRDefault="007B5D76" w:rsidP="00FA5D6F">
            <w:pPr>
              <w:ind w:left="284"/>
              <w:rPr>
                <w:rFonts w:eastAsia="MS Mincho"/>
                <w:sz w:val="22"/>
                <w:szCs w:val="22"/>
              </w:rPr>
            </w:pPr>
            <w:r w:rsidRPr="006774D3">
              <w:rPr>
                <w:rFonts w:eastAsia="MS Mincho"/>
                <w:sz w:val="22"/>
                <w:szCs w:val="22"/>
              </w:rPr>
              <w:t>60</w:t>
            </w:r>
            <w:r w:rsidRPr="006774D3">
              <w:rPr>
                <w:rFonts w:eastAsia="MS Mincho"/>
                <w:sz w:val="22"/>
                <w:szCs w:val="22"/>
                <w:lang w:eastAsia="ja-JP"/>
              </w:rPr>
              <w:t> </w:t>
            </w:r>
            <w:r w:rsidRPr="006774D3">
              <w:rPr>
                <w:rFonts w:eastAsia="MS Mincho"/>
                <w:sz w:val="22"/>
                <w:szCs w:val="22"/>
              </w:rPr>
              <w:t>mánuðir</w:t>
            </w:r>
          </w:p>
        </w:tc>
        <w:tc>
          <w:tcPr>
            <w:tcW w:w="3100" w:type="dxa"/>
            <w:shd w:val="clear" w:color="auto" w:fill="auto"/>
          </w:tcPr>
          <w:p w14:paraId="05B8BAC1" w14:textId="77777777" w:rsidR="007B5D76" w:rsidRPr="006774D3" w:rsidRDefault="007B5D76" w:rsidP="00FA5D6F">
            <w:pPr>
              <w:tabs>
                <w:tab w:val="left" w:pos="284"/>
              </w:tabs>
              <w:rPr>
                <w:rFonts w:eastAsia="MS Mincho"/>
                <w:sz w:val="22"/>
                <w:szCs w:val="22"/>
              </w:rPr>
            </w:pPr>
            <w:r w:rsidRPr="006774D3">
              <w:rPr>
                <w:rFonts w:eastAsia="MS Mincho"/>
                <w:sz w:val="22"/>
                <w:szCs w:val="22"/>
              </w:rPr>
              <w:t>81,7 (73,0</w:t>
            </w:r>
            <w:r w:rsidRPr="006774D3">
              <w:rPr>
                <w:rFonts w:eastAsia="MS Mincho"/>
                <w:sz w:val="22"/>
                <w:szCs w:val="22"/>
              </w:rPr>
              <w:noBreakHyphen/>
              <w:t>87,8)</w:t>
            </w:r>
          </w:p>
        </w:tc>
        <w:tc>
          <w:tcPr>
            <w:tcW w:w="3100" w:type="dxa"/>
            <w:shd w:val="clear" w:color="auto" w:fill="auto"/>
          </w:tcPr>
          <w:p w14:paraId="05B8BAC2" w14:textId="77777777" w:rsidR="007B5D76" w:rsidRPr="006774D3" w:rsidRDefault="007B5D76" w:rsidP="00FA5D6F">
            <w:pPr>
              <w:tabs>
                <w:tab w:val="left" w:pos="284"/>
              </w:tabs>
              <w:rPr>
                <w:rFonts w:eastAsia="MS Mincho"/>
                <w:sz w:val="22"/>
                <w:szCs w:val="22"/>
              </w:rPr>
            </w:pPr>
            <w:r w:rsidRPr="006774D3">
              <w:rPr>
                <w:rFonts w:eastAsia="MS Mincho"/>
                <w:sz w:val="22"/>
                <w:szCs w:val="22"/>
              </w:rPr>
              <w:t>92,0 (85,3</w:t>
            </w:r>
            <w:r w:rsidRPr="006774D3">
              <w:rPr>
                <w:rFonts w:eastAsia="MS Mincho"/>
                <w:sz w:val="22"/>
                <w:szCs w:val="22"/>
              </w:rPr>
              <w:noBreakHyphen/>
              <w:t>95,7)</w:t>
            </w:r>
          </w:p>
        </w:tc>
      </w:tr>
    </w:tbl>
    <w:p w14:paraId="05B8BAC4" w14:textId="77777777" w:rsidR="007B5D76" w:rsidRPr="006774D3" w:rsidRDefault="007B5D76" w:rsidP="00F77C66">
      <w:pPr>
        <w:rPr>
          <w:rFonts w:eastAsia="MS Mincho"/>
          <w:sz w:val="22"/>
          <w:szCs w:val="22"/>
        </w:rPr>
      </w:pPr>
    </w:p>
    <w:p w14:paraId="05B8BAC5" w14:textId="77777777" w:rsidR="007B5D76" w:rsidRPr="006774D3" w:rsidRDefault="007B5D76" w:rsidP="00F77C66">
      <w:pPr>
        <w:keepNext/>
        <w:widowControl w:val="0"/>
        <w:ind w:left="1134" w:hanging="1134"/>
        <w:rPr>
          <w:rFonts w:eastAsia="MS Mincho"/>
          <w:sz w:val="22"/>
          <w:szCs w:val="22"/>
        </w:rPr>
      </w:pPr>
      <w:r w:rsidRPr="006774D3">
        <w:rPr>
          <w:rFonts w:eastAsia="MS Mincho"/>
          <w:b/>
          <w:sz w:val="22"/>
          <w:szCs w:val="22"/>
        </w:rPr>
        <w:t>Mynd 1</w:t>
      </w:r>
      <w:r w:rsidRPr="006774D3">
        <w:rPr>
          <w:rFonts w:eastAsia="MS Mincho"/>
          <w:b/>
          <w:sz w:val="22"/>
          <w:szCs w:val="22"/>
        </w:rPr>
        <w:tab/>
        <w:t>Kaplan-Meier áætlun fyrir megin endapunktinn sem var lifun án endurkomu æxlis (ITT þýði)</w:t>
      </w:r>
    </w:p>
    <w:p w14:paraId="05B8BAC6" w14:textId="77777777" w:rsidR="007B5D76" w:rsidRPr="006774D3" w:rsidRDefault="007B5D76" w:rsidP="00F77C66">
      <w:pPr>
        <w:keepNext/>
        <w:widowControl w:val="0"/>
        <w:rPr>
          <w:rFonts w:eastAsia="MS Mincho"/>
          <w:sz w:val="22"/>
          <w:szCs w:val="22"/>
        </w:rPr>
      </w:pPr>
    </w:p>
    <w:p w14:paraId="05B8BAC7" w14:textId="77777777" w:rsidR="007B5D76" w:rsidRPr="006774D3" w:rsidRDefault="00EA2A58" w:rsidP="00F77C66">
      <w:pPr>
        <w:keepNext/>
        <w:widowControl w:val="0"/>
        <w:rPr>
          <w:rFonts w:eastAsia="MS Mincho"/>
          <w:sz w:val="22"/>
          <w:szCs w:val="22"/>
        </w:rPr>
      </w:pPr>
      <w:r w:rsidRPr="006774D3">
        <w:rPr>
          <w:noProof/>
          <w:lang w:eastAsia="en-GB"/>
        </w:rPr>
        <mc:AlternateContent>
          <mc:Choice Requires="wps">
            <w:drawing>
              <wp:anchor distT="0" distB="0" distL="114300" distR="114300" simplePos="0" relativeHeight="251659264" behindDoc="0" locked="0" layoutInCell="1" allowOverlap="1" wp14:anchorId="05B8C4C0" wp14:editId="05B8C4C1">
                <wp:simplePos x="0" y="0"/>
                <wp:positionH relativeFrom="column">
                  <wp:posOffset>350520</wp:posOffset>
                </wp:positionH>
                <wp:positionV relativeFrom="paragraph">
                  <wp:posOffset>1236345</wp:posOffset>
                </wp:positionV>
                <wp:extent cx="4585335" cy="1171575"/>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950"/>
                            </w:tblGrid>
                            <w:tr w:rsidR="00CF33A2" w:rsidRPr="0055776F" w14:paraId="05B8C526" w14:textId="77777777" w:rsidTr="00EC64EB">
                              <w:trPr>
                                <w:gridAfter w:val="3"/>
                                <w:wAfter w:w="2510" w:type="dxa"/>
                              </w:trPr>
                              <w:tc>
                                <w:tcPr>
                                  <w:tcW w:w="3281" w:type="dxa"/>
                                  <w:gridSpan w:val="2"/>
                                  <w:shd w:val="clear" w:color="auto" w:fill="auto"/>
                                </w:tcPr>
                                <w:p w14:paraId="05B8C523" w14:textId="77777777" w:rsidR="00CF33A2" w:rsidRPr="0055776F" w:rsidRDefault="00CF33A2" w:rsidP="00EC64EB">
                                  <w:pPr>
                                    <w:rPr>
                                      <w:rFonts w:ascii="Arial" w:hAnsi="Arial" w:cs="Arial"/>
                                      <w:sz w:val="20"/>
                                    </w:rPr>
                                  </w:pPr>
                                  <w:r>
                                    <w:rPr>
                                      <w:rFonts w:ascii="Arial" w:hAnsi="Arial" w:cs="Arial"/>
                                      <w:sz w:val="20"/>
                                    </w:rPr>
                                    <w:t>P &lt; 0,0001</w:t>
                                  </w:r>
                                </w:p>
                                <w:p w14:paraId="05B8C524" w14:textId="77777777" w:rsidR="00CF33A2" w:rsidRPr="0055776F" w:rsidRDefault="00CF33A2" w:rsidP="00EC64EB">
                                  <w:pPr>
                                    <w:rPr>
                                      <w:rFonts w:ascii="Arial" w:hAnsi="Arial" w:cs="Arial"/>
                                      <w:sz w:val="20"/>
                                    </w:rPr>
                                  </w:pPr>
                                  <w:r>
                                    <w:rPr>
                                      <w:rFonts w:ascii="Arial" w:hAnsi="Arial" w:cs="Arial"/>
                                      <w:sz w:val="20"/>
                                      <w:szCs w:val="20"/>
                                    </w:rPr>
                                    <w:t>Áhættuhlutfall</w:t>
                                  </w:r>
                                  <w:r>
                                    <w:rPr>
                                      <w:rFonts w:ascii="Arial" w:hAnsi="Arial" w:cs="Arial"/>
                                      <w:sz w:val="20"/>
                                    </w:rPr>
                                    <w:t xml:space="preserve"> 0,</w:t>
                                  </w:r>
                                  <w:r w:rsidRPr="0055776F">
                                    <w:rPr>
                                      <w:rFonts w:ascii="Arial" w:hAnsi="Arial" w:cs="Arial"/>
                                      <w:sz w:val="20"/>
                                    </w:rPr>
                                    <w:t>4</w:t>
                                  </w:r>
                                  <w:r>
                                    <w:rPr>
                                      <w:rFonts w:ascii="Arial" w:hAnsi="Arial" w:cs="Arial"/>
                                      <w:sz w:val="20"/>
                                    </w:rPr>
                                    <w:t>6</w:t>
                                  </w:r>
                                </w:p>
                                <w:p w14:paraId="05B8C525" w14:textId="77777777" w:rsidR="00CF33A2" w:rsidRPr="0055776F" w:rsidRDefault="00CF33A2" w:rsidP="00EC64E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F33A2" w:rsidRPr="0055776F" w14:paraId="05B8C52C" w14:textId="77777777" w:rsidTr="006130B4">
                              <w:tc>
                                <w:tcPr>
                                  <w:tcW w:w="817" w:type="dxa"/>
                                  <w:shd w:val="clear" w:color="auto" w:fill="auto"/>
                                </w:tcPr>
                                <w:p w14:paraId="05B8C527" w14:textId="77777777" w:rsidR="00CF33A2" w:rsidRPr="0055776F" w:rsidRDefault="00CF33A2" w:rsidP="0009545B">
                                  <w:pPr>
                                    <w:rPr>
                                      <w:rFonts w:ascii="Arial" w:hAnsi="Arial" w:cs="Arial"/>
                                      <w:sz w:val="20"/>
                                      <w:szCs w:val="20"/>
                                    </w:rPr>
                                  </w:pPr>
                                </w:p>
                              </w:tc>
                              <w:tc>
                                <w:tcPr>
                                  <w:tcW w:w="2464" w:type="dxa"/>
                                  <w:shd w:val="clear" w:color="auto" w:fill="auto"/>
                                </w:tcPr>
                                <w:p w14:paraId="05B8C528"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29" w14:textId="77777777" w:rsidR="00CF33A2" w:rsidRPr="00752D50"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2A" w14:textId="77777777" w:rsidR="00CF33A2" w:rsidRPr="00752D50" w:rsidRDefault="00CF33A2" w:rsidP="0009545B">
                                  <w:pPr>
                                    <w:rPr>
                                      <w:rFonts w:ascii="Arial" w:hAnsi="Arial" w:cs="Arial"/>
                                      <w:sz w:val="20"/>
                                      <w:szCs w:val="20"/>
                                    </w:rPr>
                                  </w:pPr>
                                  <w:r w:rsidRPr="00752D50">
                                    <w:rPr>
                                      <w:rFonts w:ascii="Arial" w:hAnsi="Arial" w:cs="Arial"/>
                                      <w:sz w:val="20"/>
                                      <w:szCs w:val="20"/>
                                    </w:rPr>
                                    <w:t>Tilvik</w:t>
                                  </w:r>
                                </w:p>
                              </w:tc>
                              <w:tc>
                                <w:tcPr>
                                  <w:tcW w:w="950" w:type="dxa"/>
                                  <w:tcBorders>
                                    <w:bottom w:val="single" w:sz="4" w:space="0" w:color="auto"/>
                                  </w:tcBorders>
                                  <w:shd w:val="clear" w:color="auto" w:fill="auto"/>
                                </w:tcPr>
                                <w:p w14:paraId="05B8C52B" w14:textId="77777777" w:rsidR="00CF33A2" w:rsidRPr="00752D50"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32" w14:textId="77777777" w:rsidTr="006130B4">
                              <w:tc>
                                <w:tcPr>
                                  <w:tcW w:w="817" w:type="dxa"/>
                                  <w:shd w:val="clear" w:color="auto" w:fill="auto"/>
                                </w:tcPr>
                                <w:p w14:paraId="05B8C52D"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2E"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2F"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30" w14:textId="77777777" w:rsidR="00CF33A2" w:rsidRPr="0055776F" w:rsidRDefault="00CF33A2" w:rsidP="0009545B">
                                  <w:pPr>
                                    <w:rPr>
                                      <w:rFonts w:ascii="Arial" w:hAnsi="Arial" w:cs="Arial"/>
                                      <w:sz w:val="20"/>
                                      <w:szCs w:val="20"/>
                                    </w:rPr>
                                  </w:pPr>
                                  <w:r w:rsidRPr="0055776F">
                                    <w:rPr>
                                      <w:rFonts w:ascii="Arial" w:hAnsi="Arial" w:cs="Arial"/>
                                      <w:sz w:val="20"/>
                                      <w:szCs w:val="20"/>
                                    </w:rPr>
                                    <w:t>84</w:t>
                                  </w:r>
                                </w:p>
                              </w:tc>
                              <w:tc>
                                <w:tcPr>
                                  <w:tcW w:w="950" w:type="dxa"/>
                                  <w:tcBorders>
                                    <w:top w:val="single" w:sz="4" w:space="0" w:color="auto"/>
                                  </w:tcBorders>
                                  <w:shd w:val="clear" w:color="auto" w:fill="auto"/>
                                </w:tcPr>
                                <w:p w14:paraId="05B8C531" w14:textId="77777777" w:rsidR="00CF33A2" w:rsidRPr="0055776F" w:rsidRDefault="00CF33A2" w:rsidP="0009545B">
                                  <w:pPr>
                                    <w:rPr>
                                      <w:rFonts w:ascii="Arial" w:hAnsi="Arial" w:cs="Arial"/>
                                      <w:sz w:val="20"/>
                                      <w:szCs w:val="20"/>
                                    </w:rPr>
                                  </w:pPr>
                                  <w:r w:rsidRPr="0055776F">
                                    <w:rPr>
                                      <w:rFonts w:ascii="Arial" w:hAnsi="Arial" w:cs="Arial"/>
                                      <w:sz w:val="20"/>
                                      <w:szCs w:val="20"/>
                                    </w:rPr>
                                    <w:t>115</w:t>
                                  </w:r>
                                </w:p>
                              </w:tc>
                            </w:tr>
                            <w:tr w:rsidR="00CF33A2" w:rsidRPr="0055776F" w14:paraId="05B8C538" w14:textId="77777777" w:rsidTr="006130B4">
                              <w:tc>
                                <w:tcPr>
                                  <w:tcW w:w="817" w:type="dxa"/>
                                  <w:shd w:val="clear" w:color="auto" w:fill="auto"/>
                                </w:tcPr>
                                <w:p w14:paraId="05B8C533"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34"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35"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36" w14:textId="77777777" w:rsidR="00CF33A2" w:rsidRPr="0055776F" w:rsidRDefault="00CF33A2" w:rsidP="0009545B">
                                  <w:pPr>
                                    <w:rPr>
                                      <w:rFonts w:ascii="Arial" w:hAnsi="Arial" w:cs="Arial"/>
                                      <w:sz w:val="20"/>
                                      <w:szCs w:val="20"/>
                                    </w:rPr>
                                  </w:pPr>
                                  <w:r w:rsidRPr="0055776F">
                                    <w:rPr>
                                      <w:rFonts w:ascii="Arial" w:hAnsi="Arial" w:cs="Arial"/>
                                      <w:sz w:val="20"/>
                                      <w:szCs w:val="20"/>
                                    </w:rPr>
                                    <w:t>50</w:t>
                                  </w:r>
                                </w:p>
                              </w:tc>
                              <w:tc>
                                <w:tcPr>
                                  <w:tcW w:w="950" w:type="dxa"/>
                                  <w:tcBorders>
                                    <w:bottom w:val="single" w:sz="4" w:space="0" w:color="auto"/>
                                  </w:tcBorders>
                                  <w:shd w:val="clear" w:color="auto" w:fill="auto"/>
                                </w:tcPr>
                                <w:p w14:paraId="05B8C537" w14:textId="77777777" w:rsidR="00CF33A2" w:rsidRPr="0055776F" w:rsidRDefault="00CF33A2" w:rsidP="0009545B">
                                  <w:pPr>
                                    <w:rPr>
                                      <w:rFonts w:ascii="Arial" w:hAnsi="Arial" w:cs="Arial"/>
                                      <w:sz w:val="20"/>
                                      <w:szCs w:val="20"/>
                                    </w:rPr>
                                  </w:pPr>
                                  <w:r w:rsidRPr="0055776F">
                                    <w:rPr>
                                      <w:rFonts w:ascii="Arial" w:hAnsi="Arial" w:cs="Arial"/>
                                      <w:sz w:val="20"/>
                                      <w:szCs w:val="20"/>
                                    </w:rPr>
                                    <w:t>148</w:t>
                                  </w:r>
                                </w:p>
                              </w:tc>
                            </w:tr>
                            <w:tr w:rsidR="00CF33A2" w:rsidRPr="0055776F" w14:paraId="05B8C53E" w14:textId="77777777" w:rsidTr="006130B4">
                              <w:tc>
                                <w:tcPr>
                                  <w:tcW w:w="817" w:type="dxa"/>
                                  <w:shd w:val="clear" w:color="auto" w:fill="auto"/>
                                </w:tcPr>
                                <w:p w14:paraId="05B8C539"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3A"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3B"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3C" w14:textId="77777777" w:rsidR="00CF33A2" w:rsidRPr="0055776F" w:rsidRDefault="00CF33A2" w:rsidP="0009545B">
                                  <w:pPr>
                                    <w:rPr>
                                      <w:rFonts w:ascii="Arial" w:hAnsi="Arial" w:cs="Arial"/>
                                      <w:sz w:val="20"/>
                                      <w:szCs w:val="20"/>
                                    </w:rPr>
                                  </w:pPr>
                                </w:p>
                              </w:tc>
                              <w:tc>
                                <w:tcPr>
                                  <w:tcW w:w="950" w:type="dxa"/>
                                  <w:tcBorders>
                                    <w:top w:val="single" w:sz="4" w:space="0" w:color="auto"/>
                                  </w:tcBorders>
                                  <w:shd w:val="clear" w:color="auto" w:fill="auto"/>
                                </w:tcPr>
                                <w:p w14:paraId="05B8C53D" w14:textId="77777777" w:rsidR="00CF33A2" w:rsidRPr="0055776F" w:rsidRDefault="00CF33A2" w:rsidP="0009545B">
                                  <w:pPr>
                                    <w:rPr>
                                      <w:rFonts w:ascii="Arial" w:hAnsi="Arial" w:cs="Arial"/>
                                      <w:sz w:val="20"/>
                                      <w:szCs w:val="20"/>
                                    </w:rPr>
                                  </w:pPr>
                                </w:p>
                              </w:tc>
                            </w:tr>
                          </w:tbl>
                          <w:p w14:paraId="05B8C53F" w14:textId="77777777" w:rsidR="00CF33A2" w:rsidRPr="00A33DBA" w:rsidRDefault="00CF33A2" w:rsidP="007B5D7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0" id="_x0000_s1032" type="#_x0000_t202" style="position:absolute;margin-left:27.6pt;margin-top:97.35pt;width:361.0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" filled="f" stroked="f">
                <v:textbox>
                  <w:txbxContent>
                    <w:tbl>
                      <w:tblPr>
                        <w:tblW w:w="0" w:type="auto"/>
                        <w:tblLook w:val="04A0" w:firstRow="1" w:lastRow="0" w:firstColumn="1" w:lastColumn="0" w:noHBand="0" w:noVBand="1"/>
                      </w:tblPr>
                      <w:tblGrid>
                        <w:gridCol w:w="817"/>
                        <w:gridCol w:w="2464"/>
                        <w:gridCol w:w="851"/>
                        <w:gridCol w:w="709"/>
                        <w:gridCol w:w="950"/>
                      </w:tblGrid>
                      <w:tr w:rsidR="00CF33A2" w:rsidRPr="0055776F" w14:paraId="05B8C526" w14:textId="77777777" w:rsidTr="00EC64EB">
                        <w:trPr>
                          <w:gridAfter w:val="3"/>
                          <w:wAfter w:w="2510" w:type="dxa"/>
                        </w:trPr>
                        <w:tc>
                          <w:tcPr>
                            <w:tcW w:w="3281" w:type="dxa"/>
                            <w:gridSpan w:val="2"/>
                            <w:shd w:val="clear" w:color="auto" w:fill="auto"/>
                          </w:tcPr>
                          <w:p w14:paraId="05B8C523" w14:textId="77777777" w:rsidR="00CF33A2" w:rsidRPr="0055776F" w:rsidRDefault="00CF33A2" w:rsidP="00EC64EB">
                            <w:pPr>
                              <w:rPr>
                                <w:rFonts w:ascii="Arial" w:hAnsi="Arial" w:cs="Arial"/>
                                <w:sz w:val="20"/>
                              </w:rPr>
                            </w:pPr>
                            <w:r>
                              <w:rPr>
                                <w:rFonts w:ascii="Arial" w:hAnsi="Arial" w:cs="Arial"/>
                                <w:sz w:val="20"/>
                              </w:rPr>
                              <w:t>P &lt; 0,0001</w:t>
                            </w:r>
                          </w:p>
                          <w:p w14:paraId="05B8C524" w14:textId="77777777" w:rsidR="00CF33A2" w:rsidRPr="0055776F" w:rsidRDefault="00CF33A2" w:rsidP="00EC64EB">
                            <w:pPr>
                              <w:rPr>
                                <w:rFonts w:ascii="Arial" w:hAnsi="Arial" w:cs="Arial"/>
                                <w:sz w:val="20"/>
                              </w:rPr>
                            </w:pPr>
                            <w:r>
                              <w:rPr>
                                <w:rFonts w:ascii="Arial" w:hAnsi="Arial" w:cs="Arial"/>
                                <w:sz w:val="20"/>
                                <w:szCs w:val="20"/>
                              </w:rPr>
                              <w:t>Áhættuhlutfall</w:t>
                            </w:r>
                            <w:r>
                              <w:rPr>
                                <w:rFonts w:ascii="Arial" w:hAnsi="Arial" w:cs="Arial"/>
                                <w:sz w:val="20"/>
                              </w:rPr>
                              <w:t xml:space="preserve"> 0,</w:t>
                            </w:r>
                            <w:r w:rsidRPr="0055776F">
                              <w:rPr>
                                <w:rFonts w:ascii="Arial" w:hAnsi="Arial" w:cs="Arial"/>
                                <w:sz w:val="20"/>
                              </w:rPr>
                              <w:t>4</w:t>
                            </w:r>
                            <w:r>
                              <w:rPr>
                                <w:rFonts w:ascii="Arial" w:hAnsi="Arial" w:cs="Arial"/>
                                <w:sz w:val="20"/>
                              </w:rPr>
                              <w:t>6</w:t>
                            </w:r>
                          </w:p>
                          <w:p w14:paraId="05B8C525" w14:textId="77777777" w:rsidR="00CF33A2" w:rsidRPr="0055776F" w:rsidRDefault="00CF33A2" w:rsidP="00EC64EB">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F33A2" w:rsidRPr="0055776F" w14:paraId="05B8C52C" w14:textId="77777777" w:rsidTr="006130B4">
                        <w:tc>
                          <w:tcPr>
                            <w:tcW w:w="817" w:type="dxa"/>
                            <w:shd w:val="clear" w:color="auto" w:fill="auto"/>
                          </w:tcPr>
                          <w:p w14:paraId="05B8C527" w14:textId="77777777" w:rsidR="00CF33A2" w:rsidRPr="0055776F" w:rsidRDefault="00CF33A2" w:rsidP="0009545B">
                            <w:pPr>
                              <w:rPr>
                                <w:rFonts w:ascii="Arial" w:hAnsi="Arial" w:cs="Arial"/>
                                <w:sz w:val="20"/>
                                <w:szCs w:val="20"/>
                              </w:rPr>
                            </w:pPr>
                          </w:p>
                        </w:tc>
                        <w:tc>
                          <w:tcPr>
                            <w:tcW w:w="2464" w:type="dxa"/>
                            <w:shd w:val="clear" w:color="auto" w:fill="auto"/>
                          </w:tcPr>
                          <w:p w14:paraId="05B8C528"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29" w14:textId="77777777" w:rsidR="00CF33A2" w:rsidRPr="00752D50"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2A" w14:textId="77777777" w:rsidR="00CF33A2" w:rsidRPr="00752D50" w:rsidRDefault="00CF33A2" w:rsidP="0009545B">
                            <w:pPr>
                              <w:rPr>
                                <w:rFonts w:ascii="Arial" w:hAnsi="Arial" w:cs="Arial"/>
                                <w:sz w:val="20"/>
                                <w:szCs w:val="20"/>
                              </w:rPr>
                            </w:pPr>
                            <w:r w:rsidRPr="00752D50">
                              <w:rPr>
                                <w:rFonts w:ascii="Arial" w:hAnsi="Arial" w:cs="Arial"/>
                                <w:sz w:val="20"/>
                                <w:szCs w:val="20"/>
                              </w:rPr>
                              <w:t>Tilvik</w:t>
                            </w:r>
                          </w:p>
                        </w:tc>
                        <w:tc>
                          <w:tcPr>
                            <w:tcW w:w="950" w:type="dxa"/>
                            <w:tcBorders>
                              <w:bottom w:val="single" w:sz="4" w:space="0" w:color="auto"/>
                            </w:tcBorders>
                            <w:shd w:val="clear" w:color="auto" w:fill="auto"/>
                          </w:tcPr>
                          <w:p w14:paraId="05B8C52B" w14:textId="77777777" w:rsidR="00CF33A2" w:rsidRPr="00752D50"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32" w14:textId="77777777" w:rsidTr="006130B4">
                        <w:tc>
                          <w:tcPr>
                            <w:tcW w:w="817" w:type="dxa"/>
                            <w:shd w:val="clear" w:color="auto" w:fill="auto"/>
                          </w:tcPr>
                          <w:p w14:paraId="05B8C52D"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2E"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2F"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30" w14:textId="77777777" w:rsidR="00CF33A2" w:rsidRPr="0055776F" w:rsidRDefault="00CF33A2" w:rsidP="0009545B">
                            <w:pPr>
                              <w:rPr>
                                <w:rFonts w:ascii="Arial" w:hAnsi="Arial" w:cs="Arial"/>
                                <w:sz w:val="20"/>
                                <w:szCs w:val="20"/>
                              </w:rPr>
                            </w:pPr>
                            <w:r w:rsidRPr="0055776F">
                              <w:rPr>
                                <w:rFonts w:ascii="Arial" w:hAnsi="Arial" w:cs="Arial"/>
                                <w:sz w:val="20"/>
                                <w:szCs w:val="20"/>
                              </w:rPr>
                              <w:t>84</w:t>
                            </w:r>
                          </w:p>
                        </w:tc>
                        <w:tc>
                          <w:tcPr>
                            <w:tcW w:w="950" w:type="dxa"/>
                            <w:tcBorders>
                              <w:top w:val="single" w:sz="4" w:space="0" w:color="auto"/>
                            </w:tcBorders>
                            <w:shd w:val="clear" w:color="auto" w:fill="auto"/>
                          </w:tcPr>
                          <w:p w14:paraId="05B8C531" w14:textId="77777777" w:rsidR="00CF33A2" w:rsidRPr="0055776F" w:rsidRDefault="00CF33A2" w:rsidP="0009545B">
                            <w:pPr>
                              <w:rPr>
                                <w:rFonts w:ascii="Arial" w:hAnsi="Arial" w:cs="Arial"/>
                                <w:sz w:val="20"/>
                                <w:szCs w:val="20"/>
                              </w:rPr>
                            </w:pPr>
                            <w:r w:rsidRPr="0055776F">
                              <w:rPr>
                                <w:rFonts w:ascii="Arial" w:hAnsi="Arial" w:cs="Arial"/>
                                <w:sz w:val="20"/>
                                <w:szCs w:val="20"/>
                              </w:rPr>
                              <w:t>115</w:t>
                            </w:r>
                          </w:p>
                        </w:tc>
                      </w:tr>
                      <w:tr w:rsidR="00CF33A2" w:rsidRPr="0055776F" w14:paraId="05B8C538" w14:textId="77777777" w:rsidTr="006130B4">
                        <w:tc>
                          <w:tcPr>
                            <w:tcW w:w="817" w:type="dxa"/>
                            <w:shd w:val="clear" w:color="auto" w:fill="auto"/>
                          </w:tcPr>
                          <w:p w14:paraId="05B8C533"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34"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35"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36" w14:textId="77777777" w:rsidR="00CF33A2" w:rsidRPr="0055776F" w:rsidRDefault="00CF33A2" w:rsidP="0009545B">
                            <w:pPr>
                              <w:rPr>
                                <w:rFonts w:ascii="Arial" w:hAnsi="Arial" w:cs="Arial"/>
                                <w:sz w:val="20"/>
                                <w:szCs w:val="20"/>
                              </w:rPr>
                            </w:pPr>
                            <w:r w:rsidRPr="0055776F">
                              <w:rPr>
                                <w:rFonts w:ascii="Arial" w:hAnsi="Arial" w:cs="Arial"/>
                                <w:sz w:val="20"/>
                                <w:szCs w:val="20"/>
                              </w:rPr>
                              <w:t>50</w:t>
                            </w:r>
                          </w:p>
                        </w:tc>
                        <w:tc>
                          <w:tcPr>
                            <w:tcW w:w="950" w:type="dxa"/>
                            <w:tcBorders>
                              <w:bottom w:val="single" w:sz="4" w:space="0" w:color="auto"/>
                            </w:tcBorders>
                            <w:shd w:val="clear" w:color="auto" w:fill="auto"/>
                          </w:tcPr>
                          <w:p w14:paraId="05B8C537" w14:textId="77777777" w:rsidR="00CF33A2" w:rsidRPr="0055776F" w:rsidRDefault="00CF33A2" w:rsidP="0009545B">
                            <w:pPr>
                              <w:rPr>
                                <w:rFonts w:ascii="Arial" w:hAnsi="Arial" w:cs="Arial"/>
                                <w:sz w:val="20"/>
                                <w:szCs w:val="20"/>
                              </w:rPr>
                            </w:pPr>
                            <w:r w:rsidRPr="0055776F">
                              <w:rPr>
                                <w:rFonts w:ascii="Arial" w:hAnsi="Arial" w:cs="Arial"/>
                                <w:sz w:val="20"/>
                                <w:szCs w:val="20"/>
                              </w:rPr>
                              <w:t>148</w:t>
                            </w:r>
                          </w:p>
                        </w:tc>
                      </w:tr>
                      <w:tr w:rsidR="00CF33A2" w:rsidRPr="0055776F" w14:paraId="05B8C53E" w14:textId="77777777" w:rsidTr="006130B4">
                        <w:tc>
                          <w:tcPr>
                            <w:tcW w:w="817" w:type="dxa"/>
                            <w:shd w:val="clear" w:color="auto" w:fill="auto"/>
                          </w:tcPr>
                          <w:p w14:paraId="05B8C539"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3A"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3B"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3C" w14:textId="77777777" w:rsidR="00CF33A2" w:rsidRPr="0055776F" w:rsidRDefault="00CF33A2" w:rsidP="0009545B">
                            <w:pPr>
                              <w:rPr>
                                <w:rFonts w:ascii="Arial" w:hAnsi="Arial" w:cs="Arial"/>
                                <w:sz w:val="20"/>
                                <w:szCs w:val="20"/>
                              </w:rPr>
                            </w:pPr>
                          </w:p>
                        </w:tc>
                        <w:tc>
                          <w:tcPr>
                            <w:tcW w:w="950" w:type="dxa"/>
                            <w:tcBorders>
                              <w:top w:val="single" w:sz="4" w:space="0" w:color="auto"/>
                            </w:tcBorders>
                            <w:shd w:val="clear" w:color="auto" w:fill="auto"/>
                          </w:tcPr>
                          <w:p w14:paraId="05B8C53D" w14:textId="77777777" w:rsidR="00CF33A2" w:rsidRPr="0055776F" w:rsidRDefault="00CF33A2" w:rsidP="0009545B">
                            <w:pPr>
                              <w:rPr>
                                <w:rFonts w:ascii="Arial" w:hAnsi="Arial" w:cs="Arial"/>
                                <w:sz w:val="20"/>
                                <w:szCs w:val="20"/>
                              </w:rPr>
                            </w:pPr>
                          </w:p>
                        </w:tc>
                      </w:tr>
                    </w:tbl>
                    <w:p w14:paraId="05B8C53F" w14:textId="77777777" w:rsidR="00CF33A2" w:rsidRPr="00A33DBA" w:rsidRDefault="00CF33A2" w:rsidP="007B5D76">
                      <w:pPr>
                        <w:rPr>
                          <w:rFonts w:ascii="Arial" w:hAnsi="Arial" w:cs="Arial"/>
                          <w:sz w:val="20"/>
                          <w:szCs w:val="20"/>
                        </w:rPr>
                      </w:pPr>
                    </w:p>
                  </w:txbxContent>
                </v:textbox>
              </v:shape>
            </w:pict>
          </mc:Fallback>
        </mc:AlternateContent>
      </w:r>
      <w:r w:rsidRPr="006774D3">
        <w:rPr>
          <w:noProof/>
          <w:lang w:eastAsia="en-GB"/>
        </w:rPr>
        <mc:AlternateContent>
          <mc:Choice Requires="wps">
            <w:drawing>
              <wp:anchor distT="0" distB="0" distL="114300" distR="114300" simplePos="0" relativeHeight="251658240" behindDoc="0" locked="0" layoutInCell="1" allowOverlap="1" wp14:anchorId="05B8C4C2" wp14:editId="05B8C4C3">
                <wp:simplePos x="0" y="0"/>
                <wp:positionH relativeFrom="column">
                  <wp:posOffset>-293370</wp:posOffset>
                </wp:positionH>
                <wp:positionV relativeFrom="paragraph">
                  <wp:posOffset>93345</wp:posOffset>
                </wp:positionV>
                <wp:extent cx="335915" cy="2037715"/>
                <wp:effectExtent l="1905" t="7620" r="508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037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40" w14:textId="77777777" w:rsidR="00CF33A2" w:rsidRPr="00A33DBA" w:rsidRDefault="00CF33A2" w:rsidP="007B5D76">
                            <w:pPr>
                              <w:rPr>
                                <w:rFonts w:ascii="Arial" w:hAnsi="Arial" w:cs="Arial"/>
                                <w:sz w:val="20"/>
                                <w:szCs w:val="20"/>
                              </w:rPr>
                            </w:pPr>
                            <w:r>
                              <w:rPr>
                                <w:rFonts w:ascii="Arial" w:hAnsi="Arial" w:cs="Arial"/>
                                <w:sz w:val="20"/>
                                <w:szCs w:val="20"/>
                              </w:rPr>
                              <w:t>Líkur á lifun án endurkomu æxlis</w:t>
                            </w:r>
                          </w:p>
                          <w:p w14:paraId="05B8C541" w14:textId="77777777" w:rsidR="00CF33A2" w:rsidRPr="00A33DBA" w:rsidRDefault="00CF33A2" w:rsidP="007B5D76">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2" id="_x0000_s1033" type="#_x0000_t202" style="position:absolute;margin-left:-23.1pt;margin-top:7.35pt;width:26.45pt;height:1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" stroked="f">
                <v:fill opacity="0"/>
                <v:textbox style="layout-flow:vertical;mso-layout-flow-alt:bottom-to-top">
                  <w:txbxContent>
                    <w:p w14:paraId="05B8C540" w14:textId="77777777" w:rsidR="00CF33A2" w:rsidRPr="00A33DBA" w:rsidRDefault="00CF33A2" w:rsidP="007B5D76">
                      <w:pPr>
                        <w:rPr>
                          <w:rFonts w:ascii="Arial" w:hAnsi="Arial" w:cs="Arial"/>
                          <w:sz w:val="20"/>
                          <w:szCs w:val="20"/>
                        </w:rPr>
                      </w:pPr>
                      <w:r>
                        <w:rPr>
                          <w:rFonts w:ascii="Arial" w:hAnsi="Arial" w:cs="Arial"/>
                          <w:sz w:val="20"/>
                          <w:szCs w:val="20"/>
                        </w:rPr>
                        <w:t>Líkur á lifun án endurkomu æxlis</w:t>
                      </w:r>
                    </w:p>
                    <w:p w14:paraId="05B8C541" w14:textId="77777777" w:rsidR="00CF33A2" w:rsidRPr="00A33DBA" w:rsidRDefault="00CF33A2" w:rsidP="007B5D76">
                      <w:pPr>
                        <w:rPr>
                          <w:rFonts w:ascii="Arial" w:hAnsi="Arial" w:cs="Arial"/>
                          <w:sz w:val="20"/>
                          <w:szCs w:val="20"/>
                        </w:rPr>
                      </w:pPr>
                    </w:p>
                  </w:txbxContent>
                </v:textbox>
              </v:shape>
            </w:pict>
          </mc:Fallback>
        </mc:AlternateContent>
      </w:r>
      <w:r w:rsidRPr="006774D3">
        <w:rPr>
          <w:noProof/>
          <w:lang w:eastAsia="en-GB"/>
        </w:rPr>
        <w:drawing>
          <wp:inline distT="0" distB="0" distL="0" distR="0" wp14:anchorId="05B8C4C4" wp14:editId="05B8C4C5">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05B8BAC8" w14:textId="77777777" w:rsidR="007B5D76" w:rsidRPr="006774D3" w:rsidRDefault="00EA2A58" w:rsidP="00F77C66">
      <w:pPr>
        <w:rPr>
          <w:rFonts w:eastAsia="MS Mincho"/>
          <w:sz w:val="22"/>
          <w:szCs w:val="22"/>
        </w:rPr>
      </w:pPr>
      <w:r w:rsidRPr="006774D3">
        <w:rPr>
          <w:rFonts w:eastAsia="MS Mincho"/>
          <w:noProof/>
          <w:sz w:val="22"/>
          <w:szCs w:val="22"/>
          <w:lang w:eastAsia="en-GB"/>
        </w:rPr>
        <mc:AlternateContent>
          <mc:Choice Requires="wps">
            <w:drawing>
              <wp:anchor distT="0" distB="0" distL="114300" distR="114300" simplePos="0" relativeHeight="251663360" behindDoc="0" locked="0" layoutInCell="1" allowOverlap="1" wp14:anchorId="05B8C4C6" wp14:editId="05B8C4C7">
                <wp:simplePos x="0" y="0"/>
                <wp:positionH relativeFrom="column">
                  <wp:posOffset>2282190</wp:posOffset>
                </wp:positionH>
                <wp:positionV relativeFrom="paragraph">
                  <wp:posOffset>19050</wp:posOffset>
                </wp:positionV>
                <wp:extent cx="1619250" cy="276225"/>
                <wp:effectExtent l="5715" t="0" r="381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42" w14:textId="77777777" w:rsidR="00CF33A2" w:rsidRPr="00A33DBA" w:rsidRDefault="00CF33A2" w:rsidP="007B5D76">
                            <w:pPr>
                              <w:rPr>
                                <w:rFonts w:ascii="Arial" w:hAnsi="Arial" w:cs="Arial"/>
                                <w:sz w:val="20"/>
                                <w:szCs w:val="20"/>
                              </w:rPr>
                            </w:pPr>
                            <w:r>
                              <w:rPr>
                                <w:rFonts w:ascii="Arial" w:hAnsi="Arial" w:cs="Arial"/>
                                <w:sz w:val="20"/>
                                <w:szCs w:val="20"/>
                                <w:lang w:val="de-DE"/>
                              </w:rPr>
                              <w:t>Lifunartími í mánuðum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6" id="_x0000_s1034" type="#_x0000_t202" style="position:absolute;margin-left:179.7pt;margin-top:1.5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" stroked="f">
                <v:fill opacity="0"/>
                <v:textbox>
                  <w:txbxContent>
                    <w:p w14:paraId="05B8C542" w14:textId="77777777" w:rsidR="00CF33A2" w:rsidRPr="00A33DBA" w:rsidRDefault="00CF33A2" w:rsidP="007B5D76">
                      <w:pPr>
                        <w:rPr>
                          <w:rFonts w:ascii="Arial" w:hAnsi="Arial" w:cs="Arial"/>
                          <w:sz w:val="20"/>
                          <w:szCs w:val="20"/>
                        </w:rPr>
                      </w:pPr>
                      <w:r>
                        <w:rPr>
                          <w:rFonts w:ascii="Arial" w:hAnsi="Arial" w:cs="Arial"/>
                          <w:sz w:val="20"/>
                          <w:szCs w:val="20"/>
                          <w:lang w:val="de-DE"/>
                        </w:rPr>
                        <w:t>Lifunartími í mánuðum</w:t>
                      </w:r>
                    </w:p>
                  </w:txbxContent>
                </v:textbox>
              </v:shape>
            </w:pict>
          </mc:Fallback>
        </mc:AlternateContent>
      </w:r>
    </w:p>
    <w:p w14:paraId="05B8BAC9" w14:textId="77777777" w:rsidR="007B5D76" w:rsidRPr="006774D3" w:rsidRDefault="007B5D76" w:rsidP="00F77C66"/>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7B5D76" w:rsidRPr="006774D3" w14:paraId="05B8BACB" w14:textId="77777777" w:rsidTr="00822A75">
        <w:tc>
          <w:tcPr>
            <w:tcW w:w="10599" w:type="dxa"/>
            <w:gridSpan w:val="16"/>
            <w:shd w:val="clear" w:color="auto" w:fill="auto"/>
          </w:tcPr>
          <w:p w14:paraId="05B8BACA" w14:textId="77777777" w:rsidR="007B5D76" w:rsidRPr="006774D3" w:rsidRDefault="007B5D76" w:rsidP="00F77C66">
            <w:pPr>
              <w:ind w:left="-27"/>
              <w:rPr>
                <w:rFonts w:ascii="Arial" w:hAnsi="Arial" w:cs="Arial"/>
                <w:sz w:val="16"/>
                <w:szCs w:val="16"/>
              </w:rPr>
            </w:pPr>
            <w:r w:rsidRPr="006774D3">
              <w:rPr>
                <w:rFonts w:ascii="Arial" w:hAnsi="Arial" w:cs="Arial"/>
                <w:sz w:val="20"/>
                <w:szCs w:val="20"/>
              </w:rPr>
              <w:t>Í áhættu : Tilvik</w:t>
            </w:r>
          </w:p>
        </w:tc>
      </w:tr>
      <w:tr w:rsidR="007B5D76" w:rsidRPr="006774D3" w14:paraId="05B8BADC" w14:textId="77777777" w:rsidTr="00822A75">
        <w:tc>
          <w:tcPr>
            <w:tcW w:w="450" w:type="dxa"/>
            <w:shd w:val="clear" w:color="auto" w:fill="auto"/>
          </w:tcPr>
          <w:p w14:paraId="05B8BACC" w14:textId="77777777" w:rsidR="007B5D76" w:rsidRPr="006774D3" w:rsidRDefault="007B5D76" w:rsidP="00F77C66">
            <w:pPr>
              <w:rPr>
                <w:sz w:val="20"/>
                <w:szCs w:val="20"/>
              </w:rPr>
            </w:pPr>
            <w:r w:rsidRPr="006774D3">
              <w:rPr>
                <w:sz w:val="20"/>
                <w:szCs w:val="20"/>
              </w:rPr>
              <w:t>(1)</w:t>
            </w:r>
          </w:p>
        </w:tc>
        <w:tc>
          <w:tcPr>
            <w:tcW w:w="646" w:type="dxa"/>
            <w:shd w:val="clear" w:color="auto" w:fill="auto"/>
          </w:tcPr>
          <w:p w14:paraId="05B8BACD" w14:textId="77777777" w:rsidR="007B5D76" w:rsidRPr="006774D3" w:rsidRDefault="007B5D76" w:rsidP="00F77C66">
            <w:pPr>
              <w:ind w:left="-27"/>
              <w:rPr>
                <w:sz w:val="20"/>
                <w:szCs w:val="20"/>
              </w:rPr>
            </w:pPr>
            <w:r w:rsidRPr="006774D3">
              <w:rPr>
                <w:sz w:val="20"/>
                <w:szCs w:val="20"/>
              </w:rPr>
              <w:t>199:0</w:t>
            </w:r>
          </w:p>
        </w:tc>
        <w:tc>
          <w:tcPr>
            <w:tcW w:w="645" w:type="dxa"/>
            <w:shd w:val="clear" w:color="auto" w:fill="auto"/>
          </w:tcPr>
          <w:p w14:paraId="05B8BACE" w14:textId="77777777" w:rsidR="007B5D76" w:rsidRPr="006774D3" w:rsidRDefault="007B5D76" w:rsidP="00F77C66">
            <w:pPr>
              <w:ind w:left="-27"/>
              <w:rPr>
                <w:sz w:val="20"/>
                <w:szCs w:val="20"/>
              </w:rPr>
            </w:pPr>
            <w:r w:rsidRPr="006774D3">
              <w:rPr>
                <w:sz w:val="20"/>
                <w:szCs w:val="20"/>
              </w:rPr>
              <w:t>182:8</w:t>
            </w:r>
          </w:p>
        </w:tc>
        <w:tc>
          <w:tcPr>
            <w:tcW w:w="745" w:type="dxa"/>
            <w:shd w:val="clear" w:color="auto" w:fill="auto"/>
          </w:tcPr>
          <w:p w14:paraId="05B8BACF" w14:textId="77777777" w:rsidR="007B5D76" w:rsidRPr="006774D3" w:rsidRDefault="007B5D76" w:rsidP="00F77C66">
            <w:pPr>
              <w:ind w:left="-27"/>
              <w:rPr>
                <w:sz w:val="20"/>
                <w:szCs w:val="20"/>
              </w:rPr>
            </w:pPr>
            <w:r w:rsidRPr="006774D3">
              <w:rPr>
                <w:sz w:val="20"/>
                <w:szCs w:val="20"/>
              </w:rPr>
              <w:t>177:12</w:t>
            </w:r>
          </w:p>
        </w:tc>
        <w:tc>
          <w:tcPr>
            <w:tcW w:w="745" w:type="dxa"/>
            <w:shd w:val="clear" w:color="auto" w:fill="auto"/>
          </w:tcPr>
          <w:p w14:paraId="05B8BAD0" w14:textId="77777777" w:rsidR="007B5D76" w:rsidRPr="006774D3" w:rsidRDefault="007B5D76" w:rsidP="00F77C66">
            <w:pPr>
              <w:ind w:left="-27"/>
              <w:rPr>
                <w:sz w:val="20"/>
                <w:szCs w:val="20"/>
              </w:rPr>
            </w:pPr>
            <w:r w:rsidRPr="006774D3">
              <w:rPr>
                <w:sz w:val="20"/>
                <w:szCs w:val="20"/>
              </w:rPr>
              <w:t>163:25</w:t>
            </w:r>
          </w:p>
        </w:tc>
        <w:tc>
          <w:tcPr>
            <w:tcW w:w="745" w:type="dxa"/>
            <w:shd w:val="clear" w:color="auto" w:fill="auto"/>
          </w:tcPr>
          <w:p w14:paraId="05B8BAD1" w14:textId="77777777" w:rsidR="007B5D76" w:rsidRPr="006774D3" w:rsidRDefault="007B5D76" w:rsidP="00F77C66">
            <w:pPr>
              <w:ind w:left="-27"/>
              <w:rPr>
                <w:sz w:val="20"/>
                <w:szCs w:val="20"/>
              </w:rPr>
            </w:pPr>
            <w:r w:rsidRPr="006774D3">
              <w:rPr>
                <w:sz w:val="20"/>
                <w:szCs w:val="20"/>
              </w:rPr>
              <w:t>137:46</w:t>
            </w:r>
          </w:p>
        </w:tc>
        <w:tc>
          <w:tcPr>
            <w:tcW w:w="752" w:type="dxa"/>
            <w:shd w:val="clear" w:color="auto" w:fill="auto"/>
          </w:tcPr>
          <w:p w14:paraId="05B8BAD2" w14:textId="77777777" w:rsidR="007B5D76" w:rsidRPr="006774D3" w:rsidRDefault="007B5D76" w:rsidP="00F77C66">
            <w:pPr>
              <w:ind w:left="-27"/>
              <w:rPr>
                <w:sz w:val="20"/>
                <w:szCs w:val="20"/>
              </w:rPr>
            </w:pPr>
            <w:r w:rsidRPr="006774D3">
              <w:rPr>
                <w:sz w:val="20"/>
                <w:szCs w:val="20"/>
              </w:rPr>
              <w:t>105:65</w:t>
            </w:r>
          </w:p>
        </w:tc>
        <w:tc>
          <w:tcPr>
            <w:tcW w:w="745" w:type="dxa"/>
            <w:shd w:val="clear" w:color="auto" w:fill="auto"/>
          </w:tcPr>
          <w:p w14:paraId="05B8BAD3" w14:textId="77777777" w:rsidR="007B5D76" w:rsidRPr="006774D3" w:rsidRDefault="007B5D76" w:rsidP="00F77C66">
            <w:pPr>
              <w:ind w:left="-27"/>
              <w:rPr>
                <w:sz w:val="20"/>
                <w:szCs w:val="20"/>
              </w:rPr>
            </w:pPr>
            <w:r w:rsidRPr="006774D3">
              <w:rPr>
                <w:sz w:val="20"/>
                <w:szCs w:val="20"/>
              </w:rPr>
              <w:t>88:72</w:t>
            </w:r>
          </w:p>
        </w:tc>
        <w:tc>
          <w:tcPr>
            <w:tcW w:w="745" w:type="dxa"/>
            <w:shd w:val="clear" w:color="auto" w:fill="auto"/>
          </w:tcPr>
          <w:p w14:paraId="05B8BAD4" w14:textId="77777777" w:rsidR="007B5D76" w:rsidRPr="006774D3" w:rsidRDefault="007B5D76" w:rsidP="00F77C66">
            <w:pPr>
              <w:ind w:left="-27"/>
              <w:rPr>
                <w:sz w:val="20"/>
                <w:szCs w:val="20"/>
              </w:rPr>
            </w:pPr>
            <w:r w:rsidRPr="006774D3">
              <w:rPr>
                <w:sz w:val="20"/>
                <w:szCs w:val="20"/>
              </w:rPr>
              <w:t>61:77</w:t>
            </w:r>
          </w:p>
        </w:tc>
        <w:tc>
          <w:tcPr>
            <w:tcW w:w="652" w:type="dxa"/>
            <w:shd w:val="clear" w:color="auto" w:fill="auto"/>
          </w:tcPr>
          <w:p w14:paraId="05B8BAD5" w14:textId="77777777" w:rsidR="007B5D76" w:rsidRPr="006774D3" w:rsidRDefault="007B5D76" w:rsidP="00F77C66">
            <w:pPr>
              <w:ind w:left="-27"/>
              <w:rPr>
                <w:sz w:val="20"/>
                <w:szCs w:val="20"/>
              </w:rPr>
            </w:pPr>
            <w:r w:rsidRPr="006774D3">
              <w:rPr>
                <w:sz w:val="20"/>
                <w:szCs w:val="20"/>
              </w:rPr>
              <w:t>49:81</w:t>
            </w:r>
          </w:p>
        </w:tc>
        <w:tc>
          <w:tcPr>
            <w:tcW w:w="652" w:type="dxa"/>
            <w:shd w:val="clear" w:color="auto" w:fill="auto"/>
          </w:tcPr>
          <w:p w14:paraId="05B8BAD6" w14:textId="77777777" w:rsidR="007B5D76" w:rsidRPr="006774D3" w:rsidRDefault="007B5D76" w:rsidP="00F77C66">
            <w:pPr>
              <w:ind w:left="-27"/>
              <w:rPr>
                <w:sz w:val="20"/>
                <w:szCs w:val="20"/>
              </w:rPr>
            </w:pPr>
            <w:r w:rsidRPr="006774D3">
              <w:rPr>
                <w:sz w:val="20"/>
                <w:szCs w:val="20"/>
              </w:rPr>
              <w:t>36:83</w:t>
            </w:r>
          </w:p>
        </w:tc>
        <w:tc>
          <w:tcPr>
            <w:tcW w:w="649" w:type="dxa"/>
            <w:shd w:val="clear" w:color="auto" w:fill="auto"/>
          </w:tcPr>
          <w:p w14:paraId="05B8BAD7" w14:textId="77777777" w:rsidR="007B5D76" w:rsidRPr="006774D3" w:rsidRDefault="007B5D76" w:rsidP="00F77C66">
            <w:pPr>
              <w:ind w:left="-27"/>
              <w:rPr>
                <w:sz w:val="20"/>
                <w:szCs w:val="20"/>
              </w:rPr>
            </w:pPr>
            <w:r w:rsidRPr="006774D3">
              <w:rPr>
                <w:sz w:val="20"/>
                <w:szCs w:val="20"/>
              </w:rPr>
              <w:t>27:84</w:t>
            </w:r>
          </w:p>
        </w:tc>
        <w:tc>
          <w:tcPr>
            <w:tcW w:w="660" w:type="dxa"/>
            <w:shd w:val="clear" w:color="auto" w:fill="auto"/>
          </w:tcPr>
          <w:p w14:paraId="05B8BAD8" w14:textId="77777777" w:rsidR="007B5D76" w:rsidRPr="006774D3" w:rsidRDefault="007B5D76" w:rsidP="00F77C66">
            <w:pPr>
              <w:ind w:left="-27"/>
              <w:rPr>
                <w:sz w:val="20"/>
                <w:szCs w:val="20"/>
              </w:rPr>
            </w:pPr>
            <w:r w:rsidRPr="006774D3">
              <w:rPr>
                <w:sz w:val="20"/>
                <w:szCs w:val="20"/>
              </w:rPr>
              <w:t>14:84</w:t>
            </w:r>
          </w:p>
        </w:tc>
        <w:tc>
          <w:tcPr>
            <w:tcW w:w="649" w:type="dxa"/>
            <w:shd w:val="clear" w:color="auto" w:fill="auto"/>
          </w:tcPr>
          <w:p w14:paraId="05B8BAD9" w14:textId="77777777" w:rsidR="007B5D76" w:rsidRPr="006774D3" w:rsidRDefault="007B5D76" w:rsidP="00F77C66">
            <w:pPr>
              <w:ind w:left="-27"/>
              <w:rPr>
                <w:sz w:val="20"/>
                <w:szCs w:val="20"/>
              </w:rPr>
            </w:pPr>
            <w:r w:rsidRPr="006774D3">
              <w:rPr>
                <w:sz w:val="20"/>
                <w:szCs w:val="20"/>
              </w:rPr>
              <w:t>10:84</w:t>
            </w:r>
          </w:p>
        </w:tc>
        <w:tc>
          <w:tcPr>
            <w:tcW w:w="564" w:type="dxa"/>
            <w:shd w:val="clear" w:color="auto" w:fill="auto"/>
          </w:tcPr>
          <w:p w14:paraId="05B8BADA" w14:textId="77777777" w:rsidR="007B5D76" w:rsidRPr="006774D3" w:rsidRDefault="007B5D76" w:rsidP="00F77C66">
            <w:pPr>
              <w:ind w:left="-27"/>
              <w:rPr>
                <w:sz w:val="20"/>
                <w:szCs w:val="20"/>
              </w:rPr>
            </w:pPr>
            <w:r w:rsidRPr="006774D3">
              <w:rPr>
                <w:sz w:val="20"/>
                <w:szCs w:val="20"/>
              </w:rPr>
              <w:t>2:84</w:t>
            </w:r>
          </w:p>
        </w:tc>
        <w:tc>
          <w:tcPr>
            <w:tcW w:w="555" w:type="dxa"/>
            <w:shd w:val="clear" w:color="auto" w:fill="auto"/>
          </w:tcPr>
          <w:p w14:paraId="05B8BADB" w14:textId="77777777" w:rsidR="007B5D76" w:rsidRPr="006774D3" w:rsidRDefault="007B5D76" w:rsidP="00F77C66">
            <w:pPr>
              <w:ind w:left="-27"/>
              <w:rPr>
                <w:sz w:val="20"/>
                <w:szCs w:val="20"/>
              </w:rPr>
            </w:pPr>
            <w:r w:rsidRPr="006774D3">
              <w:rPr>
                <w:sz w:val="20"/>
                <w:szCs w:val="20"/>
              </w:rPr>
              <w:t>0:84</w:t>
            </w:r>
          </w:p>
        </w:tc>
      </w:tr>
      <w:tr w:rsidR="007B5D76" w:rsidRPr="006774D3" w14:paraId="05B8BAED" w14:textId="77777777" w:rsidTr="00822A75">
        <w:tc>
          <w:tcPr>
            <w:tcW w:w="450" w:type="dxa"/>
            <w:shd w:val="clear" w:color="auto" w:fill="auto"/>
          </w:tcPr>
          <w:p w14:paraId="05B8BADD" w14:textId="77777777" w:rsidR="007B5D76" w:rsidRPr="006774D3" w:rsidRDefault="007B5D76" w:rsidP="00F77C66">
            <w:pPr>
              <w:rPr>
                <w:sz w:val="20"/>
                <w:szCs w:val="20"/>
              </w:rPr>
            </w:pPr>
            <w:r w:rsidRPr="006774D3">
              <w:rPr>
                <w:sz w:val="20"/>
                <w:szCs w:val="20"/>
              </w:rPr>
              <w:t>(2)</w:t>
            </w:r>
          </w:p>
        </w:tc>
        <w:tc>
          <w:tcPr>
            <w:tcW w:w="646" w:type="dxa"/>
            <w:shd w:val="clear" w:color="auto" w:fill="auto"/>
          </w:tcPr>
          <w:p w14:paraId="05B8BADE" w14:textId="77777777" w:rsidR="007B5D76" w:rsidRPr="006774D3" w:rsidRDefault="007B5D76" w:rsidP="00F77C66">
            <w:pPr>
              <w:ind w:left="-27"/>
              <w:rPr>
                <w:sz w:val="20"/>
                <w:szCs w:val="20"/>
              </w:rPr>
            </w:pPr>
            <w:r w:rsidRPr="006774D3">
              <w:rPr>
                <w:sz w:val="20"/>
                <w:szCs w:val="20"/>
              </w:rPr>
              <w:t>198:0</w:t>
            </w:r>
          </w:p>
        </w:tc>
        <w:tc>
          <w:tcPr>
            <w:tcW w:w="645" w:type="dxa"/>
            <w:shd w:val="clear" w:color="auto" w:fill="auto"/>
          </w:tcPr>
          <w:p w14:paraId="05B8BADF" w14:textId="77777777" w:rsidR="007B5D76" w:rsidRPr="006774D3" w:rsidRDefault="007B5D76" w:rsidP="00F77C66">
            <w:pPr>
              <w:ind w:left="-27"/>
              <w:rPr>
                <w:sz w:val="20"/>
                <w:szCs w:val="20"/>
              </w:rPr>
            </w:pPr>
            <w:r w:rsidRPr="006774D3">
              <w:rPr>
                <w:sz w:val="20"/>
                <w:szCs w:val="20"/>
              </w:rPr>
              <w:t>189:5</w:t>
            </w:r>
          </w:p>
        </w:tc>
        <w:tc>
          <w:tcPr>
            <w:tcW w:w="745" w:type="dxa"/>
            <w:shd w:val="clear" w:color="auto" w:fill="auto"/>
          </w:tcPr>
          <w:p w14:paraId="05B8BAE0" w14:textId="77777777" w:rsidR="007B5D76" w:rsidRPr="006774D3" w:rsidRDefault="007B5D76" w:rsidP="00F77C66">
            <w:pPr>
              <w:ind w:left="-27"/>
              <w:rPr>
                <w:sz w:val="20"/>
                <w:szCs w:val="20"/>
              </w:rPr>
            </w:pPr>
            <w:r w:rsidRPr="006774D3">
              <w:rPr>
                <w:sz w:val="20"/>
                <w:szCs w:val="20"/>
              </w:rPr>
              <w:t>184:8</w:t>
            </w:r>
          </w:p>
        </w:tc>
        <w:tc>
          <w:tcPr>
            <w:tcW w:w="745" w:type="dxa"/>
            <w:shd w:val="clear" w:color="auto" w:fill="auto"/>
          </w:tcPr>
          <w:p w14:paraId="05B8BAE1" w14:textId="77777777" w:rsidR="007B5D76" w:rsidRPr="006774D3" w:rsidRDefault="007B5D76" w:rsidP="00F77C66">
            <w:pPr>
              <w:ind w:left="-27"/>
              <w:rPr>
                <w:sz w:val="20"/>
                <w:szCs w:val="20"/>
              </w:rPr>
            </w:pPr>
            <w:r w:rsidRPr="006774D3">
              <w:rPr>
                <w:sz w:val="20"/>
                <w:szCs w:val="20"/>
              </w:rPr>
              <w:t>181:11</w:t>
            </w:r>
          </w:p>
        </w:tc>
        <w:tc>
          <w:tcPr>
            <w:tcW w:w="745" w:type="dxa"/>
            <w:shd w:val="clear" w:color="auto" w:fill="auto"/>
          </w:tcPr>
          <w:p w14:paraId="05B8BAE2" w14:textId="77777777" w:rsidR="007B5D76" w:rsidRPr="006774D3" w:rsidRDefault="007B5D76" w:rsidP="00F77C66">
            <w:pPr>
              <w:ind w:left="-27"/>
              <w:rPr>
                <w:sz w:val="20"/>
                <w:szCs w:val="20"/>
              </w:rPr>
            </w:pPr>
            <w:r w:rsidRPr="006774D3">
              <w:rPr>
                <w:sz w:val="20"/>
                <w:szCs w:val="20"/>
              </w:rPr>
              <w:t>173:18</w:t>
            </w:r>
          </w:p>
        </w:tc>
        <w:tc>
          <w:tcPr>
            <w:tcW w:w="752" w:type="dxa"/>
            <w:shd w:val="clear" w:color="auto" w:fill="auto"/>
          </w:tcPr>
          <w:p w14:paraId="05B8BAE3" w14:textId="77777777" w:rsidR="007B5D76" w:rsidRPr="006774D3" w:rsidRDefault="007B5D76" w:rsidP="00F77C66">
            <w:pPr>
              <w:ind w:left="-27"/>
              <w:rPr>
                <w:sz w:val="20"/>
                <w:szCs w:val="20"/>
              </w:rPr>
            </w:pPr>
            <w:r w:rsidRPr="006774D3">
              <w:rPr>
                <w:sz w:val="20"/>
                <w:szCs w:val="20"/>
              </w:rPr>
              <w:t>152:22</w:t>
            </w:r>
          </w:p>
        </w:tc>
        <w:tc>
          <w:tcPr>
            <w:tcW w:w="745" w:type="dxa"/>
            <w:shd w:val="clear" w:color="auto" w:fill="auto"/>
          </w:tcPr>
          <w:p w14:paraId="05B8BAE4" w14:textId="77777777" w:rsidR="007B5D76" w:rsidRPr="006774D3" w:rsidRDefault="007B5D76" w:rsidP="00F77C66">
            <w:pPr>
              <w:ind w:left="-27"/>
              <w:rPr>
                <w:sz w:val="20"/>
                <w:szCs w:val="20"/>
              </w:rPr>
            </w:pPr>
            <w:r w:rsidRPr="006774D3">
              <w:rPr>
                <w:sz w:val="20"/>
                <w:szCs w:val="20"/>
              </w:rPr>
              <w:t>133:25</w:t>
            </w:r>
          </w:p>
        </w:tc>
        <w:tc>
          <w:tcPr>
            <w:tcW w:w="745" w:type="dxa"/>
            <w:shd w:val="clear" w:color="auto" w:fill="auto"/>
          </w:tcPr>
          <w:p w14:paraId="05B8BAE5" w14:textId="77777777" w:rsidR="007B5D76" w:rsidRPr="006774D3" w:rsidRDefault="007B5D76" w:rsidP="00F77C66">
            <w:pPr>
              <w:ind w:left="-27"/>
              <w:rPr>
                <w:sz w:val="20"/>
                <w:szCs w:val="20"/>
              </w:rPr>
            </w:pPr>
            <w:r w:rsidRPr="006774D3">
              <w:rPr>
                <w:sz w:val="20"/>
                <w:szCs w:val="20"/>
              </w:rPr>
              <w:t>102:29</w:t>
            </w:r>
          </w:p>
        </w:tc>
        <w:tc>
          <w:tcPr>
            <w:tcW w:w="652" w:type="dxa"/>
            <w:shd w:val="clear" w:color="auto" w:fill="auto"/>
          </w:tcPr>
          <w:p w14:paraId="05B8BAE6" w14:textId="77777777" w:rsidR="007B5D76" w:rsidRPr="006774D3" w:rsidRDefault="007B5D76" w:rsidP="00F77C66">
            <w:pPr>
              <w:ind w:left="-27"/>
              <w:rPr>
                <w:sz w:val="20"/>
                <w:szCs w:val="20"/>
              </w:rPr>
            </w:pPr>
            <w:r w:rsidRPr="006774D3">
              <w:rPr>
                <w:sz w:val="20"/>
                <w:szCs w:val="20"/>
              </w:rPr>
              <w:t>82:35</w:t>
            </w:r>
          </w:p>
        </w:tc>
        <w:tc>
          <w:tcPr>
            <w:tcW w:w="652" w:type="dxa"/>
            <w:shd w:val="clear" w:color="auto" w:fill="auto"/>
          </w:tcPr>
          <w:p w14:paraId="05B8BAE7" w14:textId="77777777" w:rsidR="007B5D76" w:rsidRPr="006774D3" w:rsidRDefault="007B5D76" w:rsidP="00F77C66">
            <w:pPr>
              <w:ind w:left="-27"/>
              <w:rPr>
                <w:sz w:val="20"/>
                <w:szCs w:val="20"/>
              </w:rPr>
            </w:pPr>
            <w:r w:rsidRPr="006774D3">
              <w:rPr>
                <w:sz w:val="20"/>
                <w:szCs w:val="20"/>
              </w:rPr>
              <w:t>54:46</w:t>
            </w:r>
          </w:p>
        </w:tc>
        <w:tc>
          <w:tcPr>
            <w:tcW w:w="649" w:type="dxa"/>
            <w:shd w:val="clear" w:color="auto" w:fill="auto"/>
          </w:tcPr>
          <w:p w14:paraId="05B8BAE8" w14:textId="77777777" w:rsidR="007B5D76" w:rsidRPr="006774D3" w:rsidRDefault="007B5D76" w:rsidP="00F77C66">
            <w:pPr>
              <w:ind w:left="-27"/>
              <w:rPr>
                <w:sz w:val="20"/>
                <w:szCs w:val="20"/>
              </w:rPr>
            </w:pPr>
            <w:r w:rsidRPr="006774D3">
              <w:rPr>
                <w:sz w:val="20"/>
                <w:szCs w:val="20"/>
              </w:rPr>
              <w:t>39:47</w:t>
            </w:r>
          </w:p>
        </w:tc>
        <w:tc>
          <w:tcPr>
            <w:tcW w:w="660" w:type="dxa"/>
            <w:shd w:val="clear" w:color="auto" w:fill="auto"/>
          </w:tcPr>
          <w:p w14:paraId="05B8BAE9" w14:textId="77777777" w:rsidR="007B5D76" w:rsidRPr="006774D3" w:rsidRDefault="007B5D76" w:rsidP="00F77C66">
            <w:pPr>
              <w:ind w:left="-27"/>
              <w:rPr>
                <w:sz w:val="20"/>
                <w:szCs w:val="20"/>
              </w:rPr>
            </w:pPr>
            <w:r w:rsidRPr="006774D3">
              <w:rPr>
                <w:sz w:val="20"/>
                <w:szCs w:val="20"/>
              </w:rPr>
              <w:t>21:49</w:t>
            </w:r>
          </w:p>
        </w:tc>
        <w:tc>
          <w:tcPr>
            <w:tcW w:w="649" w:type="dxa"/>
            <w:shd w:val="clear" w:color="auto" w:fill="auto"/>
          </w:tcPr>
          <w:p w14:paraId="05B8BAEA" w14:textId="77777777" w:rsidR="007B5D76" w:rsidRPr="006774D3" w:rsidRDefault="007B5D76" w:rsidP="00F77C66">
            <w:pPr>
              <w:ind w:left="-27"/>
              <w:rPr>
                <w:sz w:val="20"/>
                <w:szCs w:val="20"/>
              </w:rPr>
            </w:pPr>
            <w:r w:rsidRPr="006774D3">
              <w:rPr>
                <w:sz w:val="20"/>
                <w:szCs w:val="20"/>
              </w:rPr>
              <w:t>8:50</w:t>
            </w:r>
          </w:p>
        </w:tc>
        <w:tc>
          <w:tcPr>
            <w:tcW w:w="564" w:type="dxa"/>
            <w:shd w:val="clear" w:color="auto" w:fill="auto"/>
          </w:tcPr>
          <w:p w14:paraId="05B8BAEB" w14:textId="77777777" w:rsidR="007B5D76" w:rsidRPr="006774D3" w:rsidRDefault="007B5D76" w:rsidP="00F77C66">
            <w:pPr>
              <w:ind w:left="-27"/>
              <w:rPr>
                <w:sz w:val="20"/>
                <w:szCs w:val="20"/>
              </w:rPr>
            </w:pPr>
            <w:r w:rsidRPr="006774D3">
              <w:rPr>
                <w:sz w:val="20"/>
                <w:szCs w:val="20"/>
              </w:rPr>
              <w:t>0:50</w:t>
            </w:r>
          </w:p>
        </w:tc>
        <w:tc>
          <w:tcPr>
            <w:tcW w:w="555" w:type="dxa"/>
            <w:shd w:val="clear" w:color="auto" w:fill="auto"/>
          </w:tcPr>
          <w:p w14:paraId="05B8BAEC" w14:textId="77777777" w:rsidR="007B5D76" w:rsidRPr="006774D3" w:rsidRDefault="007B5D76" w:rsidP="00F77C66">
            <w:pPr>
              <w:ind w:left="-27"/>
              <w:rPr>
                <w:sz w:val="20"/>
                <w:szCs w:val="20"/>
              </w:rPr>
            </w:pPr>
          </w:p>
        </w:tc>
      </w:tr>
    </w:tbl>
    <w:p w14:paraId="05B8BAEE" w14:textId="77777777" w:rsidR="007B5D76" w:rsidRPr="006774D3" w:rsidRDefault="007B5D76" w:rsidP="00F77C66">
      <w:pPr>
        <w:rPr>
          <w:rFonts w:eastAsia="MS Mincho"/>
          <w:sz w:val="22"/>
          <w:szCs w:val="22"/>
        </w:rPr>
      </w:pPr>
    </w:p>
    <w:p w14:paraId="05B8BAEF" w14:textId="77777777" w:rsidR="007B5D76" w:rsidRPr="006774D3" w:rsidRDefault="007B5D76" w:rsidP="00F77C66">
      <w:pPr>
        <w:keepNext/>
        <w:widowControl w:val="0"/>
        <w:ind w:left="1134" w:hanging="1134"/>
        <w:rPr>
          <w:rFonts w:eastAsia="MS Mincho"/>
          <w:sz w:val="22"/>
          <w:szCs w:val="22"/>
        </w:rPr>
      </w:pPr>
      <w:r w:rsidRPr="006774D3">
        <w:rPr>
          <w:rFonts w:eastAsia="MS Mincho"/>
          <w:b/>
          <w:sz w:val="22"/>
          <w:szCs w:val="22"/>
        </w:rPr>
        <w:lastRenderedPageBreak/>
        <w:t>Mynd 2</w:t>
      </w:r>
      <w:r w:rsidRPr="006774D3">
        <w:rPr>
          <w:rFonts w:eastAsia="MS Mincho"/>
          <w:b/>
          <w:sz w:val="22"/>
          <w:szCs w:val="22"/>
        </w:rPr>
        <w:tab/>
        <w:t>Kaplan-Meier áætlun fyrir heildarlifun (ITT þýði)</w:t>
      </w:r>
    </w:p>
    <w:p w14:paraId="05B8BAF0" w14:textId="77777777" w:rsidR="007B5D76" w:rsidRPr="006774D3" w:rsidRDefault="007B5D76" w:rsidP="00F77C66">
      <w:pPr>
        <w:keepNext/>
        <w:widowControl w:val="0"/>
        <w:ind w:left="1134" w:hanging="1134"/>
        <w:rPr>
          <w:rFonts w:eastAsia="MS Mincho"/>
          <w:sz w:val="22"/>
          <w:szCs w:val="22"/>
        </w:rPr>
      </w:pPr>
    </w:p>
    <w:p w14:paraId="05B8BAF1" w14:textId="77777777" w:rsidR="007B5D76" w:rsidRPr="006774D3" w:rsidRDefault="00EA2A58" w:rsidP="00F77C66">
      <w:pPr>
        <w:rPr>
          <w:rFonts w:eastAsia="MS Mincho"/>
          <w:sz w:val="22"/>
          <w:szCs w:val="22"/>
        </w:rPr>
      </w:pPr>
      <w:r w:rsidRPr="006774D3">
        <w:rPr>
          <w:noProof/>
          <w:lang w:eastAsia="en-GB"/>
        </w:rPr>
        <mc:AlternateContent>
          <mc:Choice Requires="wps">
            <w:drawing>
              <wp:anchor distT="0" distB="0" distL="114300" distR="114300" simplePos="0" relativeHeight="251661312" behindDoc="0" locked="0" layoutInCell="1" allowOverlap="1" wp14:anchorId="05B8C4C8" wp14:editId="05B8C4C9">
                <wp:simplePos x="0" y="0"/>
                <wp:positionH relativeFrom="column">
                  <wp:posOffset>-293370</wp:posOffset>
                </wp:positionH>
                <wp:positionV relativeFrom="paragraph">
                  <wp:posOffset>410845</wp:posOffset>
                </wp:positionV>
                <wp:extent cx="335915" cy="1386840"/>
                <wp:effectExtent l="1905" t="1270" r="508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386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43" w14:textId="77777777" w:rsidR="00CF33A2" w:rsidRPr="00A33DBA" w:rsidRDefault="00CF33A2" w:rsidP="007B5D76">
                            <w:pPr>
                              <w:rPr>
                                <w:rFonts w:ascii="Arial" w:hAnsi="Arial" w:cs="Arial"/>
                                <w:sz w:val="20"/>
                                <w:szCs w:val="20"/>
                              </w:rPr>
                            </w:pPr>
                            <w:r>
                              <w:rPr>
                                <w:rFonts w:ascii="Arial" w:hAnsi="Arial" w:cs="Arial"/>
                                <w:sz w:val="20"/>
                                <w:szCs w:val="20"/>
                              </w:rPr>
                              <w:t>Líkur fyrir heildarlifun</w:t>
                            </w:r>
                          </w:p>
                          <w:p w14:paraId="05B8C544" w14:textId="77777777" w:rsidR="00CF33A2" w:rsidRPr="00A33DBA" w:rsidRDefault="00CF33A2" w:rsidP="007B5D76">
                            <w:pPr>
                              <w:rPr>
                                <w:rFonts w:ascii="Arial" w:hAnsi="Arial" w:cs="Arial"/>
                                <w:sz w:val="20"/>
                                <w:szCs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8" id="_x0000_s1035" type="#_x0000_t202" style="position:absolute;margin-left:-23.1pt;margin-top:32.35pt;width:26.45pt;height:10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" stroked="f">
                <v:fill opacity="0"/>
                <v:textbox style="layout-flow:vertical;mso-layout-flow-alt:bottom-to-top">
                  <w:txbxContent>
                    <w:p w14:paraId="05B8C543" w14:textId="77777777" w:rsidR="00CF33A2" w:rsidRPr="00A33DBA" w:rsidRDefault="00CF33A2" w:rsidP="007B5D76">
                      <w:pPr>
                        <w:rPr>
                          <w:rFonts w:ascii="Arial" w:hAnsi="Arial" w:cs="Arial"/>
                          <w:sz w:val="20"/>
                          <w:szCs w:val="20"/>
                        </w:rPr>
                      </w:pPr>
                      <w:r>
                        <w:rPr>
                          <w:rFonts w:ascii="Arial" w:hAnsi="Arial" w:cs="Arial"/>
                          <w:sz w:val="20"/>
                          <w:szCs w:val="20"/>
                        </w:rPr>
                        <w:t>Líkur fyrir heildarlifun</w:t>
                      </w:r>
                    </w:p>
                    <w:p w14:paraId="05B8C544" w14:textId="77777777" w:rsidR="00CF33A2" w:rsidRPr="00A33DBA" w:rsidRDefault="00CF33A2" w:rsidP="007B5D76">
                      <w:pPr>
                        <w:rPr>
                          <w:rFonts w:ascii="Arial" w:hAnsi="Arial" w:cs="Arial"/>
                          <w:sz w:val="20"/>
                          <w:szCs w:val="20"/>
                        </w:rPr>
                      </w:pPr>
                    </w:p>
                  </w:txbxContent>
                </v:textbox>
              </v:shape>
            </w:pict>
          </mc:Fallback>
        </mc:AlternateContent>
      </w:r>
      <w:r w:rsidRPr="006774D3">
        <w:rPr>
          <w:rFonts w:eastAsia="MS Mincho"/>
          <w:noProof/>
          <w:sz w:val="22"/>
          <w:szCs w:val="22"/>
          <w:lang w:eastAsia="en-GB"/>
        </w:rPr>
        <mc:AlternateContent>
          <mc:Choice Requires="wps">
            <w:drawing>
              <wp:anchor distT="0" distB="0" distL="114300" distR="114300" simplePos="0" relativeHeight="251660288" behindDoc="0" locked="0" layoutInCell="1" allowOverlap="1" wp14:anchorId="05B8C4CA" wp14:editId="05B8C4CB">
                <wp:simplePos x="0" y="0"/>
                <wp:positionH relativeFrom="column">
                  <wp:posOffset>2196465</wp:posOffset>
                </wp:positionH>
                <wp:positionV relativeFrom="paragraph">
                  <wp:posOffset>2620645</wp:posOffset>
                </wp:positionV>
                <wp:extent cx="1540510" cy="295275"/>
                <wp:effectExtent l="5715" t="1270" r="6350" b="825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8C545" w14:textId="77777777" w:rsidR="00CF33A2" w:rsidRPr="00A33DBA" w:rsidRDefault="00CF33A2" w:rsidP="007B5D76">
                            <w:pPr>
                              <w:rPr>
                                <w:rFonts w:ascii="Arial" w:hAnsi="Arial" w:cs="Arial"/>
                                <w:sz w:val="20"/>
                                <w:szCs w:val="20"/>
                              </w:rPr>
                            </w:pPr>
                            <w:r>
                              <w:rPr>
                                <w:rFonts w:ascii="Arial" w:hAnsi="Arial" w:cs="Arial"/>
                                <w:sz w:val="20"/>
                                <w:szCs w:val="20"/>
                                <w:lang w:val="de-DE"/>
                              </w:rPr>
                              <w:t>Lifunartími í mánuðum</w:t>
                            </w:r>
                          </w:p>
                          <w:p w14:paraId="05B8C546" w14:textId="77777777" w:rsidR="00CF33A2" w:rsidRPr="00A33DBA" w:rsidRDefault="00CF33A2" w:rsidP="007B5D7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A" id="_x0000_s1036" type="#_x0000_t202" style="position:absolute;margin-left:172.95pt;margin-top:206.35pt;width:121.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" stroked="f">
                <v:fill opacity="0"/>
                <v:textbox>
                  <w:txbxContent>
                    <w:p w14:paraId="05B8C545" w14:textId="77777777" w:rsidR="00CF33A2" w:rsidRPr="00A33DBA" w:rsidRDefault="00CF33A2" w:rsidP="007B5D76">
                      <w:pPr>
                        <w:rPr>
                          <w:rFonts w:ascii="Arial" w:hAnsi="Arial" w:cs="Arial"/>
                          <w:sz w:val="20"/>
                          <w:szCs w:val="20"/>
                        </w:rPr>
                      </w:pPr>
                      <w:r>
                        <w:rPr>
                          <w:rFonts w:ascii="Arial" w:hAnsi="Arial" w:cs="Arial"/>
                          <w:sz w:val="20"/>
                          <w:szCs w:val="20"/>
                          <w:lang w:val="de-DE"/>
                        </w:rPr>
                        <w:t>Lifunartími í mánuðum</w:t>
                      </w:r>
                    </w:p>
                    <w:p w14:paraId="05B8C546" w14:textId="77777777" w:rsidR="00CF33A2" w:rsidRPr="00A33DBA" w:rsidRDefault="00CF33A2" w:rsidP="007B5D76">
                      <w:pPr>
                        <w:rPr>
                          <w:rFonts w:ascii="Arial" w:hAnsi="Arial" w:cs="Arial"/>
                          <w:sz w:val="20"/>
                          <w:szCs w:val="20"/>
                        </w:rPr>
                      </w:pPr>
                    </w:p>
                  </w:txbxContent>
                </v:textbox>
              </v:shape>
            </w:pict>
          </mc:Fallback>
        </mc:AlternateContent>
      </w:r>
      <w:r w:rsidRPr="006774D3">
        <w:rPr>
          <w:noProof/>
          <w:lang w:eastAsia="en-GB"/>
        </w:rPr>
        <mc:AlternateContent>
          <mc:Choice Requires="wps">
            <w:drawing>
              <wp:anchor distT="0" distB="0" distL="114300" distR="114300" simplePos="0" relativeHeight="251662336" behindDoc="0" locked="0" layoutInCell="1" allowOverlap="1" wp14:anchorId="05B8C4CC" wp14:editId="05B8C4CD">
                <wp:simplePos x="0" y="0"/>
                <wp:positionH relativeFrom="column">
                  <wp:posOffset>350520</wp:posOffset>
                </wp:positionH>
                <wp:positionV relativeFrom="paragraph">
                  <wp:posOffset>963295</wp:posOffset>
                </wp:positionV>
                <wp:extent cx="4585335" cy="1428750"/>
                <wp:effectExtent l="0" t="127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8C547" w14:textId="77777777" w:rsidR="00CF33A2" w:rsidRDefault="00CF33A2" w:rsidP="007B5D76">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950"/>
                            </w:tblGrid>
                            <w:tr w:rsidR="00CF33A2" w:rsidRPr="0055776F" w14:paraId="05B8C54B" w14:textId="77777777" w:rsidTr="0009545B">
                              <w:tc>
                                <w:tcPr>
                                  <w:tcW w:w="5691" w:type="dxa"/>
                                  <w:gridSpan w:val="5"/>
                                  <w:shd w:val="clear" w:color="auto" w:fill="auto"/>
                                </w:tcPr>
                                <w:p w14:paraId="05B8C548" w14:textId="77777777" w:rsidR="00CF33A2" w:rsidRPr="00A33DBA" w:rsidRDefault="00CF33A2" w:rsidP="00752D50">
                                  <w:pPr>
                                    <w:rPr>
                                      <w:rFonts w:ascii="Arial" w:hAnsi="Arial" w:cs="Arial"/>
                                      <w:sz w:val="20"/>
                                      <w:szCs w:val="20"/>
                                    </w:rPr>
                                  </w:pPr>
                                  <w:r>
                                    <w:rPr>
                                      <w:rFonts w:ascii="Arial" w:hAnsi="Arial" w:cs="Arial"/>
                                      <w:sz w:val="20"/>
                                      <w:szCs w:val="20"/>
                                    </w:rPr>
                                    <w:t>P =</w:t>
                                  </w:r>
                                  <w:r w:rsidRPr="00A33DBA">
                                    <w:rPr>
                                      <w:rFonts w:ascii="Arial" w:hAnsi="Arial" w:cs="Arial"/>
                                      <w:sz w:val="20"/>
                                      <w:szCs w:val="20"/>
                                    </w:rPr>
                                    <w:t xml:space="preserve"> 0</w:t>
                                  </w:r>
                                  <w:r>
                                    <w:rPr>
                                      <w:rFonts w:ascii="Arial" w:hAnsi="Arial" w:cs="Arial"/>
                                      <w:sz w:val="20"/>
                                      <w:szCs w:val="20"/>
                                    </w:rPr>
                                    <w:t>,0</w:t>
                                  </w:r>
                                  <w:r w:rsidRPr="00A33DBA">
                                    <w:rPr>
                                      <w:rFonts w:ascii="Arial" w:hAnsi="Arial" w:cs="Arial"/>
                                      <w:sz w:val="20"/>
                                      <w:szCs w:val="20"/>
                                    </w:rPr>
                                    <w:t>19</w:t>
                                  </w:r>
                                </w:p>
                                <w:p w14:paraId="05B8C549" w14:textId="77777777" w:rsidR="00CF33A2" w:rsidRPr="00A33DBA" w:rsidRDefault="00CF33A2" w:rsidP="00752D50">
                                  <w:pPr>
                                    <w:rPr>
                                      <w:rFonts w:ascii="Arial" w:hAnsi="Arial" w:cs="Arial"/>
                                      <w:sz w:val="20"/>
                                      <w:szCs w:val="20"/>
                                    </w:rPr>
                                  </w:pPr>
                                  <w:r>
                                    <w:rPr>
                                      <w:rFonts w:ascii="Arial" w:hAnsi="Arial" w:cs="Arial"/>
                                      <w:sz w:val="20"/>
                                      <w:szCs w:val="20"/>
                                    </w:rPr>
                                    <w:t>Áhættuhlutfall</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5B8C54A" w14:textId="77777777" w:rsidR="00CF33A2" w:rsidRPr="0055776F" w:rsidRDefault="00CF33A2" w:rsidP="00752D50">
                                  <w:pPr>
                                    <w:rPr>
                                      <w:rFonts w:ascii="Arial" w:hAnsi="Arial" w:cs="Arial"/>
                                      <w:sz w:val="20"/>
                                      <w:szCs w:val="20"/>
                                      <w:lang w:val="de-DE"/>
                                    </w:rPr>
                                  </w:pPr>
                                  <w:r>
                                    <w:rPr>
                                      <w:rFonts w:ascii="Arial" w:hAnsi="Arial" w:cs="Arial"/>
                                      <w:sz w:val="20"/>
                                      <w:szCs w:val="20"/>
                                    </w:rPr>
                                    <w:t>(95% Cl, 0,22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F33A2" w:rsidRPr="0055776F" w14:paraId="05B8C551" w14:textId="77777777" w:rsidTr="0009545B">
                              <w:tc>
                                <w:tcPr>
                                  <w:tcW w:w="817" w:type="dxa"/>
                                  <w:shd w:val="clear" w:color="auto" w:fill="auto"/>
                                </w:tcPr>
                                <w:p w14:paraId="05B8C54C" w14:textId="77777777" w:rsidR="00CF33A2" w:rsidRPr="0055776F" w:rsidRDefault="00CF33A2" w:rsidP="0009545B">
                                  <w:pPr>
                                    <w:rPr>
                                      <w:rFonts w:ascii="Arial" w:hAnsi="Arial" w:cs="Arial"/>
                                      <w:sz w:val="20"/>
                                      <w:szCs w:val="20"/>
                                    </w:rPr>
                                  </w:pPr>
                                </w:p>
                              </w:tc>
                              <w:tc>
                                <w:tcPr>
                                  <w:tcW w:w="2464" w:type="dxa"/>
                                  <w:shd w:val="clear" w:color="auto" w:fill="auto"/>
                                </w:tcPr>
                                <w:p w14:paraId="05B8C54D"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4E" w14:textId="77777777" w:rsidR="00CF33A2" w:rsidRPr="0055776F"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4F" w14:textId="77777777" w:rsidR="00CF33A2" w:rsidRPr="0055776F" w:rsidRDefault="00CF33A2" w:rsidP="0009545B">
                                  <w:pPr>
                                    <w:rPr>
                                      <w:rFonts w:ascii="Arial" w:hAnsi="Arial" w:cs="Arial"/>
                                      <w:sz w:val="20"/>
                                      <w:szCs w:val="20"/>
                                    </w:rPr>
                                  </w:pPr>
                                  <w:r w:rsidRPr="00752D50">
                                    <w:rPr>
                                      <w:rFonts w:ascii="Arial" w:hAnsi="Arial" w:cs="Arial"/>
                                      <w:sz w:val="20"/>
                                      <w:szCs w:val="20"/>
                                    </w:rPr>
                                    <w:t>Tilvik</w:t>
                                  </w:r>
                                </w:p>
                              </w:tc>
                              <w:tc>
                                <w:tcPr>
                                  <w:tcW w:w="850" w:type="dxa"/>
                                  <w:tcBorders>
                                    <w:bottom w:val="single" w:sz="4" w:space="0" w:color="auto"/>
                                  </w:tcBorders>
                                  <w:shd w:val="clear" w:color="auto" w:fill="auto"/>
                                </w:tcPr>
                                <w:p w14:paraId="05B8C550" w14:textId="77777777" w:rsidR="00CF33A2" w:rsidRPr="0055776F"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57" w14:textId="77777777" w:rsidTr="0009545B">
                              <w:tc>
                                <w:tcPr>
                                  <w:tcW w:w="817" w:type="dxa"/>
                                  <w:shd w:val="clear" w:color="auto" w:fill="auto"/>
                                </w:tcPr>
                                <w:p w14:paraId="05B8C552"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53"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54"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55" w14:textId="77777777" w:rsidR="00CF33A2" w:rsidRPr="0055776F" w:rsidRDefault="00CF33A2" w:rsidP="0009545B">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5B8C556" w14:textId="77777777" w:rsidR="00CF33A2" w:rsidRPr="0055776F" w:rsidRDefault="00CF33A2" w:rsidP="0009545B">
                                  <w:pPr>
                                    <w:rPr>
                                      <w:rFonts w:ascii="Arial" w:hAnsi="Arial" w:cs="Arial"/>
                                      <w:sz w:val="20"/>
                                      <w:szCs w:val="20"/>
                                    </w:rPr>
                                  </w:pPr>
                                  <w:r w:rsidRPr="0055776F">
                                    <w:rPr>
                                      <w:rFonts w:ascii="Arial" w:hAnsi="Arial" w:cs="Arial"/>
                                      <w:sz w:val="20"/>
                                      <w:szCs w:val="20"/>
                                    </w:rPr>
                                    <w:t>174</w:t>
                                  </w:r>
                                </w:p>
                              </w:tc>
                            </w:tr>
                            <w:tr w:rsidR="00CF33A2" w:rsidRPr="0055776F" w14:paraId="05B8C55D" w14:textId="77777777" w:rsidTr="0009545B">
                              <w:tc>
                                <w:tcPr>
                                  <w:tcW w:w="817" w:type="dxa"/>
                                  <w:shd w:val="clear" w:color="auto" w:fill="auto"/>
                                </w:tcPr>
                                <w:p w14:paraId="05B8C558"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59"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5A"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5B" w14:textId="77777777" w:rsidR="00CF33A2" w:rsidRPr="0055776F" w:rsidRDefault="00CF33A2" w:rsidP="0009545B">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05B8C55C" w14:textId="77777777" w:rsidR="00CF33A2" w:rsidRPr="0055776F" w:rsidRDefault="00CF33A2" w:rsidP="0009545B">
                                  <w:pPr>
                                    <w:rPr>
                                      <w:rFonts w:ascii="Arial" w:hAnsi="Arial" w:cs="Arial"/>
                                      <w:sz w:val="20"/>
                                      <w:szCs w:val="20"/>
                                    </w:rPr>
                                  </w:pPr>
                                  <w:r w:rsidRPr="0055776F">
                                    <w:rPr>
                                      <w:rFonts w:ascii="Arial" w:hAnsi="Arial" w:cs="Arial"/>
                                      <w:sz w:val="20"/>
                                      <w:szCs w:val="20"/>
                                    </w:rPr>
                                    <w:t>186</w:t>
                                  </w:r>
                                </w:p>
                              </w:tc>
                            </w:tr>
                            <w:tr w:rsidR="00CF33A2" w:rsidRPr="0055776F" w14:paraId="05B8C563" w14:textId="77777777" w:rsidTr="0009545B">
                              <w:tc>
                                <w:tcPr>
                                  <w:tcW w:w="817" w:type="dxa"/>
                                  <w:shd w:val="clear" w:color="auto" w:fill="auto"/>
                                </w:tcPr>
                                <w:p w14:paraId="05B8C55E"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5F"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60"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61" w14:textId="77777777" w:rsidR="00CF33A2" w:rsidRPr="0055776F" w:rsidRDefault="00CF33A2" w:rsidP="0009545B">
                                  <w:pPr>
                                    <w:rPr>
                                      <w:rFonts w:ascii="Arial" w:hAnsi="Arial" w:cs="Arial"/>
                                      <w:sz w:val="20"/>
                                      <w:szCs w:val="20"/>
                                    </w:rPr>
                                  </w:pPr>
                                </w:p>
                              </w:tc>
                              <w:tc>
                                <w:tcPr>
                                  <w:tcW w:w="850" w:type="dxa"/>
                                  <w:tcBorders>
                                    <w:top w:val="single" w:sz="4" w:space="0" w:color="auto"/>
                                  </w:tcBorders>
                                  <w:shd w:val="clear" w:color="auto" w:fill="auto"/>
                                </w:tcPr>
                                <w:p w14:paraId="05B8C562" w14:textId="77777777" w:rsidR="00CF33A2" w:rsidRPr="0055776F" w:rsidRDefault="00CF33A2" w:rsidP="0009545B">
                                  <w:pPr>
                                    <w:rPr>
                                      <w:rFonts w:ascii="Arial" w:hAnsi="Arial" w:cs="Arial"/>
                                      <w:sz w:val="20"/>
                                      <w:szCs w:val="20"/>
                                    </w:rPr>
                                  </w:pPr>
                                </w:p>
                              </w:tc>
                            </w:tr>
                          </w:tbl>
                          <w:p w14:paraId="05B8C564" w14:textId="77777777" w:rsidR="00CF33A2" w:rsidRPr="00A33DBA" w:rsidRDefault="00CF33A2" w:rsidP="007B5D76">
                            <w:pPr>
                              <w:rPr>
                                <w:rFonts w:ascii="Arial" w:hAnsi="Arial" w:cs="Arial"/>
                                <w:sz w:val="20"/>
                                <w:szCs w:val="20"/>
                              </w:rPr>
                            </w:pPr>
                          </w:p>
                          <w:p w14:paraId="05B8C565" w14:textId="77777777" w:rsidR="00CF33A2" w:rsidRPr="00A33DBA" w:rsidRDefault="00CF33A2" w:rsidP="007B5D7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8C4CC" id="_x0000_s1037" type="#_x0000_t202" style="position:absolute;margin-left:27.6pt;margin-top:75.8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" filled="f" stroked="f">
                <v:textbox>
                  <w:txbxContent>
                    <w:p w14:paraId="05B8C547" w14:textId="77777777" w:rsidR="00CF33A2" w:rsidRDefault="00CF33A2" w:rsidP="007B5D76">
                      <w:pPr>
                        <w:rPr>
                          <w:rFonts w:ascii="Arial" w:hAnsi="Arial" w:cs="Arial"/>
                          <w:sz w:val="20"/>
                          <w:szCs w:val="20"/>
                        </w:rPr>
                      </w:pPr>
                    </w:p>
                    <w:tbl>
                      <w:tblPr>
                        <w:tblW w:w="0" w:type="auto"/>
                        <w:tblLook w:val="04A0" w:firstRow="1" w:lastRow="0" w:firstColumn="1" w:lastColumn="0" w:noHBand="0" w:noVBand="1"/>
                      </w:tblPr>
                      <w:tblGrid>
                        <w:gridCol w:w="817"/>
                        <w:gridCol w:w="2464"/>
                        <w:gridCol w:w="851"/>
                        <w:gridCol w:w="709"/>
                        <w:gridCol w:w="950"/>
                      </w:tblGrid>
                      <w:tr w:rsidR="00CF33A2" w:rsidRPr="0055776F" w14:paraId="05B8C54B" w14:textId="77777777" w:rsidTr="0009545B">
                        <w:tc>
                          <w:tcPr>
                            <w:tcW w:w="5691" w:type="dxa"/>
                            <w:gridSpan w:val="5"/>
                            <w:shd w:val="clear" w:color="auto" w:fill="auto"/>
                          </w:tcPr>
                          <w:p w14:paraId="05B8C548" w14:textId="77777777" w:rsidR="00CF33A2" w:rsidRPr="00A33DBA" w:rsidRDefault="00CF33A2" w:rsidP="00752D50">
                            <w:pPr>
                              <w:rPr>
                                <w:rFonts w:ascii="Arial" w:hAnsi="Arial" w:cs="Arial"/>
                                <w:sz w:val="20"/>
                                <w:szCs w:val="20"/>
                              </w:rPr>
                            </w:pPr>
                            <w:r>
                              <w:rPr>
                                <w:rFonts w:ascii="Arial" w:hAnsi="Arial" w:cs="Arial"/>
                                <w:sz w:val="20"/>
                                <w:szCs w:val="20"/>
                              </w:rPr>
                              <w:t>P =</w:t>
                            </w:r>
                            <w:r w:rsidRPr="00A33DBA">
                              <w:rPr>
                                <w:rFonts w:ascii="Arial" w:hAnsi="Arial" w:cs="Arial"/>
                                <w:sz w:val="20"/>
                                <w:szCs w:val="20"/>
                              </w:rPr>
                              <w:t xml:space="preserve"> 0</w:t>
                            </w:r>
                            <w:r>
                              <w:rPr>
                                <w:rFonts w:ascii="Arial" w:hAnsi="Arial" w:cs="Arial"/>
                                <w:sz w:val="20"/>
                                <w:szCs w:val="20"/>
                              </w:rPr>
                              <w:t>,0</w:t>
                            </w:r>
                            <w:r w:rsidRPr="00A33DBA">
                              <w:rPr>
                                <w:rFonts w:ascii="Arial" w:hAnsi="Arial" w:cs="Arial"/>
                                <w:sz w:val="20"/>
                                <w:szCs w:val="20"/>
                              </w:rPr>
                              <w:t>19</w:t>
                            </w:r>
                          </w:p>
                          <w:p w14:paraId="05B8C549" w14:textId="77777777" w:rsidR="00CF33A2" w:rsidRPr="00A33DBA" w:rsidRDefault="00CF33A2" w:rsidP="00752D50">
                            <w:pPr>
                              <w:rPr>
                                <w:rFonts w:ascii="Arial" w:hAnsi="Arial" w:cs="Arial"/>
                                <w:sz w:val="20"/>
                                <w:szCs w:val="20"/>
                              </w:rPr>
                            </w:pPr>
                            <w:r>
                              <w:rPr>
                                <w:rFonts w:ascii="Arial" w:hAnsi="Arial" w:cs="Arial"/>
                                <w:sz w:val="20"/>
                                <w:szCs w:val="20"/>
                              </w:rPr>
                              <w:t>Áhættuhlutfall</w:t>
                            </w:r>
                            <w:r w:rsidRPr="00A33DBA">
                              <w:rPr>
                                <w:rFonts w:ascii="Arial" w:hAnsi="Arial" w:cs="Arial"/>
                                <w:sz w:val="20"/>
                                <w:szCs w:val="20"/>
                              </w:rPr>
                              <w:t xml:space="preserve"> 0</w:t>
                            </w:r>
                            <w:r>
                              <w:rPr>
                                <w:rFonts w:ascii="Arial" w:hAnsi="Arial" w:cs="Arial"/>
                                <w:sz w:val="20"/>
                                <w:szCs w:val="20"/>
                              </w:rPr>
                              <w:t>,</w:t>
                            </w:r>
                            <w:r w:rsidRPr="00A33DBA">
                              <w:rPr>
                                <w:rFonts w:ascii="Arial" w:hAnsi="Arial" w:cs="Arial"/>
                                <w:sz w:val="20"/>
                                <w:szCs w:val="20"/>
                              </w:rPr>
                              <w:t>45</w:t>
                            </w:r>
                          </w:p>
                          <w:p w14:paraId="05B8C54A" w14:textId="77777777" w:rsidR="00CF33A2" w:rsidRPr="0055776F" w:rsidRDefault="00CF33A2" w:rsidP="00752D50">
                            <w:pPr>
                              <w:rPr>
                                <w:rFonts w:ascii="Arial" w:hAnsi="Arial" w:cs="Arial"/>
                                <w:sz w:val="20"/>
                                <w:szCs w:val="20"/>
                                <w:lang w:val="de-DE"/>
                              </w:rPr>
                            </w:pPr>
                            <w:r>
                              <w:rPr>
                                <w:rFonts w:ascii="Arial" w:hAnsi="Arial" w:cs="Arial"/>
                                <w:sz w:val="20"/>
                                <w:szCs w:val="20"/>
                              </w:rPr>
                              <w:t>(95% Cl, 0,22</w:t>
                            </w:r>
                            <w:r>
                              <w:rPr>
                                <w:rFonts w:ascii="Arial" w:hAnsi="Arial" w:cs="Arial"/>
                                <w:sz w:val="20"/>
                                <w:szCs w:val="20"/>
                              </w:rPr>
                              <w:noBreakHyphen/>
                            </w:r>
                            <w:r w:rsidRPr="00A33DBA">
                              <w:rPr>
                                <w:rFonts w:ascii="Arial" w:hAnsi="Arial" w:cs="Arial"/>
                                <w:sz w:val="20"/>
                                <w:szCs w:val="20"/>
                              </w:rPr>
                              <w:t>0</w:t>
                            </w:r>
                            <w:r>
                              <w:rPr>
                                <w:rFonts w:ascii="Arial" w:hAnsi="Arial" w:cs="Arial"/>
                                <w:sz w:val="20"/>
                                <w:szCs w:val="20"/>
                              </w:rPr>
                              <w:t>,</w:t>
                            </w:r>
                            <w:r w:rsidRPr="00A33DBA">
                              <w:rPr>
                                <w:rFonts w:ascii="Arial" w:hAnsi="Arial" w:cs="Arial"/>
                                <w:sz w:val="20"/>
                                <w:szCs w:val="20"/>
                              </w:rPr>
                              <w:t>89)</w:t>
                            </w:r>
                          </w:p>
                        </w:tc>
                      </w:tr>
                      <w:tr w:rsidR="00CF33A2" w:rsidRPr="0055776F" w14:paraId="05B8C551" w14:textId="77777777" w:rsidTr="0009545B">
                        <w:tc>
                          <w:tcPr>
                            <w:tcW w:w="817" w:type="dxa"/>
                            <w:shd w:val="clear" w:color="auto" w:fill="auto"/>
                          </w:tcPr>
                          <w:p w14:paraId="05B8C54C" w14:textId="77777777" w:rsidR="00CF33A2" w:rsidRPr="0055776F" w:rsidRDefault="00CF33A2" w:rsidP="0009545B">
                            <w:pPr>
                              <w:rPr>
                                <w:rFonts w:ascii="Arial" w:hAnsi="Arial" w:cs="Arial"/>
                                <w:sz w:val="20"/>
                                <w:szCs w:val="20"/>
                              </w:rPr>
                            </w:pPr>
                          </w:p>
                        </w:tc>
                        <w:tc>
                          <w:tcPr>
                            <w:tcW w:w="2464" w:type="dxa"/>
                            <w:shd w:val="clear" w:color="auto" w:fill="auto"/>
                          </w:tcPr>
                          <w:p w14:paraId="05B8C54D" w14:textId="77777777" w:rsidR="00CF33A2" w:rsidRPr="0055776F" w:rsidRDefault="00CF33A2" w:rsidP="0009545B">
                            <w:pPr>
                              <w:rPr>
                                <w:rFonts w:ascii="Arial" w:hAnsi="Arial" w:cs="Arial"/>
                                <w:sz w:val="20"/>
                                <w:szCs w:val="20"/>
                              </w:rPr>
                            </w:pPr>
                          </w:p>
                        </w:tc>
                        <w:tc>
                          <w:tcPr>
                            <w:tcW w:w="851" w:type="dxa"/>
                            <w:tcBorders>
                              <w:bottom w:val="single" w:sz="4" w:space="0" w:color="auto"/>
                            </w:tcBorders>
                            <w:shd w:val="clear" w:color="auto" w:fill="auto"/>
                          </w:tcPr>
                          <w:p w14:paraId="05B8C54E" w14:textId="77777777" w:rsidR="00CF33A2" w:rsidRPr="0055776F" w:rsidRDefault="00CF33A2" w:rsidP="0009545B">
                            <w:pPr>
                              <w:rPr>
                                <w:rFonts w:ascii="Arial" w:hAnsi="Arial" w:cs="Arial"/>
                                <w:sz w:val="20"/>
                                <w:szCs w:val="20"/>
                              </w:rPr>
                            </w:pPr>
                            <w:r w:rsidRPr="00752D50">
                              <w:rPr>
                                <w:rFonts w:ascii="Arial" w:hAnsi="Arial" w:cs="Arial"/>
                                <w:sz w:val="20"/>
                                <w:szCs w:val="20"/>
                                <w:lang w:val="de-DE"/>
                              </w:rPr>
                              <w:t>N</w:t>
                            </w:r>
                          </w:p>
                        </w:tc>
                        <w:tc>
                          <w:tcPr>
                            <w:tcW w:w="709" w:type="dxa"/>
                            <w:tcBorders>
                              <w:bottom w:val="single" w:sz="4" w:space="0" w:color="auto"/>
                            </w:tcBorders>
                            <w:shd w:val="clear" w:color="auto" w:fill="auto"/>
                          </w:tcPr>
                          <w:p w14:paraId="05B8C54F" w14:textId="77777777" w:rsidR="00CF33A2" w:rsidRPr="0055776F" w:rsidRDefault="00CF33A2" w:rsidP="0009545B">
                            <w:pPr>
                              <w:rPr>
                                <w:rFonts w:ascii="Arial" w:hAnsi="Arial" w:cs="Arial"/>
                                <w:sz w:val="20"/>
                                <w:szCs w:val="20"/>
                              </w:rPr>
                            </w:pPr>
                            <w:r w:rsidRPr="00752D50">
                              <w:rPr>
                                <w:rFonts w:ascii="Arial" w:hAnsi="Arial" w:cs="Arial"/>
                                <w:sz w:val="20"/>
                                <w:szCs w:val="20"/>
                              </w:rPr>
                              <w:t>Tilvik</w:t>
                            </w:r>
                          </w:p>
                        </w:tc>
                        <w:tc>
                          <w:tcPr>
                            <w:tcW w:w="850" w:type="dxa"/>
                            <w:tcBorders>
                              <w:bottom w:val="single" w:sz="4" w:space="0" w:color="auto"/>
                            </w:tcBorders>
                            <w:shd w:val="clear" w:color="auto" w:fill="auto"/>
                          </w:tcPr>
                          <w:p w14:paraId="05B8C550" w14:textId="77777777" w:rsidR="00CF33A2" w:rsidRPr="0055776F" w:rsidRDefault="00CF33A2" w:rsidP="0009545B">
                            <w:pPr>
                              <w:rPr>
                                <w:rFonts w:ascii="Arial" w:hAnsi="Arial" w:cs="Arial"/>
                                <w:sz w:val="20"/>
                                <w:szCs w:val="20"/>
                              </w:rPr>
                            </w:pPr>
                            <w:r w:rsidRPr="00752D50">
                              <w:rPr>
                                <w:rFonts w:ascii="Arial" w:hAnsi="Arial" w:cs="Arial"/>
                                <w:sz w:val="20"/>
                                <w:szCs w:val="20"/>
                              </w:rPr>
                              <w:t>Aðlagað</w:t>
                            </w:r>
                          </w:p>
                        </w:tc>
                      </w:tr>
                      <w:tr w:rsidR="00CF33A2" w:rsidRPr="0055776F" w14:paraId="05B8C557" w14:textId="77777777" w:rsidTr="0009545B">
                        <w:tc>
                          <w:tcPr>
                            <w:tcW w:w="817" w:type="dxa"/>
                            <w:shd w:val="clear" w:color="auto" w:fill="auto"/>
                          </w:tcPr>
                          <w:p w14:paraId="05B8C552" w14:textId="77777777" w:rsidR="00CF33A2" w:rsidRPr="0055776F" w:rsidRDefault="00CF33A2" w:rsidP="0009545B">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05B8C553" w14:textId="77777777" w:rsidR="00CF33A2" w:rsidRPr="0055776F" w:rsidRDefault="00CF33A2" w:rsidP="0009545B">
                            <w:pPr>
                              <w:rPr>
                                <w:rFonts w:ascii="Arial" w:hAnsi="Arial" w:cs="Arial"/>
                                <w:sz w:val="20"/>
                                <w:szCs w:val="20"/>
                              </w:rPr>
                            </w:pPr>
                            <w:r>
                              <w:rPr>
                                <w:rFonts w:ascii="Arial" w:hAnsi="Arial" w:cs="Arial"/>
                                <w:sz w:val="20"/>
                                <w:szCs w:val="20"/>
                              </w:rPr>
                              <w:t>(1) Imatinib 12 mán.</w:t>
                            </w:r>
                            <w:r w:rsidRPr="00A33DBA">
                              <w:rPr>
                                <w:rFonts w:ascii="Arial" w:hAnsi="Arial" w:cs="Arial"/>
                                <w:sz w:val="20"/>
                                <w:szCs w:val="20"/>
                              </w:rPr>
                              <w:t>:</w:t>
                            </w:r>
                          </w:p>
                        </w:tc>
                        <w:tc>
                          <w:tcPr>
                            <w:tcW w:w="851" w:type="dxa"/>
                            <w:tcBorders>
                              <w:top w:val="single" w:sz="4" w:space="0" w:color="auto"/>
                            </w:tcBorders>
                            <w:shd w:val="clear" w:color="auto" w:fill="auto"/>
                          </w:tcPr>
                          <w:p w14:paraId="05B8C554" w14:textId="77777777" w:rsidR="00CF33A2" w:rsidRPr="0055776F" w:rsidRDefault="00CF33A2" w:rsidP="0009545B">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05B8C555" w14:textId="77777777" w:rsidR="00CF33A2" w:rsidRPr="0055776F" w:rsidRDefault="00CF33A2" w:rsidP="0009545B">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05B8C556" w14:textId="77777777" w:rsidR="00CF33A2" w:rsidRPr="0055776F" w:rsidRDefault="00CF33A2" w:rsidP="0009545B">
                            <w:pPr>
                              <w:rPr>
                                <w:rFonts w:ascii="Arial" w:hAnsi="Arial" w:cs="Arial"/>
                                <w:sz w:val="20"/>
                                <w:szCs w:val="20"/>
                              </w:rPr>
                            </w:pPr>
                            <w:r w:rsidRPr="0055776F">
                              <w:rPr>
                                <w:rFonts w:ascii="Arial" w:hAnsi="Arial" w:cs="Arial"/>
                                <w:sz w:val="20"/>
                                <w:szCs w:val="20"/>
                              </w:rPr>
                              <w:t>174</w:t>
                            </w:r>
                          </w:p>
                        </w:tc>
                      </w:tr>
                      <w:tr w:rsidR="00CF33A2" w:rsidRPr="0055776F" w14:paraId="05B8C55D" w14:textId="77777777" w:rsidTr="0009545B">
                        <w:tc>
                          <w:tcPr>
                            <w:tcW w:w="817" w:type="dxa"/>
                            <w:shd w:val="clear" w:color="auto" w:fill="auto"/>
                          </w:tcPr>
                          <w:p w14:paraId="05B8C558"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59" w14:textId="77777777" w:rsidR="00CF33A2" w:rsidRPr="0055776F" w:rsidRDefault="00CF33A2" w:rsidP="0009545B">
                            <w:pPr>
                              <w:rPr>
                                <w:rFonts w:ascii="Arial" w:hAnsi="Arial" w:cs="Arial"/>
                                <w:sz w:val="20"/>
                                <w:szCs w:val="20"/>
                              </w:rPr>
                            </w:pPr>
                            <w:r>
                              <w:rPr>
                                <w:rFonts w:ascii="Arial" w:hAnsi="Arial" w:cs="Arial"/>
                                <w:sz w:val="20"/>
                                <w:szCs w:val="20"/>
                              </w:rPr>
                              <w:t>(2) Imatinib 36 mán.</w:t>
                            </w:r>
                            <w:r w:rsidRPr="00A33DBA">
                              <w:rPr>
                                <w:rFonts w:ascii="Arial" w:hAnsi="Arial" w:cs="Arial"/>
                                <w:sz w:val="20"/>
                                <w:szCs w:val="20"/>
                              </w:rPr>
                              <w:t>:</w:t>
                            </w:r>
                          </w:p>
                        </w:tc>
                        <w:tc>
                          <w:tcPr>
                            <w:tcW w:w="851" w:type="dxa"/>
                            <w:tcBorders>
                              <w:bottom w:val="single" w:sz="4" w:space="0" w:color="auto"/>
                            </w:tcBorders>
                            <w:shd w:val="clear" w:color="auto" w:fill="auto"/>
                          </w:tcPr>
                          <w:p w14:paraId="05B8C55A" w14:textId="77777777" w:rsidR="00CF33A2" w:rsidRPr="0055776F" w:rsidRDefault="00CF33A2" w:rsidP="0009545B">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05B8C55B" w14:textId="77777777" w:rsidR="00CF33A2" w:rsidRPr="0055776F" w:rsidRDefault="00CF33A2" w:rsidP="0009545B">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05B8C55C" w14:textId="77777777" w:rsidR="00CF33A2" w:rsidRPr="0055776F" w:rsidRDefault="00CF33A2" w:rsidP="0009545B">
                            <w:pPr>
                              <w:rPr>
                                <w:rFonts w:ascii="Arial" w:hAnsi="Arial" w:cs="Arial"/>
                                <w:sz w:val="20"/>
                                <w:szCs w:val="20"/>
                              </w:rPr>
                            </w:pPr>
                            <w:r w:rsidRPr="0055776F">
                              <w:rPr>
                                <w:rFonts w:ascii="Arial" w:hAnsi="Arial" w:cs="Arial"/>
                                <w:sz w:val="20"/>
                                <w:szCs w:val="20"/>
                              </w:rPr>
                              <w:t>186</w:t>
                            </w:r>
                          </w:p>
                        </w:tc>
                      </w:tr>
                      <w:tr w:rsidR="00CF33A2" w:rsidRPr="0055776F" w14:paraId="05B8C563" w14:textId="77777777" w:rsidTr="0009545B">
                        <w:tc>
                          <w:tcPr>
                            <w:tcW w:w="817" w:type="dxa"/>
                            <w:shd w:val="clear" w:color="auto" w:fill="auto"/>
                          </w:tcPr>
                          <w:p w14:paraId="05B8C55E" w14:textId="77777777" w:rsidR="00CF33A2" w:rsidRPr="0055776F" w:rsidRDefault="00CF33A2" w:rsidP="0009545B">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05B8C55F" w14:textId="77777777" w:rsidR="00CF33A2" w:rsidRPr="0055776F" w:rsidRDefault="00CF33A2" w:rsidP="0009545B">
                            <w:pPr>
                              <w:rPr>
                                <w:rFonts w:ascii="Arial" w:hAnsi="Arial" w:cs="Arial"/>
                                <w:sz w:val="20"/>
                                <w:szCs w:val="20"/>
                              </w:rPr>
                            </w:pPr>
                            <w:r>
                              <w:rPr>
                                <w:rFonts w:ascii="Arial" w:hAnsi="Arial" w:cs="Arial"/>
                                <w:sz w:val="20"/>
                                <w:szCs w:val="20"/>
                              </w:rPr>
                              <w:t>Aðlagaðar athuganir</w:t>
                            </w:r>
                          </w:p>
                        </w:tc>
                        <w:tc>
                          <w:tcPr>
                            <w:tcW w:w="851" w:type="dxa"/>
                            <w:tcBorders>
                              <w:top w:val="single" w:sz="4" w:space="0" w:color="auto"/>
                            </w:tcBorders>
                            <w:shd w:val="clear" w:color="auto" w:fill="auto"/>
                          </w:tcPr>
                          <w:p w14:paraId="05B8C560" w14:textId="77777777" w:rsidR="00CF33A2" w:rsidRPr="0055776F" w:rsidRDefault="00CF33A2" w:rsidP="0009545B">
                            <w:pPr>
                              <w:rPr>
                                <w:rFonts w:ascii="Arial" w:hAnsi="Arial" w:cs="Arial"/>
                                <w:sz w:val="20"/>
                                <w:szCs w:val="20"/>
                              </w:rPr>
                            </w:pPr>
                          </w:p>
                        </w:tc>
                        <w:tc>
                          <w:tcPr>
                            <w:tcW w:w="709" w:type="dxa"/>
                            <w:tcBorders>
                              <w:top w:val="single" w:sz="4" w:space="0" w:color="auto"/>
                            </w:tcBorders>
                            <w:shd w:val="clear" w:color="auto" w:fill="auto"/>
                          </w:tcPr>
                          <w:p w14:paraId="05B8C561" w14:textId="77777777" w:rsidR="00CF33A2" w:rsidRPr="0055776F" w:rsidRDefault="00CF33A2" w:rsidP="0009545B">
                            <w:pPr>
                              <w:rPr>
                                <w:rFonts w:ascii="Arial" w:hAnsi="Arial" w:cs="Arial"/>
                                <w:sz w:val="20"/>
                                <w:szCs w:val="20"/>
                              </w:rPr>
                            </w:pPr>
                          </w:p>
                        </w:tc>
                        <w:tc>
                          <w:tcPr>
                            <w:tcW w:w="850" w:type="dxa"/>
                            <w:tcBorders>
                              <w:top w:val="single" w:sz="4" w:space="0" w:color="auto"/>
                            </w:tcBorders>
                            <w:shd w:val="clear" w:color="auto" w:fill="auto"/>
                          </w:tcPr>
                          <w:p w14:paraId="05B8C562" w14:textId="77777777" w:rsidR="00CF33A2" w:rsidRPr="0055776F" w:rsidRDefault="00CF33A2" w:rsidP="0009545B">
                            <w:pPr>
                              <w:rPr>
                                <w:rFonts w:ascii="Arial" w:hAnsi="Arial" w:cs="Arial"/>
                                <w:sz w:val="20"/>
                                <w:szCs w:val="20"/>
                              </w:rPr>
                            </w:pPr>
                          </w:p>
                        </w:tc>
                      </w:tr>
                    </w:tbl>
                    <w:p w14:paraId="05B8C564" w14:textId="77777777" w:rsidR="00CF33A2" w:rsidRPr="00A33DBA" w:rsidRDefault="00CF33A2" w:rsidP="007B5D76">
                      <w:pPr>
                        <w:rPr>
                          <w:rFonts w:ascii="Arial" w:hAnsi="Arial" w:cs="Arial"/>
                          <w:sz w:val="20"/>
                          <w:szCs w:val="20"/>
                        </w:rPr>
                      </w:pPr>
                    </w:p>
                    <w:p w14:paraId="05B8C565" w14:textId="77777777" w:rsidR="00CF33A2" w:rsidRPr="00A33DBA" w:rsidRDefault="00CF33A2" w:rsidP="007B5D76">
                      <w:pPr>
                        <w:rPr>
                          <w:rFonts w:ascii="Arial" w:hAnsi="Arial" w:cs="Arial"/>
                          <w:sz w:val="20"/>
                          <w:szCs w:val="20"/>
                        </w:rPr>
                      </w:pPr>
                    </w:p>
                  </w:txbxContent>
                </v:textbox>
              </v:shape>
            </w:pict>
          </mc:Fallback>
        </mc:AlternateContent>
      </w:r>
      <w:r w:rsidRPr="006774D3">
        <w:rPr>
          <w:noProof/>
          <w:lang w:eastAsia="en-GB"/>
        </w:rPr>
        <w:drawing>
          <wp:inline distT="0" distB="0" distL="0" distR="0" wp14:anchorId="05B8C4CE" wp14:editId="05B8C4CF">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05B8BAF2" w14:textId="77777777" w:rsidR="007B5D76" w:rsidRPr="006774D3" w:rsidRDefault="007B5D76" w:rsidP="00F77C66">
      <w:pPr>
        <w:rPr>
          <w:rFonts w:eastAsia="MS Mincho"/>
          <w:sz w:val="22"/>
          <w:szCs w:val="22"/>
        </w:rPr>
      </w:pPr>
    </w:p>
    <w:p w14:paraId="05B8BAF3" w14:textId="77777777" w:rsidR="007B5D76" w:rsidRPr="006774D3" w:rsidRDefault="007B5D76" w:rsidP="00F77C66"/>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7B5D76" w:rsidRPr="006774D3" w14:paraId="05B8BAF5" w14:textId="77777777" w:rsidTr="00822A75">
        <w:tc>
          <w:tcPr>
            <w:tcW w:w="10632" w:type="dxa"/>
            <w:gridSpan w:val="16"/>
            <w:shd w:val="clear" w:color="auto" w:fill="auto"/>
          </w:tcPr>
          <w:p w14:paraId="05B8BAF4" w14:textId="77777777" w:rsidR="007B5D76" w:rsidRPr="006774D3" w:rsidRDefault="007B5D76" w:rsidP="00F77C66">
            <w:pPr>
              <w:ind w:left="-27"/>
              <w:rPr>
                <w:rFonts w:ascii="Arial" w:hAnsi="Arial" w:cs="Arial"/>
                <w:sz w:val="16"/>
                <w:szCs w:val="16"/>
              </w:rPr>
            </w:pPr>
            <w:r w:rsidRPr="006774D3">
              <w:rPr>
                <w:rFonts w:ascii="Arial" w:hAnsi="Arial" w:cs="Arial"/>
                <w:sz w:val="20"/>
                <w:szCs w:val="20"/>
              </w:rPr>
              <w:t>Í áhættu : Tilvik</w:t>
            </w:r>
          </w:p>
        </w:tc>
      </w:tr>
      <w:tr w:rsidR="007B5D76" w:rsidRPr="006774D3" w14:paraId="05B8BB06" w14:textId="77777777" w:rsidTr="00822A75">
        <w:tc>
          <w:tcPr>
            <w:tcW w:w="450" w:type="dxa"/>
            <w:shd w:val="clear" w:color="auto" w:fill="auto"/>
          </w:tcPr>
          <w:p w14:paraId="05B8BAF6" w14:textId="77777777" w:rsidR="007B5D76" w:rsidRPr="006774D3" w:rsidRDefault="007B5D76" w:rsidP="00F77C66">
            <w:pPr>
              <w:rPr>
                <w:sz w:val="20"/>
                <w:szCs w:val="20"/>
              </w:rPr>
            </w:pPr>
            <w:r w:rsidRPr="006774D3">
              <w:rPr>
                <w:sz w:val="20"/>
                <w:szCs w:val="20"/>
              </w:rPr>
              <w:t>(1)</w:t>
            </w:r>
          </w:p>
        </w:tc>
        <w:tc>
          <w:tcPr>
            <w:tcW w:w="691" w:type="dxa"/>
            <w:shd w:val="clear" w:color="auto" w:fill="auto"/>
          </w:tcPr>
          <w:p w14:paraId="05B8BAF7" w14:textId="77777777" w:rsidR="007B5D76" w:rsidRPr="006774D3" w:rsidRDefault="007B5D76" w:rsidP="00F77C66">
            <w:pPr>
              <w:ind w:left="-45"/>
              <w:rPr>
                <w:sz w:val="20"/>
                <w:szCs w:val="20"/>
              </w:rPr>
            </w:pPr>
            <w:r w:rsidRPr="006774D3">
              <w:rPr>
                <w:sz w:val="20"/>
                <w:szCs w:val="20"/>
              </w:rPr>
              <w:t>199:0</w:t>
            </w:r>
          </w:p>
        </w:tc>
        <w:tc>
          <w:tcPr>
            <w:tcW w:w="672" w:type="dxa"/>
            <w:shd w:val="clear" w:color="auto" w:fill="auto"/>
          </w:tcPr>
          <w:p w14:paraId="05B8BAF8" w14:textId="77777777" w:rsidR="007B5D76" w:rsidRPr="006774D3" w:rsidRDefault="007B5D76" w:rsidP="00F77C66">
            <w:pPr>
              <w:ind w:left="-45"/>
              <w:rPr>
                <w:sz w:val="20"/>
                <w:szCs w:val="20"/>
              </w:rPr>
            </w:pPr>
            <w:r w:rsidRPr="006774D3">
              <w:rPr>
                <w:sz w:val="20"/>
                <w:szCs w:val="20"/>
              </w:rPr>
              <w:t>190:2</w:t>
            </w:r>
          </w:p>
        </w:tc>
        <w:tc>
          <w:tcPr>
            <w:tcW w:w="714" w:type="dxa"/>
            <w:shd w:val="clear" w:color="auto" w:fill="auto"/>
          </w:tcPr>
          <w:p w14:paraId="05B8BAF9" w14:textId="77777777" w:rsidR="007B5D76" w:rsidRPr="006774D3" w:rsidRDefault="007B5D76" w:rsidP="00F77C66">
            <w:pPr>
              <w:ind w:left="-45"/>
              <w:rPr>
                <w:sz w:val="20"/>
                <w:szCs w:val="20"/>
              </w:rPr>
            </w:pPr>
            <w:r w:rsidRPr="006774D3">
              <w:rPr>
                <w:sz w:val="20"/>
                <w:szCs w:val="20"/>
              </w:rPr>
              <w:t>188:2</w:t>
            </w:r>
          </w:p>
        </w:tc>
        <w:tc>
          <w:tcPr>
            <w:tcW w:w="722" w:type="dxa"/>
            <w:shd w:val="clear" w:color="auto" w:fill="auto"/>
          </w:tcPr>
          <w:p w14:paraId="05B8BAFA" w14:textId="77777777" w:rsidR="007B5D76" w:rsidRPr="006774D3" w:rsidRDefault="007B5D76" w:rsidP="00F77C66">
            <w:pPr>
              <w:ind w:left="-45"/>
              <w:rPr>
                <w:sz w:val="20"/>
                <w:szCs w:val="20"/>
              </w:rPr>
            </w:pPr>
            <w:r w:rsidRPr="006774D3">
              <w:rPr>
                <w:sz w:val="20"/>
                <w:szCs w:val="20"/>
              </w:rPr>
              <w:t>183:6</w:t>
            </w:r>
          </w:p>
        </w:tc>
        <w:tc>
          <w:tcPr>
            <w:tcW w:w="694" w:type="dxa"/>
            <w:shd w:val="clear" w:color="auto" w:fill="auto"/>
          </w:tcPr>
          <w:p w14:paraId="05B8BAFB" w14:textId="77777777" w:rsidR="007B5D76" w:rsidRPr="006774D3" w:rsidRDefault="007B5D76" w:rsidP="00F77C66">
            <w:pPr>
              <w:ind w:left="-45"/>
              <w:rPr>
                <w:sz w:val="20"/>
                <w:szCs w:val="20"/>
              </w:rPr>
            </w:pPr>
            <w:r w:rsidRPr="006774D3">
              <w:rPr>
                <w:sz w:val="20"/>
                <w:szCs w:val="20"/>
              </w:rPr>
              <w:t>176:8</w:t>
            </w:r>
          </w:p>
        </w:tc>
        <w:tc>
          <w:tcPr>
            <w:tcW w:w="772" w:type="dxa"/>
            <w:shd w:val="clear" w:color="auto" w:fill="auto"/>
          </w:tcPr>
          <w:p w14:paraId="05B8BAFC" w14:textId="77777777" w:rsidR="007B5D76" w:rsidRPr="006774D3" w:rsidRDefault="007B5D76" w:rsidP="00F77C66">
            <w:pPr>
              <w:ind w:left="-45"/>
              <w:rPr>
                <w:sz w:val="20"/>
                <w:szCs w:val="20"/>
              </w:rPr>
            </w:pPr>
            <w:r w:rsidRPr="006774D3">
              <w:rPr>
                <w:sz w:val="20"/>
                <w:szCs w:val="20"/>
              </w:rPr>
              <w:t>156:10</w:t>
            </w:r>
          </w:p>
        </w:tc>
        <w:tc>
          <w:tcPr>
            <w:tcW w:w="782" w:type="dxa"/>
            <w:shd w:val="clear" w:color="auto" w:fill="auto"/>
          </w:tcPr>
          <w:p w14:paraId="05B8BAFD" w14:textId="77777777" w:rsidR="007B5D76" w:rsidRPr="006774D3" w:rsidRDefault="007B5D76" w:rsidP="00F77C66">
            <w:pPr>
              <w:ind w:left="-45"/>
              <w:rPr>
                <w:sz w:val="20"/>
                <w:szCs w:val="20"/>
              </w:rPr>
            </w:pPr>
            <w:r w:rsidRPr="006774D3">
              <w:rPr>
                <w:sz w:val="20"/>
                <w:szCs w:val="20"/>
              </w:rPr>
              <w:t>140:11</w:t>
            </w:r>
          </w:p>
        </w:tc>
        <w:tc>
          <w:tcPr>
            <w:tcW w:w="798" w:type="dxa"/>
            <w:shd w:val="clear" w:color="auto" w:fill="auto"/>
          </w:tcPr>
          <w:p w14:paraId="05B8BAFE" w14:textId="77777777" w:rsidR="007B5D76" w:rsidRPr="006774D3" w:rsidRDefault="007B5D76" w:rsidP="00F77C66">
            <w:pPr>
              <w:ind w:left="-45"/>
              <w:rPr>
                <w:sz w:val="20"/>
                <w:szCs w:val="20"/>
              </w:rPr>
            </w:pPr>
            <w:r w:rsidRPr="006774D3">
              <w:rPr>
                <w:sz w:val="20"/>
                <w:szCs w:val="20"/>
              </w:rPr>
              <w:t>105:14</w:t>
            </w:r>
          </w:p>
        </w:tc>
        <w:tc>
          <w:tcPr>
            <w:tcW w:w="654" w:type="dxa"/>
            <w:shd w:val="clear" w:color="auto" w:fill="auto"/>
          </w:tcPr>
          <w:p w14:paraId="05B8BAFF" w14:textId="77777777" w:rsidR="007B5D76" w:rsidRPr="006774D3" w:rsidRDefault="007B5D76" w:rsidP="00F77C66">
            <w:pPr>
              <w:ind w:left="-45"/>
              <w:rPr>
                <w:sz w:val="20"/>
                <w:szCs w:val="20"/>
              </w:rPr>
            </w:pPr>
            <w:r w:rsidRPr="006774D3">
              <w:rPr>
                <w:sz w:val="20"/>
                <w:szCs w:val="20"/>
              </w:rPr>
              <w:t>87:18</w:t>
            </w:r>
          </w:p>
        </w:tc>
        <w:tc>
          <w:tcPr>
            <w:tcW w:w="630" w:type="dxa"/>
            <w:shd w:val="clear" w:color="auto" w:fill="auto"/>
          </w:tcPr>
          <w:p w14:paraId="05B8BB00" w14:textId="77777777" w:rsidR="007B5D76" w:rsidRPr="006774D3" w:rsidRDefault="007B5D76" w:rsidP="00F77C66">
            <w:pPr>
              <w:ind w:left="-45"/>
              <w:rPr>
                <w:sz w:val="20"/>
                <w:szCs w:val="20"/>
              </w:rPr>
            </w:pPr>
            <w:r w:rsidRPr="006774D3">
              <w:rPr>
                <w:sz w:val="20"/>
                <w:szCs w:val="20"/>
              </w:rPr>
              <w:t>64:22</w:t>
            </w:r>
          </w:p>
        </w:tc>
        <w:tc>
          <w:tcPr>
            <w:tcW w:w="644" w:type="dxa"/>
            <w:shd w:val="clear" w:color="auto" w:fill="auto"/>
          </w:tcPr>
          <w:p w14:paraId="05B8BB01" w14:textId="77777777" w:rsidR="007B5D76" w:rsidRPr="006774D3" w:rsidRDefault="007B5D76" w:rsidP="00F77C66">
            <w:pPr>
              <w:ind w:left="-45"/>
              <w:rPr>
                <w:sz w:val="20"/>
                <w:szCs w:val="20"/>
              </w:rPr>
            </w:pPr>
            <w:r w:rsidRPr="006774D3">
              <w:rPr>
                <w:sz w:val="20"/>
                <w:szCs w:val="20"/>
              </w:rPr>
              <w:t>46:23</w:t>
            </w:r>
          </w:p>
        </w:tc>
        <w:tc>
          <w:tcPr>
            <w:tcW w:w="672" w:type="dxa"/>
            <w:shd w:val="clear" w:color="auto" w:fill="auto"/>
          </w:tcPr>
          <w:p w14:paraId="05B8BB02" w14:textId="77777777" w:rsidR="007B5D76" w:rsidRPr="006774D3" w:rsidRDefault="007B5D76" w:rsidP="00F77C66">
            <w:pPr>
              <w:ind w:left="-45"/>
              <w:rPr>
                <w:sz w:val="20"/>
                <w:szCs w:val="20"/>
              </w:rPr>
            </w:pPr>
            <w:r w:rsidRPr="006774D3">
              <w:rPr>
                <w:sz w:val="20"/>
                <w:szCs w:val="20"/>
              </w:rPr>
              <w:t>27:25</w:t>
            </w:r>
          </w:p>
        </w:tc>
        <w:tc>
          <w:tcPr>
            <w:tcW w:w="686" w:type="dxa"/>
            <w:shd w:val="clear" w:color="auto" w:fill="auto"/>
          </w:tcPr>
          <w:p w14:paraId="05B8BB03" w14:textId="77777777" w:rsidR="007B5D76" w:rsidRPr="006774D3" w:rsidRDefault="007B5D76" w:rsidP="00F77C66">
            <w:pPr>
              <w:ind w:left="-45"/>
              <w:rPr>
                <w:sz w:val="20"/>
                <w:szCs w:val="20"/>
              </w:rPr>
            </w:pPr>
            <w:r w:rsidRPr="006774D3">
              <w:rPr>
                <w:sz w:val="20"/>
                <w:szCs w:val="20"/>
              </w:rPr>
              <w:t>20:25</w:t>
            </w:r>
          </w:p>
        </w:tc>
        <w:tc>
          <w:tcPr>
            <w:tcW w:w="560" w:type="dxa"/>
            <w:shd w:val="clear" w:color="auto" w:fill="auto"/>
          </w:tcPr>
          <w:p w14:paraId="05B8BB04" w14:textId="77777777" w:rsidR="007B5D76" w:rsidRPr="006774D3" w:rsidRDefault="007B5D76" w:rsidP="00F77C66">
            <w:pPr>
              <w:ind w:left="-45"/>
              <w:rPr>
                <w:sz w:val="20"/>
                <w:szCs w:val="20"/>
              </w:rPr>
            </w:pPr>
            <w:r w:rsidRPr="006774D3">
              <w:rPr>
                <w:sz w:val="20"/>
                <w:szCs w:val="20"/>
              </w:rPr>
              <w:t>2:25</w:t>
            </w:r>
          </w:p>
        </w:tc>
        <w:tc>
          <w:tcPr>
            <w:tcW w:w="491" w:type="dxa"/>
            <w:shd w:val="clear" w:color="auto" w:fill="auto"/>
          </w:tcPr>
          <w:p w14:paraId="05B8BB05" w14:textId="77777777" w:rsidR="007B5D76" w:rsidRPr="006774D3" w:rsidRDefault="007B5D76" w:rsidP="00F77C66">
            <w:pPr>
              <w:ind w:left="-45"/>
              <w:rPr>
                <w:sz w:val="20"/>
                <w:szCs w:val="20"/>
              </w:rPr>
            </w:pPr>
            <w:r w:rsidRPr="006774D3">
              <w:rPr>
                <w:sz w:val="20"/>
                <w:szCs w:val="20"/>
              </w:rPr>
              <w:t>0:25</w:t>
            </w:r>
          </w:p>
        </w:tc>
      </w:tr>
      <w:tr w:rsidR="007B5D76" w:rsidRPr="006774D3" w14:paraId="05B8BB17" w14:textId="77777777" w:rsidTr="00822A75">
        <w:tc>
          <w:tcPr>
            <w:tcW w:w="450" w:type="dxa"/>
            <w:shd w:val="clear" w:color="auto" w:fill="auto"/>
          </w:tcPr>
          <w:p w14:paraId="05B8BB07" w14:textId="77777777" w:rsidR="007B5D76" w:rsidRPr="006774D3" w:rsidRDefault="007B5D76" w:rsidP="00F77C66">
            <w:pPr>
              <w:rPr>
                <w:sz w:val="20"/>
                <w:szCs w:val="20"/>
              </w:rPr>
            </w:pPr>
            <w:r w:rsidRPr="006774D3">
              <w:rPr>
                <w:sz w:val="20"/>
                <w:szCs w:val="20"/>
              </w:rPr>
              <w:t>(2)</w:t>
            </w:r>
          </w:p>
        </w:tc>
        <w:tc>
          <w:tcPr>
            <w:tcW w:w="691" w:type="dxa"/>
            <w:shd w:val="clear" w:color="auto" w:fill="auto"/>
          </w:tcPr>
          <w:p w14:paraId="05B8BB08" w14:textId="77777777" w:rsidR="007B5D76" w:rsidRPr="006774D3" w:rsidRDefault="007B5D76" w:rsidP="00F77C66">
            <w:pPr>
              <w:ind w:left="-45"/>
              <w:rPr>
                <w:sz w:val="20"/>
                <w:szCs w:val="20"/>
              </w:rPr>
            </w:pPr>
            <w:r w:rsidRPr="006774D3">
              <w:rPr>
                <w:sz w:val="20"/>
                <w:szCs w:val="20"/>
              </w:rPr>
              <w:t>198:0</w:t>
            </w:r>
          </w:p>
        </w:tc>
        <w:tc>
          <w:tcPr>
            <w:tcW w:w="672" w:type="dxa"/>
            <w:shd w:val="clear" w:color="auto" w:fill="auto"/>
          </w:tcPr>
          <w:p w14:paraId="05B8BB09" w14:textId="77777777" w:rsidR="007B5D76" w:rsidRPr="006774D3" w:rsidRDefault="007B5D76" w:rsidP="00F77C66">
            <w:pPr>
              <w:ind w:left="-45"/>
              <w:rPr>
                <w:sz w:val="20"/>
                <w:szCs w:val="20"/>
              </w:rPr>
            </w:pPr>
            <w:r w:rsidRPr="006774D3">
              <w:rPr>
                <w:sz w:val="20"/>
                <w:szCs w:val="20"/>
              </w:rPr>
              <w:t>196:0</w:t>
            </w:r>
          </w:p>
        </w:tc>
        <w:tc>
          <w:tcPr>
            <w:tcW w:w="714" w:type="dxa"/>
            <w:shd w:val="clear" w:color="auto" w:fill="auto"/>
          </w:tcPr>
          <w:p w14:paraId="05B8BB0A" w14:textId="77777777" w:rsidR="007B5D76" w:rsidRPr="006774D3" w:rsidRDefault="007B5D76" w:rsidP="00F77C66">
            <w:pPr>
              <w:ind w:left="-45"/>
              <w:rPr>
                <w:sz w:val="20"/>
                <w:szCs w:val="20"/>
              </w:rPr>
            </w:pPr>
            <w:r w:rsidRPr="006774D3">
              <w:rPr>
                <w:sz w:val="20"/>
                <w:szCs w:val="20"/>
              </w:rPr>
              <w:t>192:0</w:t>
            </w:r>
          </w:p>
        </w:tc>
        <w:tc>
          <w:tcPr>
            <w:tcW w:w="722" w:type="dxa"/>
            <w:shd w:val="clear" w:color="auto" w:fill="auto"/>
          </w:tcPr>
          <w:p w14:paraId="05B8BB0B" w14:textId="77777777" w:rsidR="007B5D76" w:rsidRPr="006774D3" w:rsidRDefault="007B5D76" w:rsidP="00F77C66">
            <w:pPr>
              <w:ind w:left="-45"/>
              <w:rPr>
                <w:sz w:val="20"/>
                <w:szCs w:val="20"/>
              </w:rPr>
            </w:pPr>
            <w:r w:rsidRPr="006774D3">
              <w:rPr>
                <w:sz w:val="20"/>
                <w:szCs w:val="20"/>
              </w:rPr>
              <w:t>187:4</w:t>
            </w:r>
          </w:p>
        </w:tc>
        <w:tc>
          <w:tcPr>
            <w:tcW w:w="694" w:type="dxa"/>
            <w:shd w:val="clear" w:color="auto" w:fill="auto"/>
          </w:tcPr>
          <w:p w14:paraId="05B8BB0C" w14:textId="77777777" w:rsidR="007B5D76" w:rsidRPr="006774D3" w:rsidRDefault="007B5D76" w:rsidP="00F77C66">
            <w:pPr>
              <w:ind w:left="-45"/>
              <w:rPr>
                <w:sz w:val="20"/>
                <w:szCs w:val="20"/>
              </w:rPr>
            </w:pPr>
            <w:r w:rsidRPr="006774D3">
              <w:rPr>
                <w:sz w:val="20"/>
                <w:szCs w:val="20"/>
              </w:rPr>
              <w:t>184:5</w:t>
            </w:r>
          </w:p>
        </w:tc>
        <w:tc>
          <w:tcPr>
            <w:tcW w:w="772" w:type="dxa"/>
            <w:shd w:val="clear" w:color="auto" w:fill="auto"/>
          </w:tcPr>
          <w:p w14:paraId="05B8BB0D" w14:textId="77777777" w:rsidR="007B5D76" w:rsidRPr="006774D3" w:rsidRDefault="007B5D76" w:rsidP="00F77C66">
            <w:pPr>
              <w:ind w:left="-45"/>
              <w:rPr>
                <w:sz w:val="20"/>
                <w:szCs w:val="20"/>
              </w:rPr>
            </w:pPr>
            <w:r w:rsidRPr="006774D3">
              <w:rPr>
                <w:sz w:val="20"/>
                <w:szCs w:val="20"/>
              </w:rPr>
              <w:t>164:7</w:t>
            </w:r>
          </w:p>
        </w:tc>
        <w:tc>
          <w:tcPr>
            <w:tcW w:w="782" w:type="dxa"/>
            <w:shd w:val="clear" w:color="auto" w:fill="auto"/>
          </w:tcPr>
          <w:p w14:paraId="05B8BB0E" w14:textId="77777777" w:rsidR="007B5D76" w:rsidRPr="006774D3" w:rsidRDefault="007B5D76" w:rsidP="00F77C66">
            <w:pPr>
              <w:ind w:left="-45"/>
              <w:rPr>
                <w:sz w:val="20"/>
                <w:szCs w:val="20"/>
              </w:rPr>
            </w:pPr>
            <w:r w:rsidRPr="006774D3">
              <w:rPr>
                <w:sz w:val="20"/>
                <w:szCs w:val="20"/>
              </w:rPr>
              <w:t>152:7</w:t>
            </w:r>
          </w:p>
        </w:tc>
        <w:tc>
          <w:tcPr>
            <w:tcW w:w="798" w:type="dxa"/>
            <w:shd w:val="clear" w:color="auto" w:fill="auto"/>
          </w:tcPr>
          <w:p w14:paraId="05B8BB0F" w14:textId="77777777" w:rsidR="007B5D76" w:rsidRPr="006774D3" w:rsidRDefault="007B5D76" w:rsidP="00F77C66">
            <w:pPr>
              <w:ind w:left="-45"/>
              <w:rPr>
                <w:sz w:val="20"/>
                <w:szCs w:val="20"/>
              </w:rPr>
            </w:pPr>
            <w:r w:rsidRPr="006774D3">
              <w:rPr>
                <w:sz w:val="20"/>
                <w:szCs w:val="20"/>
              </w:rPr>
              <w:t>119:8</w:t>
            </w:r>
          </w:p>
        </w:tc>
        <w:tc>
          <w:tcPr>
            <w:tcW w:w="654" w:type="dxa"/>
            <w:shd w:val="clear" w:color="auto" w:fill="auto"/>
          </w:tcPr>
          <w:p w14:paraId="05B8BB10" w14:textId="77777777" w:rsidR="007B5D76" w:rsidRPr="006774D3" w:rsidRDefault="007B5D76" w:rsidP="00F77C66">
            <w:pPr>
              <w:ind w:left="-45"/>
              <w:rPr>
                <w:sz w:val="20"/>
                <w:szCs w:val="20"/>
              </w:rPr>
            </w:pPr>
            <w:r w:rsidRPr="006774D3">
              <w:rPr>
                <w:sz w:val="20"/>
                <w:szCs w:val="20"/>
              </w:rPr>
              <w:t>100:8</w:t>
            </w:r>
          </w:p>
        </w:tc>
        <w:tc>
          <w:tcPr>
            <w:tcW w:w="630" w:type="dxa"/>
            <w:shd w:val="clear" w:color="auto" w:fill="auto"/>
          </w:tcPr>
          <w:p w14:paraId="05B8BB11" w14:textId="77777777" w:rsidR="007B5D76" w:rsidRPr="006774D3" w:rsidRDefault="007B5D76" w:rsidP="00F77C66">
            <w:pPr>
              <w:ind w:left="-45"/>
              <w:rPr>
                <w:sz w:val="20"/>
                <w:szCs w:val="20"/>
              </w:rPr>
            </w:pPr>
            <w:r w:rsidRPr="006774D3">
              <w:rPr>
                <w:sz w:val="20"/>
                <w:szCs w:val="20"/>
              </w:rPr>
              <w:t>76:10</w:t>
            </w:r>
          </w:p>
        </w:tc>
        <w:tc>
          <w:tcPr>
            <w:tcW w:w="644" w:type="dxa"/>
            <w:shd w:val="clear" w:color="auto" w:fill="auto"/>
          </w:tcPr>
          <w:p w14:paraId="05B8BB12" w14:textId="77777777" w:rsidR="007B5D76" w:rsidRPr="006774D3" w:rsidRDefault="007B5D76" w:rsidP="00F77C66">
            <w:pPr>
              <w:ind w:left="-45"/>
              <w:rPr>
                <w:sz w:val="20"/>
                <w:szCs w:val="20"/>
              </w:rPr>
            </w:pPr>
            <w:r w:rsidRPr="006774D3">
              <w:rPr>
                <w:sz w:val="20"/>
                <w:szCs w:val="20"/>
              </w:rPr>
              <w:t>56:11</w:t>
            </w:r>
          </w:p>
        </w:tc>
        <w:tc>
          <w:tcPr>
            <w:tcW w:w="672" w:type="dxa"/>
            <w:shd w:val="clear" w:color="auto" w:fill="auto"/>
          </w:tcPr>
          <w:p w14:paraId="05B8BB13" w14:textId="77777777" w:rsidR="007B5D76" w:rsidRPr="006774D3" w:rsidRDefault="007B5D76" w:rsidP="00F77C66">
            <w:pPr>
              <w:ind w:left="-45"/>
              <w:rPr>
                <w:sz w:val="20"/>
                <w:szCs w:val="20"/>
              </w:rPr>
            </w:pPr>
            <w:r w:rsidRPr="006774D3">
              <w:rPr>
                <w:sz w:val="20"/>
                <w:szCs w:val="20"/>
              </w:rPr>
              <w:t>31:11</w:t>
            </w:r>
          </w:p>
        </w:tc>
        <w:tc>
          <w:tcPr>
            <w:tcW w:w="686" w:type="dxa"/>
            <w:shd w:val="clear" w:color="auto" w:fill="auto"/>
          </w:tcPr>
          <w:p w14:paraId="05B8BB14" w14:textId="77777777" w:rsidR="007B5D76" w:rsidRPr="006774D3" w:rsidRDefault="007B5D76" w:rsidP="00F77C66">
            <w:pPr>
              <w:ind w:left="-45"/>
              <w:rPr>
                <w:sz w:val="20"/>
                <w:szCs w:val="20"/>
              </w:rPr>
            </w:pPr>
            <w:r w:rsidRPr="006774D3">
              <w:rPr>
                <w:sz w:val="20"/>
                <w:szCs w:val="20"/>
              </w:rPr>
              <w:t>13:12</w:t>
            </w:r>
          </w:p>
        </w:tc>
        <w:tc>
          <w:tcPr>
            <w:tcW w:w="560" w:type="dxa"/>
            <w:shd w:val="clear" w:color="auto" w:fill="auto"/>
          </w:tcPr>
          <w:p w14:paraId="05B8BB15" w14:textId="77777777" w:rsidR="007B5D76" w:rsidRPr="006774D3" w:rsidRDefault="007B5D76" w:rsidP="00F77C66">
            <w:pPr>
              <w:ind w:left="-45"/>
              <w:rPr>
                <w:sz w:val="20"/>
                <w:szCs w:val="20"/>
              </w:rPr>
            </w:pPr>
            <w:r w:rsidRPr="006774D3">
              <w:rPr>
                <w:sz w:val="20"/>
                <w:szCs w:val="20"/>
              </w:rPr>
              <w:t>0:12</w:t>
            </w:r>
          </w:p>
        </w:tc>
        <w:tc>
          <w:tcPr>
            <w:tcW w:w="491" w:type="dxa"/>
            <w:shd w:val="clear" w:color="auto" w:fill="auto"/>
          </w:tcPr>
          <w:p w14:paraId="05B8BB16" w14:textId="77777777" w:rsidR="007B5D76" w:rsidRPr="006774D3" w:rsidRDefault="007B5D76" w:rsidP="00F77C66">
            <w:pPr>
              <w:ind w:left="-45"/>
              <w:rPr>
                <w:sz w:val="20"/>
                <w:szCs w:val="20"/>
              </w:rPr>
            </w:pPr>
          </w:p>
        </w:tc>
      </w:tr>
    </w:tbl>
    <w:p w14:paraId="05B8BB18" w14:textId="77777777" w:rsidR="007B5D76" w:rsidRPr="006774D3" w:rsidRDefault="007B5D76" w:rsidP="00F77C66">
      <w:pPr>
        <w:rPr>
          <w:color w:val="000000"/>
          <w:sz w:val="22"/>
          <w:szCs w:val="22"/>
        </w:rPr>
      </w:pPr>
    </w:p>
    <w:p w14:paraId="05B8BB19" w14:textId="77777777" w:rsidR="007B5D76" w:rsidRPr="006774D3" w:rsidRDefault="007B5D76" w:rsidP="00F77C66">
      <w:pPr>
        <w:rPr>
          <w:sz w:val="22"/>
          <w:szCs w:val="22"/>
        </w:rPr>
      </w:pPr>
      <w:r w:rsidRPr="006774D3">
        <w:rPr>
          <w:color w:val="000000"/>
          <w:sz w:val="22"/>
          <w:szCs w:val="22"/>
        </w:rPr>
        <w:t>Ekki hafa verið gerðar neinar samanburðarrannsóknir hjá börnum með c-Kit jákvætt GIST. Í 7 birtum heimildum var greint frá 17 sjúklingum með GIST (með eða án Kit og PDGFR stökkbreytinga) Sjúklingarnir voru á aldrinum 8 til 18 ára og fengu imatinib sem viðbótarmeðferð og við meinvörpum í skömmtum á bilinu 300 til 800</w:t>
      </w:r>
      <w:r w:rsidRPr="006774D3">
        <w:rPr>
          <w:sz w:val="22"/>
          <w:szCs w:val="22"/>
        </w:rPr>
        <w:t> mg á sólarhring. Upplýsingar sem staðfestu c-kit eða PDGFR stökkbreytingar skorti hjá meirihluta barna sem fengu meðferð við GIST, sem gæti hafa leitt til óráðinnar klínískrar útkomu.</w:t>
      </w:r>
    </w:p>
    <w:p w14:paraId="05B8BB1A" w14:textId="77777777" w:rsidR="007B5D76" w:rsidRPr="006774D3" w:rsidRDefault="007B5D76" w:rsidP="00F77C66">
      <w:pPr>
        <w:rPr>
          <w:color w:val="000000"/>
          <w:sz w:val="22"/>
          <w:szCs w:val="22"/>
          <w:u w:val="single"/>
        </w:rPr>
      </w:pPr>
    </w:p>
    <w:p w14:paraId="05B8BB1B" w14:textId="77777777" w:rsidR="007B5D76" w:rsidRPr="006774D3" w:rsidRDefault="007B5D76" w:rsidP="00F77C66">
      <w:pPr>
        <w:keepNext/>
        <w:rPr>
          <w:color w:val="000000"/>
          <w:sz w:val="22"/>
          <w:szCs w:val="22"/>
          <w:u w:val="single"/>
        </w:rPr>
      </w:pPr>
      <w:r w:rsidRPr="006774D3">
        <w:rPr>
          <w:color w:val="000000"/>
          <w:sz w:val="22"/>
          <w:szCs w:val="22"/>
          <w:u w:val="single"/>
        </w:rPr>
        <w:t>Klínískar rannsóknir á DFSP</w:t>
      </w:r>
    </w:p>
    <w:p w14:paraId="05B8BB1C" w14:textId="1A7DD103" w:rsidR="007B5D76" w:rsidRPr="006774D3" w:rsidRDefault="007B5D76" w:rsidP="00F77C66">
      <w:pPr>
        <w:rPr>
          <w:color w:val="000000"/>
          <w:sz w:val="22"/>
          <w:szCs w:val="22"/>
        </w:rPr>
      </w:pPr>
      <w:r w:rsidRPr="006774D3">
        <w:rPr>
          <w:color w:val="000000"/>
          <w:sz w:val="22"/>
          <w:szCs w:val="22"/>
        </w:rPr>
        <w:t>Fram fór ein opin, fjölsetra, II. stigs klínísk rannsókn (rannsókn B2225) sem í tóku þátt 12 sjúklingar með DFSP, sem fengu meðferð með Glivec 800 mg á sólarhring. DFSP sjúklingarnir voru á aldrinum 23 til 75 ára, þeir voru með DFSP með meinvörpum, staðbundið endurkomið eftir brottnám með skurðaðgerð og ekki talið viðráðanlegt með frekari skurðaðgerðum þegar sjúklingurinn hóf þátttöku í rannsókninni. Grundvallarstaðfesting á verkun byggðist á hlutlægu svörunar</w:t>
      </w:r>
      <w:r w:rsidRPr="006774D3">
        <w:rPr>
          <w:color w:val="000000"/>
          <w:sz w:val="22"/>
          <w:szCs w:val="22"/>
        </w:rPr>
        <w:softHyphen/>
        <w:t>hlutfalli. Af 12 sjúklingum sem tóku þátt í rannsókninni kom fram svörun hjá 9 þeirra, hjá 1 þeirra kom fram fullkomin svörun og hjá 8 þeirra kom fram svörun að hluta. Hjá 3 sjúklinganna sem sýndu svörun að hluta til tókst síðan að vinna bug á sjúkdómnum með skurðaðgerð. Miðgildi meðferðarlengdar í rannsókn B2225 var 6,2 mánuðir og lengsta meðferðin var 24,3 mánuðir. Greint var frá 6 DFSP sjúklingum til viðbótar, á aldrinum 18 mánaða til 49 ára, sem fengu meðferð með Glivec, í 5 birtum tilfellagreinum. Fullorðnu sjúklingarnir sem greint var frá í birtum heimildum fengu annaðhvort 400 mg (4 tilvik) eða 800 mg (1 tilvik) af Glivec á sólarhring. Svörun kom fram hjá 5 sjúklingum, fullkomin svörun hjá 3 sjúklingum og svörun að hluta til hjá 2 sjúklingum. Miðgildi meðferðarlengdar í birtum heimildum var á bilinu 4 vikur til meira en 20 mánuðir. Yfirfærslan (translocation) (</w:t>
      </w:r>
      <w:r w:rsidRPr="006774D3">
        <w:rPr>
          <w:color w:val="000000"/>
          <w:sz w:val="22"/>
          <w:szCs w:val="22"/>
          <w:lang w:eastAsia="ja-JP"/>
        </w:rPr>
        <w:t>t(17:22)[(q22:q13)] eða erfð</w:t>
      </w:r>
      <w:r w:rsidR="006C3520" w:rsidRPr="006774D3">
        <w:rPr>
          <w:color w:val="000000"/>
          <w:sz w:val="22"/>
          <w:szCs w:val="22"/>
          <w:lang w:eastAsia="ja-JP"/>
        </w:rPr>
        <w:t>a</w:t>
      </w:r>
      <w:r w:rsidRPr="006774D3">
        <w:rPr>
          <w:color w:val="000000"/>
          <w:sz w:val="22"/>
          <w:szCs w:val="22"/>
          <w:lang w:eastAsia="ja-JP"/>
        </w:rPr>
        <w:t>vísisafurð þess var til staðar hjá nær öllum þeim sem svöruðu meðferð með Glivec.</w:t>
      </w:r>
    </w:p>
    <w:p w14:paraId="05B8BB1D" w14:textId="77777777" w:rsidR="007B5D76" w:rsidRPr="006774D3" w:rsidRDefault="007B5D76" w:rsidP="00F77C66">
      <w:pPr>
        <w:rPr>
          <w:color w:val="000000"/>
          <w:sz w:val="22"/>
          <w:szCs w:val="22"/>
        </w:rPr>
      </w:pPr>
    </w:p>
    <w:p w14:paraId="05B8BB1E" w14:textId="77777777" w:rsidR="007B5D76" w:rsidRPr="006774D3" w:rsidRDefault="007B5D76" w:rsidP="00F77C66">
      <w:pPr>
        <w:rPr>
          <w:color w:val="000000"/>
          <w:sz w:val="22"/>
          <w:szCs w:val="22"/>
        </w:rPr>
      </w:pPr>
      <w:r w:rsidRPr="006774D3">
        <w:rPr>
          <w:color w:val="000000"/>
          <w:sz w:val="22"/>
          <w:szCs w:val="22"/>
        </w:rPr>
        <w:t>Ekki hafa verið gerðar neinar samanburðarrannsóknir hjá börnum með DFSP. Í 3 birtum heimildum var greint frá 5 sjúklingum með DFSP og PDGFR endurröðun erfðavísa. Sjúklingarnir voru á aldrinum nýfæddir til 14 ára og fengu imatinib í skammtinum 50 mg á sólarhring eða í skömmtum á bilinu 400 til 520 mg/m</w:t>
      </w:r>
      <w:r w:rsidRPr="006774D3">
        <w:rPr>
          <w:color w:val="000000"/>
          <w:sz w:val="22"/>
          <w:szCs w:val="22"/>
          <w:vertAlign w:val="superscript"/>
        </w:rPr>
        <w:t>2</w:t>
      </w:r>
      <w:r w:rsidRPr="006774D3">
        <w:rPr>
          <w:color w:val="000000"/>
          <w:sz w:val="22"/>
          <w:szCs w:val="22"/>
        </w:rPr>
        <w:t xml:space="preserve"> á sólarhring. Allir sjúklingar náðu svörun að hluta og/eða full</w:t>
      </w:r>
      <w:r w:rsidR="003C5A06" w:rsidRPr="006774D3">
        <w:rPr>
          <w:color w:val="000000"/>
          <w:sz w:val="22"/>
          <w:szCs w:val="22"/>
        </w:rPr>
        <w:t xml:space="preserve">ri </w:t>
      </w:r>
      <w:r w:rsidRPr="006774D3">
        <w:rPr>
          <w:color w:val="000000"/>
          <w:sz w:val="22"/>
          <w:szCs w:val="22"/>
        </w:rPr>
        <w:t>svörun.</w:t>
      </w:r>
    </w:p>
    <w:p w14:paraId="05B8BB1F" w14:textId="77777777" w:rsidR="007B5D76" w:rsidRPr="006774D3" w:rsidRDefault="007B5D76" w:rsidP="00F77C66">
      <w:pPr>
        <w:rPr>
          <w:color w:val="000000"/>
          <w:sz w:val="22"/>
          <w:szCs w:val="22"/>
        </w:rPr>
      </w:pPr>
    </w:p>
    <w:p w14:paraId="05B8BB20" w14:textId="77777777" w:rsidR="0066719E" w:rsidRPr="006774D3" w:rsidRDefault="0066719E" w:rsidP="00F77C66">
      <w:pPr>
        <w:keepNext/>
        <w:rPr>
          <w:color w:val="000000"/>
          <w:sz w:val="22"/>
          <w:szCs w:val="22"/>
        </w:rPr>
      </w:pPr>
      <w:r w:rsidRPr="006774D3">
        <w:rPr>
          <w:b/>
          <w:color w:val="000000"/>
          <w:sz w:val="22"/>
          <w:szCs w:val="22"/>
        </w:rPr>
        <w:lastRenderedPageBreak/>
        <w:t>5.2</w:t>
      </w:r>
      <w:r w:rsidRPr="006774D3">
        <w:rPr>
          <w:b/>
          <w:color w:val="000000"/>
          <w:sz w:val="22"/>
          <w:szCs w:val="22"/>
        </w:rPr>
        <w:tab/>
        <w:t>Lyfjahvörf</w:t>
      </w:r>
    </w:p>
    <w:p w14:paraId="05B8BB21" w14:textId="77777777" w:rsidR="0066719E" w:rsidRPr="006774D3" w:rsidRDefault="0066719E" w:rsidP="00F77C66">
      <w:pPr>
        <w:keepNext/>
        <w:rPr>
          <w:color w:val="000000"/>
          <w:sz w:val="22"/>
          <w:szCs w:val="22"/>
        </w:rPr>
      </w:pPr>
    </w:p>
    <w:p w14:paraId="05B8BB22" w14:textId="77777777" w:rsidR="0066719E" w:rsidRPr="006774D3" w:rsidRDefault="0066719E"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Glivec</w:t>
      </w:r>
    </w:p>
    <w:p w14:paraId="05B8BB23" w14:textId="77777777" w:rsidR="0066719E" w:rsidRPr="006774D3" w:rsidRDefault="0066719E" w:rsidP="00F77C66">
      <w:pPr>
        <w:rPr>
          <w:color w:val="000000"/>
          <w:sz w:val="22"/>
          <w:szCs w:val="22"/>
        </w:rPr>
      </w:pPr>
      <w:r w:rsidRPr="006774D3">
        <w:rPr>
          <w:color w:val="000000"/>
          <w:sz w:val="22"/>
          <w:szCs w:val="22"/>
        </w:rPr>
        <w:t>Lyfjahvörf Glivec hafa verið metin á skammtabilinu 25 til 1.000 mg. Lyfjahvörf í plasma voru greind á degi 1 og annaðhvort á degi 7 eða degi 28, en þá hafði plasmaþéttni náð jafnvægi.</w:t>
      </w:r>
    </w:p>
    <w:p w14:paraId="05B8BB24" w14:textId="77777777" w:rsidR="0066719E" w:rsidRPr="006774D3" w:rsidRDefault="0066719E" w:rsidP="00F77C66">
      <w:pPr>
        <w:rPr>
          <w:color w:val="000000"/>
          <w:sz w:val="22"/>
          <w:szCs w:val="22"/>
        </w:rPr>
      </w:pPr>
    </w:p>
    <w:p w14:paraId="05B8BB25"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Frásog</w:t>
      </w:r>
    </w:p>
    <w:p w14:paraId="05B8BB26" w14:textId="77777777" w:rsidR="005F57F3" w:rsidRPr="006774D3" w:rsidRDefault="005F57F3" w:rsidP="00F77C66">
      <w:pPr>
        <w:rPr>
          <w:color w:val="000000"/>
          <w:sz w:val="22"/>
          <w:szCs w:val="22"/>
        </w:rPr>
      </w:pPr>
      <w:r w:rsidRPr="006774D3">
        <w:rPr>
          <w:color w:val="000000"/>
          <w:sz w:val="22"/>
          <w:szCs w:val="22"/>
        </w:rPr>
        <w:t>Nýting (absolute bioavailability) imatinibs er að meðaltali 98%. Mikill breytileiki var á AUC gildum imatinibs í plasma milli sjúklinga eftir skammt til inntöku. Þegar imatinib var gefið með fituríkri máltíð dró aðeins óverulega úr frásogi (11% minnkun á C</w:t>
      </w:r>
      <w:r w:rsidRPr="006774D3">
        <w:rPr>
          <w:color w:val="000000"/>
          <w:sz w:val="22"/>
          <w:szCs w:val="22"/>
          <w:vertAlign w:val="subscript"/>
        </w:rPr>
        <w:t>max</w:t>
      </w:r>
      <w:r w:rsidRPr="006774D3">
        <w:rPr>
          <w:color w:val="000000"/>
          <w:sz w:val="22"/>
          <w:szCs w:val="22"/>
        </w:rPr>
        <w:t xml:space="preserve"> og lenging á t</w:t>
      </w:r>
      <w:r w:rsidRPr="006774D3">
        <w:rPr>
          <w:color w:val="000000"/>
          <w:sz w:val="22"/>
          <w:szCs w:val="22"/>
          <w:vertAlign w:val="subscript"/>
        </w:rPr>
        <w:t>max</w:t>
      </w:r>
      <w:r w:rsidRPr="006774D3">
        <w:rPr>
          <w:color w:val="000000"/>
          <w:sz w:val="22"/>
          <w:szCs w:val="22"/>
        </w:rPr>
        <w:t xml:space="preserve"> um 1,5 klst.) með smávægilegri minnkun á AUC (7,4%), samanborið við fastandi aðstæður. Áhrif fyrri maga- og þarmaskurðaðgerða á frásog lyfsins hafa ekki verið rannsökuð.</w:t>
      </w:r>
    </w:p>
    <w:p w14:paraId="05B8BB27" w14:textId="77777777" w:rsidR="005F57F3" w:rsidRPr="006774D3" w:rsidRDefault="005F57F3" w:rsidP="00F77C66">
      <w:pPr>
        <w:rPr>
          <w:color w:val="000000"/>
          <w:sz w:val="22"/>
          <w:szCs w:val="22"/>
        </w:rPr>
      </w:pPr>
    </w:p>
    <w:p w14:paraId="05B8BB28"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Dreifing</w:t>
      </w:r>
    </w:p>
    <w:p w14:paraId="05B8BB29" w14:textId="77777777" w:rsidR="005F57F3" w:rsidRPr="006774D3" w:rsidRDefault="005F57F3" w:rsidP="00F77C66">
      <w:pPr>
        <w:rPr>
          <w:color w:val="000000"/>
          <w:sz w:val="22"/>
          <w:szCs w:val="22"/>
        </w:rPr>
      </w:pPr>
      <w:r w:rsidRPr="006774D3">
        <w:rPr>
          <w:color w:val="000000"/>
          <w:sz w:val="22"/>
          <w:szCs w:val="22"/>
        </w:rPr>
        <w:t xml:space="preserve">Við þéttni imatinibs sem skiptir klínísku máli var um 95% bundið plasmapróteinum, grundvallað á </w:t>
      </w:r>
      <w:r w:rsidRPr="006774D3">
        <w:rPr>
          <w:i/>
          <w:color w:val="000000"/>
          <w:sz w:val="22"/>
          <w:szCs w:val="22"/>
        </w:rPr>
        <w:t xml:space="preserve">in vitro </w:t>
      </w:r>
      <w:r w:rsidRPr="006774D3">
        <w:rPr>
          <w:color w:val="000000"/>
          <w:sz w:val="22"/>
          <w:szCs w:val="22"/>
        </w:rPr>
        <w:t>rannsóknum, einkum albumini og alfa-sýru-glýkópróteini, með litla bindingu við lipoprótein.</w:t>
      </w:r>
    </w:p>
    <w:p w14:paraId="05B8BB2A" w14:textId="77777777" w:rsidR="005F57F3" w:rsidRPr="006774D3" w:rsidRDefault="005F57F3" w:rsidP="00F77C66">
      <w:pPr>
        <w:rPr>
          <w:color w:val="000000"/>
          <w:sz w:val="22"/>
          <w:szCs w:val="22"/>
        </w:rPr>
      </w:pPr>
    </w:p>
    <w:p w14:paraId="05B8BB2B"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Umbrot</w:t>
      </w:r>
    </w:p>
    <w:p w14:paraId="05B8BB2C" w14:textId="77777777" w:rsidR="005F57F3" w:rsidRPr="006774D3" w:rsidRDefault="005F57F3" w:rsidP="00F77C66">
      <w:pPr>
        <w:rPr>
          <w:color w:val="000000"/>
          <w:sz w:val="22"/>
          <w:szCs w:val="22"/>
        </w:rPr>
      </w:pPr>
      <w:r w:rsidRPr="006774D3">
        <w:rPr>
          <w:color w:val="000000"/>
          <w:sz w:val="22"/>
          <w:szCs w:val="22"/>
        </w:rPr>
        <w:t>Aðalumbrotsefni í blóðrás manna er N</w:t>
      </w:r>
      <w:r w:rsidRPr="006774D3">
        <w:rPr>
          <w:color w:val="000000"/>
          <w:sz w:val="22"/>
          <w:szCs w:val="22"/>
        </w:rPr>
        <w:noBreakHyphen/>
        <w:t xml:space="preserve">metýlsvipta piperazinafleiðan sem sýnir svipaða </w:t>
      </w:r>
      <w:r w:rsidRPr="006774D3">
        <w:rPr>
          <w:i/>
          <w:color w:val="000000"/>
          <w:sz w:val="22"/>
          <w:szCs w:val="22"/>
        </w:rPr>
        <w:t xml:space="preserve">in vitro </w:t>
      </w:r>
      <w:r w:rsidRPr="006774D3">
        <w:rPr>
          <w:color w:val="000000"/>
          <w:sz w:val="22"/>
          <w:szCs w:val="22"/>
        </w:rPr>
        <w:t>virkni og lyfið sjálft. AUC í plasma fyrir þetta umbrotsefni var einungis 16% af AUC fyrir imatinib. Binding N</w:t>
      </w:r>
      <w:r w:rsidRPr="006774D3">
        <w:rPr>
          <w:color w:val="000000"/>
          <w:sz w:val="22"/>
          <w:szCs w:val="22"/>
        </w:rPr>
        <w:noBreakHyphen/>
        <w:t>metýl</w:t>
      </w:r>
      <w:r w:rsidRPr="006774D3">
        <w:rPr>
          <w:color w:val="000000"/>
          <w:sz w:val="22"/>
          <w:szCs w:val="22"/>
        </w:rPr>
        <w:softHyphen/>
        <w:t>svipta umbrotsefnisins við prótein í plasma er svipuð og fyrir móðurefnið.</w:t>
      </w:r>
    </w:p>
    <w:p w14:paraId="05B8BB2D"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B2E"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Imatinib og N</w:t>
      </w:r>
      <w:r w:rsidRPr="006774D3">
        <w:rPr>
          <w:color w:val="000000"/>
          <w:sz w:val="22"/>
          <w:szCs w:val="22"/>
          <w:lang w:val="is-IS"/>
        </w:rPr>
        <w:noBreakHyphen/>
        <w:t>metýlsvipta umbrotsefnið svöruðu samanlagt til 65% af geislavirkninni í blóðrás (AUC</w:t>
      </w:r>
      <w:r w:rsidRPr="006774D3">
        <w:rPr>
          <w:color w:val="000000"/>
          <w:sz w:val="22"/>
          <w:szCs w:val="22"/>
          <w:vertAlign w:val="subscript"/>
          <w:lang w:val="is-IS"/>
        </w:rPr>
        <w:t>(0</w:t>
      </w:r>
      <w:r w:rsidRPr="006774D3">
        <w:rPr>
          <w:color w:val="000000"/>
          <w:sz w:val="22"/>
          <w:szCs w:val="22"/>
          <w:vertAlign w:val="subscript"/>
          <w:lang w:val="is-IS"/>
        </w:rPr>
        <w:noBreakHyphen/>
        <w:t>48 klst.)</w:t>
      </w:r>
      <w:r w:rsidRPr="006774D3">
        <w:rPr>
          <w:color w:val="000000"/>
          <w:sz w:val="22"/>
          <w:szCs w:val="22"/>
          <w:lang w:val="is-IS"/>
        </w:rPr>
        <w:t>). Það sem eftir er af geislavirkninni í blóðrás eru mörg minni umbrotsefni.</w:t>
      </w:r>
    </w:p>
    <w:p w14:paraId="05B8BB2F"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B30" w14:textId="77777777" w:rsidR="005F57F3" w:rsidRPr="006774D3" w:rsidRDefault="005F57F3" w:rsidP="00F77C66">
      <w:pPr>
        <w:pStyle w:val="EndnoteText"/>
        <w:spacing w:before="0" w:after="0"/>
        <w:ind w:left="0" w:firstLine="0"/>
        <w:rPr>
          <w:color w:val="000000"/>
          <w:sz w:val="22"/>
          <w:szCs w:val="22"/>
          <w:lang w:val="is-IS"/>
        </w:rPr>
      </w:pPr>
      <w:r w:rsidRPr="006774D3">
        <w:rPr>
          <w:i/>
          <w:color w:val="000000"/>
          <w:sz w:val="22"/>
          <w:szCs w:val="22"/>
          <w:lang w:val="is-IS"/>
        </w:rPr>
        <w:t>In vitro</w:t>
      </w:r>
      <w:r w:rsidRPr="006774D3">
        <w:rPr>
          <w:color w:val="000000"/>
          <w:sz w:val="22"/>
          <w:szCs w:val="22"/>
          <w:lang w:val="is-IS"/>
        </w:rPr>
        <w:t xml:space="preserve"> niðurstöður sýndu að CYP3A4 var helsta P450 ensímið í mönnum sem hafði í för með sér umbrot á imatinibi. Af mörgum lyfjum sem hugsanlega eru notuð samhliða (paracetamol, aciclovir, allopurinol, amfotericin, cytarabin, erytromycin, fluconazol, hydroxyurea, norfloxacin, penicillin V) sýndu einungis erytromycin (IC</w:t>
      </w:r>
      <w:r w:rsidRPr="006774D3">
        <w:rPr>
          <w:color w:val="000000"/>
          <w:sz w:val="22"/>
          <w:szCs w:val="22"/>
          <w:vertAlign w:val="subscript"/>
          <w:lang w:val="is-IS"/>
        </w:rPr>
        <w:t>50</w:t>
      </w:r>
      <w:r w:rsidRPr="006774D3">
        <w:rPr>
          <w:color w:val="000000"/>
          <w:sz w:val="22"/>
          <w:szCs w:val="22"/>
          <w:lang w:val="is-IS"/>
        </w:rPr>
        <w:t> 50 μM) og fluconazol (IC</w:t>
      </w:r>
      <w:r w:rsidRPr="006774D3">
        <w:rPr>
          <w:color w:val="000000"/>
          <w:sz w:val="22"/>
          <w:szCs w:val="22"/>
          <w:vertAlign w:val="subscript"/>
          <w:lang w:val="is-IS"/>
        </w:rPr>
        <w:t>50</w:t>
      </w:r>
      <w:r w:rsidRPr="006774D3">
        <w:rPr>
          <w:color w:val="000000"/>
          <w:sz w:val="22"/>
          <w:szCs w:val="22"/>
          <w:lang w:val="is-IS"/>
        </w:rPr>
        <w:t> 118 μM) hömlun á umbrotum imatinibs sem gæti haft klíníska þýðingu.</w:t>
      </w:r>
    </w:p>
    <w:p w14:paraId="05B8BB31" w14:textId="77777777" w:rsidR="005F57F3" w:rsidRPr="006774D3" w:rsidRDefault="005F57F3" w:rsidP="00F77C66">
      <w:pPr>
        <w:pStyle w:val="EndnoteText"/>
        <w:spacing w:before="0" w:after="0"/>
        <w:ind w:left="0" w:firstLine="0"/>
        <w:rPr>
          <w:color w:val="000000"/>
          <w:sz w:val="22"/>
          <w:szCs w:val="22"/>
          <w:lang w:val="is-IS"/>
        </w:rPr>
      </w:pPr>
    </w:p>
    <w:p w14:paraId="05B8BB32" w14:textId="77777777" w:rsidR="005F57F3" w:rsidRPr="006774D3" w:rsidRDefault="005F57F3" w:rsidP="00F77C66">
      <w:pPr>
        <w:pStyle w:val="EndnoteText"/>
        <w:spacing w:before="0" w:after="0"/>
        <w:ind w:left="0" w:firstLine="0"/>
        <w:rPr>
          <w:color w:val="000000"/>
          <w:sz w:val="22"/>
          <w:szCs w:val="22"/>
          <w:lang w:val="is-IS"/>
        </w:rPr>
      </w:pPr>
      <w:r w:rsidRPr="006774D3">
        <w:rPr>
          <w:i/>
          <w:color w:val="000000"/>
          <w:sz w:val="22"/>
          <w:szCs w:val="22"/>
          <w:lang w:val="is-IS"/>
        </w:rPr>
        <w:t>In vitro</w:t>
      </w:r>
      <w:r w:rsidRPr="006774D3">
        <w:rPr>
          <w:color w:val="000000"/>
          <w:sz w:val="22"/>
          <w:szCs w:val="22"/>
          <w:lang w:val="is-IS"/>
        </w:rPr>
        <w:t xml:space="preserve"> var sýnt fram á að imatinib væri samkeppnishemill markhvarfefna CYP2C9, CYP2D6 og CYP3A4/5. K</w:t>
      </w:r>
      <w:r w:rsidRPr="006774D3">
        <w:rPr>
          <w:color w:val="000000"/>
          <w:sz w:val="22"/>
          <w:szCs w:val="22"/>
          <w:vertAlign w:val="subscript"/>
          <w:lang w:val="is-IS"/>
        </w:rPr>
        <w:t>i</w:t>
      </w:r>
      <w:r w:rsidRPr="006774D3">
        <w:rPr>
          <w:color w:val="000000"/>
          <w:sz w:val="22"/>
          <w:szCs w:val="22"/>
          <w:lang w:val="is-IS"/>
        </w:rPr>
        <w:t> gildi í lifrarfrymisögnum manna voru 27, 7,5 og 7,9 μmól/l, tilgreint í sömu röð. Hámarksþéttni imatinibs í plasma sjúklinga er 2</w:t>
      </w:r>
      <w:r w:rsidRPr="006774D3">
        <w:rPr>
          <w:color w:val="000000"/>
          <w:sz w:val="22"/>
          <w:szCs w:val="22"/>
          <w:lang w:val="is-IS"/>
        </w:rPr>
        <w:noBreakHyphen/>
        <w:t>4 μmól/l og þar af leiðandi er hömlun á CYP2D6 og/eða CYP3A4/5 miðluðum umbrotum möguleg við samhliða notkun annarra lyfja. Imatinib truflaði ekki umbreytingu 5</w:t>
      </w:r>
      <w:r w:rsidRPr="006774D3">
        <w:rPr>
          <w:color w:val="000000"/>
          <w:sz w:val="22"/>
          <w:szCs w:val="22"/>
          <w:lang w:val="is-IS"/>
        </w:rPr>
        <w:noBreakHyphen/>
        <w:t>fluorouracils, en hamlaði umbrotum paclitaxels vegna samkeppnishömlunar við CYP2C8 (K</w:t>
      </w:r>
      <w:r w:rsidRPr="006774D3">
        <w:rPr>
          <w:color w:val="000000"/>
          <w:sz w:val="22"/>
          <w:szCs w:val="22"/>
          <w:vertAlign w:val="subscript"/>
          <w:lang w:val="is-IS"/>
        </w:rPr>
        <w:t>i</w:t>
      </w:r>
      <w:r w:rsidRPr="006774D3">
        <w:rPr>
          <w:color w:val="000000"/>
          <w:sz w:val="22"/>
          <w:szCs w:val="22"/>
          <w:lang w:val="is-IS"/>
        </w:rPr>
        <w:t> = 34,7 μM). Þetta K</w:t>
      </w:r>
      <w:r w:rsidRPr="006774D3">
        <w:rPr>
          <w:color w:val="000000"/>
          <w:sz w:val="22"/>
          <w:szCs w:val="22"/>
          <w:vertAlign w:val="subscript"/>
          <w:lang w:val="is-IS"/>
        </w:rPr>
        <w:t>i</w:t>
      </w:r>
      <w:r w:rsidRPr="006774D3">
        <w:rPr>
          <w:color w:val="000000"/>
          <w:sz w:val="22"/>
          <w:szCs w:val="22"/>
          <w:lang w:val="is-IS"/>
        </w:rPr>
        <w:t> gildi er mun hærra en plasmaþéttni imatinibs sem búist er við hjá sjúklingum og þar af leiðandi er ekki gert ráð fyrir milliverkunum við samhliða notkun annaðhvort 5</w:t>
      </w:r>
      <w:r w:rsidRPr="006774D3">
        <w:rPr>
          <w:color w:val="000000"/>
          <w:sz w:val="22"/>
          <w:szCs w:val="22"/>
          <w:lang w:val="is-IS"/>
        </w:rPr>
        <w:noBreakHyphen/>
        <w:t>fluorouracils eða paclitaxels og imatinibs.</w:t>
      </w:r>
    </w:p>
    <w:p w14:paraId="05B8BB33" w14:textId="77777777" w:rsidR="005F57F3" w:rsidRPr="006774D3" w:rsidRDefault="005F57F3" w:rsidP="00F77C66">
      <w:pPr>
        <w:rPr>
          <w:color w:val="000000"/>
          <w:sz w:val="22"/>
          <w:szCs w:val="22"/>
        </w:rPr>
      </w:pPr>
    </w:p>
    <w:p w14:paraId="05B8BB34"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Brotthvarf</w:t>
      </w:r>
    </w:p>
    <w:p w14:paraId="05B8BB35" w14:textId="77777777" w:rsidR="005F57F3" w:rsidRPr="006774D3" w:rsidRDefault="005F57F3" w:rsidP="00F77C66">
      <w:pPr>
        <w:rPr>
          <w:color w:val="000000"/>
          <w:sz w:val="22"/>
          <w:szCs w:val="22"/>
        </w:rPr>
      </w:pPr>
      <w:r w:rsidRPr="006774D3">
        <w:rPr>
          <w:color w:val="000000"/>
          <w:sz w:val="22"/>
          <w:szCs w:val="22"/>
        </w:rPr>
        <w:t xml:space="preserve">Á grundvelli endurheimtra efnasambanda eftir inntöku </w:t>
      </w:r>
      <w:r w:rsidRPr="006774D3">
        <w:rPr>
          <w:color w:val="000000"/>
          <w:sz w:val="22"/>
          <w:szCs w:val="22"/>
          <w:vertAlign w:val="superscript"/>
        </w:rPr>
        <w:t>14</w:t>
      </w:r>
      <w:r w:rsidRPr="006774D3">
        <w:rPr>
          <w:color w:val="000000"/>
          <w:sz w:val="22"/>
          <w:szCs w:val="22"/>
        </w:rPr>
        <w:t>C</w:t>
      </w:r>
      <w:r w:rsidRPr="006774D3">
        <w:rPr>
          <w:color w:val="000000"/>
          <w:sz w:val="22"/>
          <w:szCs w:val="22"/>
        </w:rPr>
        <w:noBreakHyphen/>
        <w:t>merkts skammts af imatinibi til inntöku, skiluðu um 81% af skammtinum sér innan 7 daga í hægðum (68% af skammti) og þvagi (13% af skammti). Óbreytt imatinib var 25% af skammti (5% í þvagi, 20% í hægðum), afgangurinn er umbrotsefni.</w:t>
      </w:r>
    </w:p>
    <w:p w14:paraId="05B8BB36" w14:textId="77777777" w:rsidR="005F57F3" w:rsidRPr="006774D3" w:rsidRDefault="005F57F3" w:rsidP="00F77C66">
      <w:pPr>
        <w:pStyle w:val="EndnoteText"/>
        <w:spacing w:before="0" w:after="0"/>
        <w:ind w:left="0" w:firstLine="0"/>
        <w:rPr>
          <w:color w:val="000000"/>
          <w:sz w:val="22"/>
          <w:szCs w:val="22"/>
          <w:lang w:val="is-IS"/>
        </w:rPr>
      </w:pPr>
    </w:p>
    <w:p w14:paraId="05B8BB37"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í plasma</w:t>
      </w:r>
    </w:p>
    <w:p w14:paraId="05B8BB38" w14:textId="77777777" w:rsidR="005F57F3" w:rsidRPr="006774D3" w:rsidRDefault="005F57F3" w:rsidP="00F77C66">
      <w:pPr>
        <w:rPr>
          <w:color w:val="000000"/>
          <w:sz w:val="22"/>
          <w:szCs w:val="22"/>
        </w:rPr>
      </w:pPr>
      <w:r w:rsidRPr="006774D3">
        <w:rPr>
          <w:color w:val="000000"/>
          <w:sz w:val="22"/>
          <w:szCs w:val="22"/>
        </w:rPr>
        <w:t>Eftir inntöku hjá heilbrigðum sjálfboðaliðum var t</w:t>
      </w:r>
      <w:r w:rsidRPr="006774D3">
        <w:rPr>
          <w:color w:val="000000"/>
          <w:sz w:val="22"/>
          <w:szCs w:val="22"/>
          <w:vertAlign w:val="subscript"/>
        </w:rPr>
        <w:t>½</w:t>
      </w:r>
      <w:r w:rsidRPr="006774D3">
        <w:rPr>
          <w:color w:val="000000"/>
          <w:sz w:val="22"/>
          <w:szCs w:val="22"/>
        </w:rPr>
        <w:t xml:space="preserve"> um 18 klst. sem bendir til að skömmtun einu sinni á sólarhring sé hæfileg. Aukningin á meðalgildi AUC með stækkandi skammti var línuleg og í réttu hlutfalli við skammt á bilinu 25</w:t>
      </w:r>
      <w:r w:rsidRPr="006774D3">
        <w:rPr>
          <w:color w:val="000000"/>
          <w:sz w:val="22"/>
          <w:szCs w:val="22"/>
        </w:rPr>
        <w:noBreakHyphen/>
        <w:t>1.000 mg af imatinibi eftir inntöku. Engin breyting varð á lyfja</w:t>
      </w:r>
      <w:r w:rsidRPr="006774D3">
        <w:rPr>
          <w:color w:val="000000"/>
          <w:sz w:val="22"/>
          <w:szCs w:val="22"/>
        </w:rPr>
        <w:softHyphen/>
        <w:t>hvörfum imatinibs við endurtekna skammta og uppsöfnun var 1,5</w:t>
      </w:r>
      <w:r w:rsidRPr="006774D3">
        <w:rPr>
          <w:color w:val="000000"/>
          <w:sz w:val="22"/>
          <w:szCs w:val="22"/>
        </w:rPr>
        <w:noBreakHyphen/>
        <w:t>2,5 föld við jafnvægi þegar gefinn var einn skammtur á sólar</w:t>
      </w:r>
      <w:r w:rsidRPr="006774D3">
        <w:rPr>
          <w:color w:val="000000"/>
          <w:sz w:val="22"/>
          <w:szCs w:val="22"/>
        </w:rPr>
        <w:softHyphen/>
        <w:t>hring.</w:t>
      </w:r>
    </w:p>
    <w:p w14:paraId="05B8BB39" w14:textId="77777777" w:rsidR="005F57F3" w:rsidRPr="006774D3" w:rsidRDefault="005F57F3" w:rsidP="00F77C66">
      <w:pPr>
        <w:rPr>
          <w:color w:val="000000"/>
          <w:sz w:val="22"/>
          <w:szCs w:val="22"/>
        </w:rPr>
      </w:pPr>
    </w:p>
    <w:p w14:paraId="05B8BB3A" w14:textId="77777777" w:rsidR="005F57F3" w:rsidRPr="006774D3" w:rsidRDefault="005F57F3" w:rsidP="00F77C66">
      <w:pPr>
        <w:keepNext/>
        <w:rPr>
          <w:color w:val="000000"/>
          <w:sz w:val="22"/>
          <w:szCs w:val="22"/>
          <w:u w:val="single"/>
        </w:rPr>
      </w:pPr>
      <w:r w:rsidRPr="006774D3">
        <w:rPr>
          <w:color w:val="000000"/>
          <w:sz w:val="22"/>
          <w:szCs w:val="22"/>
          <w:u w:val="single"/>
        </w:rPr>
        <w:t>Lyfjahvörf hjá GIST sjúklingum</w:t>
      </w:r>
    </w:p>
    <w:p w14:paraId="05B8BB3B" w14:textId="77777777" w:rsidR="005F57F3" w:rsidRPr="006774D3" w:rsidRDefault="005F57F3" w:rsidP="00F77C66">
      <w:pPr>
        <w:rPr>
          <w:color w:val="000000"/>
          <w:sz w:val="22"/>
          <w:szCs w:val="22"/>
        </w:rPr>
      </w:pPr>
      <w:r w:rsidRPr="006774D3">
        <w:rPr>
          <w:color w:val="000000"/>
          <w:sz w:val="22"/>
          <w:szCs w:val="22"/>
        </w:rPr>
        <w:t xml:space="preserve">Útsetning við jafnvægi hjá sjúklingum með GIST var 1,5 sinnum meiri en fram kom hjá CML sjúklingum við sama skammt (400 mg á sólarhring). Á grundvelli bráðabirgða þýðisgreiningar á </w:t>
      </w:r>
      <w:r w:rsidRPr="006774D3">
        <w:rPr>
          <w:color w:val="000000"/>
          <w:sz w:val="22"/>
          <w:szCs w:val="22"/>
        </w:rPr>
        <w:lastRenderedPageBreak/>
        <w:t>lyfjahvörfum hjá GIST sjúklingum reyndust þrjár breytur (albumin, WBC og bilirubin) hafa tölfræði</w:t>
      </w:r>
      <w:r w:rsidRPr="006774D3">
        <w:rPr>
          <w:color w:val="000000"/>
          <w:sz w:val="22"/>
          <w:szCs w:val="22"/>
        </w:rPr>
        <w:softHyphen/>
        <w:t>lega marktæk tengsl við lyfjahvörf imatinibs. Minnkuð gildi albumins höfðu í för með sér minnkaða úthreinsun (CL/f) sem og hærri gildi WBC leiddu til þess að CL/f minnkaði. Hins vegar eru þessi tengsl ekki nægilega mikil til að breyta þurfi skömmtum. Hjá þessum sjúklingahópi gætu meinvörp í lifur hugsanlega leitt til skertrar lifrarstarfsemi og minnkaðra umbrota.</w:t>
      </w:r>
    </w:p>
    <w:p w14:paraId="05B8BB3C"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B3D"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Lyfjahvörf sjúklingahópa</w:t>
      </w:r>
    </w:p>
    <w:p w14:paraId="05B8BB3E" w14:textId="77777777" w:rsidR="005F57F3" w:rsidRPr="006774D3" w:rsidRDefault="005F57F3" w:rsidP="00F77C66">
      <w:pPr>
        <w:rPr>
          <w:color w:val="000000"/>
          <w:sz w:val="22"/>
          <w:szCs w:val="22"/>
        </w:rPr>
      </w:pPr>
      <w:r w:rsidRPr="006774D3">
        <w:rPr>
          <w:color w:val="000000"/>
          <w:sz w:val="22"/>
          <w:szCs w:val="22"/>
        </w:rPr>
        <w:t>Á grundvelli þýðisgreiningar á lyfjahvörfum hjá CML sjúklingum hafði aldur lítils háttar áhrif á dreifingarrúmmál (12% aukning hjá sjúklingum &gt; 65 ára). Ekki er litið svo á að breyting þessi sé klínískt marktæk. Áhrif líkamsþyngdar á úthreinsun imatinibs eru með þeim hætti að fyrir sjúkling sem er 50 kg að þyngd er búist við að úthreinsun sé að meðaltali 8,5 l/klst., en sé sjúklingur 100 kg eykst úthreinsunin í 11,8 l/klst. Ekki er talið að þessar breytingar séu það miklar að þær kalli á breytingar skammta á grundvelli líkamsþyngdar. Kynferði hefur engin áhrif á lyfjahvörf imatinibs.</w:t>
      </w:r>
    </w:p>
    <w:p w14:paraId="05B8BB3F" w14:textId="77777777" w:rsidR="005F57F3" w:rsidRPr="006774D3" w:rsidRDefault="005F57F3" w:rsidP="00F77C66">
      <w:pPr>
        <w:rPr>
          <w:color w:val="000000"/>
          <w:sz w:val="22"/>
          <w:szCs w:val="22"/>
        </w:rPr>
      </w:pPr>
    </w:p>
    <w:p w14:paraId="05B8BB40" w14:textId="77777777" w:rsidR="005F57F3" w:rsidRPr="006774D3" w:rsidRDefault="005F57F3" w:rsidP="00F77C66">
      <w:pPr>
        <w:keepNext/>
        <w:rPr>
          <w:color w:val="000000"/>
          <w:sz w:val="22"/>
          <w:szCs w:val="22"/>
          <w:u w:val="single"/>
        </w:rPr>
      </w:pPr>
      <w:r w:rsidRPr="006774D3">
        <w:rPr>
          <w:color w:val="000000"/>
          <w:sz w:val="22"/>
          <w:szCs w:val="22"/>
          <w:u w:val="single"/>
        </w:rPr>
        <w:t>Lyfjahvörf hjá börnum</w:t>
      </w:r>
    </w:p>
    <w:p w14:paraId="05B8BB41" w14:textId="77777777" w:rsidR="005F57F3" w:rsidRPr="006774D3" w:rsidRDefault="005F57F3" w:rsidP="00F77C66">
      <w:pPr>
        <w:rPr>
          <w:color w:val="000000"/>
          <w:sz w:val="22"/>
          <w:szCs w:val="22"/>
        </w:rPr>
      </w:pPr>
      <w:r w:rsidRPr="006774D3">
        <w:rPr>
          <w:color w:val="000000"/>
          <w:sz w:val="22"/>
          <w:szCs w:val="22"/>
        </w:rPr>
        <w:t>Eins og hjá fullorðnum sjúklingum frásogaðist imatinib hratt eftir inntöku hjá börnum í bæði I. stigs og II. stigs rannsóknum. Skammtar hjá börnum sem nema 260 og 340 mg/m²/sólarhring náðu svipaðri útsetningu hlutfallslega og 400 mg og 600 mg skammtar handa fullorðnum sjúklingum. Samanburður AUC</w:t>
      </w:r>
      <w:r w:rsidRPr="006774D3">
        <w:rPr>
          <w:color w:val="000000"/>
          <w:sz w:val="22"/>
          <w:szCs w:val="22"/>
          <w:vertAlign w:val="subscript"/>
        </w:rPr>
        <w:t>(0</w:t>
      </w:r>
      <w:r w:rsidRPr="006774D3">
        <w:rPr>
          <w:color w:val="000000"/>
          <w:sz w:val="22"/>
          <w:szCs w:val="22"/>
          <w:vertAlign w:val="subscript"/>
        </w:rPr>
        <w:noBreakHyphen/>
        <w:t>24)</w:t>
      </w:r>
      <w:r w:rsidRPr="006774D3">
        <w:rPr>
          <w:color w:val="000000"/>
          <w:sz w:val="22"/>
          <w:szCs w:val="22"/>
        </w:rPr>
        <w:t xml:space="preserve"> á degi 8 og degi 1 við 340 mg/m²/sólarhring skammta leiddi í ljós 1,7 falda uppsöfnun lyfsins eftir endurtekna skammta einu sinni á dag.</w:t>
      </w:r>
    </w:p>
    <w:p w14:paraId="05B8BB42" w14:textId="77777777" w:rsidR="00E20B6E" w:rsidRPr="006774D3" w:rsidRDefault="00E20B6E" w:rsidP="00F77C66">
      <w:pPr>
        <w:rPr>
          <w:color w:val="000000"/>
          <w:sz w:val="22"/>
          <w:szCs w:val="22"/>
        </w:rPr>
      </w:pPr>
    </w:p>
    <w:p w14:paraId="05B8BB43" w14:textId="77777777" w:rsidR="00E20B6E" w:rsidRPr="006774D3" w:rsidRDefault="00E20B6E" w:rsidP="00F77C66">
      <w:pPr>
        <w:rPr>
          <w:color w:val="000000"/>
          <w:sz w:val="22"/>
          <w:szCs w:val="22"/>
        </w:rPr>
      </w:pPr>
      <w:r w:rsidRPr="006774D3">
        <w:rPr>
          <w:color w:val="000000"/>
          <w:sz w:val="22"/>
          <w:szCs w:val="22"/>
        </w:rPr>
        <w:t>Samkvæmt samantekinni greiningu á lyfjahvörfum hjá börnum með blóðsjúkdóma (CML, Ph+ ALL eða aðra blóðsjúkdóma sem meðhöndlaðir eru með imatinibi), eykst úthreinsun imatinibs með auknu líkamsyfirborði. Eftir að leiðrétt hafði verið fyrir áhrifum líkamsyfirborðs, höfðu aðrir lýðfræðilegir þættir svo sem aldur, líkamsþyngd og líkamsþyngdarstuðull (BMI) ekki klínískt marktæk áhrif á útsetningu fyrir imatinibi. Greiningin staðfesti að útsetning fyrir imatinibi hjá börnum sem fá 260 mg/m</w:t>
      </w:r>
      <w:r w:rsidRPr="006774D3">
        <w:rPr>
          <w:color w:val="000000"/>
          <w:sz w:val="22"/>
          <w:szCs w:val="22"/>
          <w:vertAlign w:val="superscript"/>
        </w:rPr>
        <w:t>2</w:t>
      </w:r>
      <w:r w:rsidRPr="006774D3">
        <w:rPr>
          <w:color w:val="000000"/>
          <w:sz w:val="22"/>
          <w:szCs w:val="22"/>
        </w:rPr>
        <w:t xml:space="preserve"> einu sinni á sólarhring (ekki meira en 400 mg einu sinni á sólarhring) eða 340 mg/m</w:t>
      </w:r>
      <w:r w:rsidRPr="006774D3">
        <w:rPr>
          <w:color w:val="000000"/>
          <w:sz w:val="22"/>
          <w:szCs w:val="22"/>
          <w:vertAlign w:val="superscript"/>
        </w:rPr>
        <w:t>2</w:t>
      </w:r>
      <w:r w:rsidRPr="006774D3">
        <w:rPr>
          <w:color w:val="000000"/>
          <w:sz w:val="22"/>
          <w:szCs w:val="22"/>
        </w:rPr>
        <w:t xml:space="preserve"> einu sinni á sólarhring (ekki meira en 600 mg einu sinni á sólarhring) var svipuð og hjá fullorðnum sjúklingum sem fengu 400 mg eða 600 mg af imatinibi einu sinni á sólarhring.</w:t>
      </w:r>
    </w:p>
    <w:p w14:paraId="05B8BB44" w14:textId="77777777" w:rsidR="005F57F3" w:rsidRPr="006774D3" w:rsidRDefault="005F57F3" w:rsidP="00F77C66">
      <w:pPr>
        <w:rPr>
          <w:color w:val="000000"/>
          <w:sz w:val="22"/>
          <w:szCs w:val="22"/>
        </w:rPr>
      </w:pPr>
    </w:p>
    <w:p w14:paraId="05B8BB45" w14:textId="77777777" w:rsidR="005F57F3" w:rsidRPr="006774D3" w:rsidRDefault="005F57F3" w:rsidP="00F77C66">
      <w:pPr>
        <w:pStyle w:val="Heading5"/>
        <w:keepLines w:val="0"/>
        <w:spacing w:before="0"/>
        <w:rPr>
          <w:rFonts w:ascii="Times New Roman" w:hAnsi="Times New Roman"/>
          <w:color w:val="000000"/>
          <w:szCs w:val="22"/>
          <w:u w:val="single"/>
          <w:lang w:val="is-IS"/>
        </w:rPr>
      </w:pPr>
      <w:r w:rsidRPr="006774D3">
        <w:rPr>
          <w:rFonts w:ascii="Times New Roman" w:hAnsi="Times New Roman"/>
          <w:color w:val="000000"/>
          <w:szCs w:val="22"/>
          <w:u w:val="single"/>
          <w:lang w:val="is-IS"/>
        </w:rPr>
        <w:t>Skert líffærastarfsemi</w:t>
      </w:r>
    </w:p>
    <w:p w14:paraId="05B8BB46" w14:textId="77777777" w:rsidR="005F57F3" w:rsidRPr="006774D3" w:rsidRDefault="005F57F3" w:rsidP="00F77C66">
      <w:pPr>
        <w:rPr>
          <w:color w:val="000000"/>
          <w:sz w:val="22"/>
          <w:szCs w:val="22"/>
        </w:rPr>
      </w:pPr>
      <w:r w:rsidRPr="006774D3">
        <w:rPr>
          <w:color w:val="000000"/>
          <w:sz w:val="22"/>
          <w:szCs w:val="22"/>
        </w:rPr>
        <w:t>Imatinib og umbrotsefni þess skiljast ekki út um nýru í magni sem máli skiptir. Svo virðist sem útsetning fyrir imatinibi í plasma sé meiri hjá sjúklingum með vægt og í meðallagi skerta nýrnastarfsemi en hjá þeim sem eru með eðlilega nýrnastarfsemi. Aukningin er um það bil 1,5 til 2</w:t>
      </w:r>
      <w:r w:rsidRPr="006774D3">
        <w:rPr>
          <w:color w:val="000000"/>
          <w:sz w:val="22"/>
          <w:szCs w:val="22"/>
        </w:rPr>
        <w:noBreakHyphen/>
        <w:t>föld, sem jafngildir 1,5</w:t>
      </w:r>
      <w:r w:rsidRPr="006774D3">
        <w:rPr>
          <w:color w:val="000000"/>
          <w:sz w:val="22"/>
          <w:szCs w:val="22"/>
        </w:rPr>
        <w:noBreakHyphen/>
        <w:t>faldri hækkun AGP í plasma, en imatinib er mikið bundið AGP. Úthreinsun óbundins imatinibs er líklega svipuð hjá sjúklingum með skerta nýrnastarfsemi og hjá þeim sem eru með eðlilega nýrnastarfsemi, því útskilnaður um nýru er einungis óverulegur þáttur í brotthvarfi imatinibs (sjá kafla 4.2 og 4.4).</w:t>
      </w:r>
    </w:p>
    <w:p w14:paraId="05B8BB47" w14:textId="77777777" w:rsidR="005F57F3" w:rsidRPr="006774D3" w:rsidRDefault="005F57F3" w:rsidP="00F77C66">
      <w:pPr>
        <w:rPr>
          <w:color w:val="000000"/>
          <w:sz w:val="22"/>
          <w:szCs w:val="22"/>
        </w:rPr>
      </w:pPr>
    </w:p>
    <w:p w14:paraId="05B8BB48" w14:textId="77777777" w:rsidR="005F57F3" w:rsidRPr="006774D3" w:rsidRDefault="005F57F3" w:rsidP="00F77C66">
      <w:pPr>
        <w:rPr>
          <w:color w:val="000000"/>
          <w:sz w:val="22"/>
          <w:szCs w:val="22"/>
        </w:rPr>
      </w:pPr>
      <w:r w:rsidRPr="006774D3">
        <w:rPr>
          <w:color w:val="000000"/>
          <w:sz w:val="22"/>
          <w:szCs w:val="22"/>
        </w:rPr>
        <w:t>Enda þótt niðurstöður úr greiningu á lyfjahvörfum sýndu umtalsverðan mun frá einum einstaklingi til annars, jókst meðaltalsútsetning fyrir imatinibi ekki við ýmis stig skertrar lifrarstarfsemi, samanborið við sjúklinga með eðlilega lifrarstarfsemi (sjá kafla 4.2, 4.4 og 4.8).</w:t>
      </w:r>
    </w:p>
    <w:p w14:paraId="05B8BB49" w14:textId="77777777" w:rsidR="005F57F3" w:rsidRPr="006774D3" w:rsidRDefault="005F57F3" w:rsidP="00F77C66">
      <w:pPr>
        <w:rPr>
          <w:color w:val="000000"/>
          <w:sz w:val="22"/>
          <w:szCs w:val="22"/>
        </w:rPr>
      </w:pPr>
    </w:p>
    <w:p w14:paraId="05B8BB4A" w14:textId="77777777" w:rsidR="005F57F3" w:rsidRPr="006774D3" w:rsidRDefault="005F57F3" w:rsidP="00F77C66">
      <w:pPr>
        <w:keepNext/>
        <w:rPr>
          <w:color w:val="000000"/>
          <w:sz w:val="22"/>
          <w:szCs w:val="22"/>
        </w:rPr>
      </w:pPr>
      <w:r w:rsidRPr="006774D3">
        <w:rPr>
          <w:b/>
          <w:color w:val="000000"/>
          <w:sz w:val="22"/>
          <w:szCs w:val="22"/>
        </w:rPr>
        <w:t>5.3</w:t>
      </w:r>
      <w:r w:rsidRPr="006774D3">
        <w:rPr>
          <w:b/>
          <w:color w:val="000000"/>
          <w:sz w:val="22"/>
          <w:szCs w:val="22"/>
        </w:rPr>
        <w:tab/>
        <w:t>Forklínískar upplýsingar</w:t>
      </w:r>
    </w:p>
    <w:p w14:paraId="05B8BB4B" w14:textId="77777777" w:rsidR="005F57F3" w:rsidRPr="006774D3" w:rsidRDefault="005F57F3" w:rsidP="00F77C66">
      <w:pPr>
        <w:keepNext/>
        <w:rPr>
          <w:color w:val="000000"/>
          <w:sz w:val="22"/>
          <w:szCs w:val="22"/>
        </w:rPr>
      </w:pPr>
    </w:p>
    <w:p w14:paraId="05B8BB4C" w14:textId="77777777" w:rsidR="005F57F3" w:rsidRPr="006774D3" w:rsidRDefault="005F57F3" w:rsidP="00FA5D6F">
      <w:pPr>
        <w:pStyle w:val="EndnoteText"/>
        <w:spacing w:before="0" w:after="0"/>
        <w:ind w:left="0" w:firstLine="0"/>
        <w:rPr>
          <w:color w:val="000000"/>
          <w:sz w:val="22"/>
          <w:szCs w:val="22"/>
          <w:lang w:val="is-IS"/>
        </w:rPr>
      </w:pPr>
      <w:r w:rsidRPr="006774D3">
        <w:rPr>
          <w:color w:val="000000"/>
          <w:sz w:val="22"/>
          <w:szCs w:val="22"/>
          <w:lang w:val="is-IS"/>
        </w:rPr>
        <w:t>Forklínískt öryggi imatinibs var metið hjá rottum, hundum, öpum og kanínum.</w:t>
      </w:r>
    </w:p>
    <w:p w14:paraId="05B8BB4D" w14:textId="77777777" w:rsidR="005F57F3" w:rsidRPr="006774D3" w:rsidRDefault="005F57F3" w:rsidP="00F77C66">
      <w:pPr>
        <w:pStyle w:val="EndnoteText"/>
        <w:spacing w:before="0" w:after="0"/>
        <w:ind w:left="0" w:firstLine="0"/>
        <w:rPr>
          <w:color w:val="000000"/>
          <w:sz w:val="22"/>
          <w:szCs w:val="22"/>
          <w:lang w:val="is-IS"/>
        </w:rPr>
      </w:pPr>
    </w:p>
    <w:p w14:paraId="05B8BB4E"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Rannsóknir á eiturverkunum eftir endurtekna skammta sýndu litlar til í meðallagi miklar breytingar á blóðmynd hjá rottum, hundum og öpum, sem og breytingar á beinmerg hjá rottum og hundum.</w:t>
      </w:r>
    </w:p>
    <w:p w14:paraId="05B8BB4F" w14:textId="77777777" w:rsidR="005F57F3" w:rsidRPr="006774D3" w:rsidRDefault="005F57F3" w:rsidP="00F77C66">
      <w:pPr>
        <w:pStyle w:val="EndnoteText"/>
        <w:spacing w:before="0" w:after="0"/>
        <w:ind w:left="0" w:firstLine="0"/>
        <w:rPr>
          <w:color w:val="000000"/>
          <w:sz w:val="22"/>
          <w:szCs w:val="22"/>
          <w:lang w:val="is-IS"/>
        </w:rPr>
      </w:pPr>
    </w:p>
    <w:p w14:paraId="05B8BB50" w14:textId="77777777" w:rsidR="005F57F3" w:rsidRPr="006774D3" w:rsidRDefault="005F57F3" w:rsidP="00F77C66">
      <w:pPr>
        <w:pStyle w:val="EndnoteText"/>
        <w:spacing w:before="0" w:after="0"/>
        <w:ind w:left="0" w:firstLine="0"/>
        <w:rPr>
          <w:color w:val="000000"/>
          <w:sz w:val="22"/>
          <w:szCs w:val="22"/>
          <w:lang w:val="is-IS"/>
        </w:rPr>
      </w:pPr>
      <w:r w:rsidRPr="006774D3">
        <w:rPr>
          <w:color w:val="000000"/>
          <w:sz w:val="22"/>
          <w:szCs w:val="22"/>
          <w:lang w:val="is-IS"/>
        </w:rPr>
        <w:t>Marklíffærið hjá rottum og hundum var lifrin. Væg til í meðallagi mikil aukning transaminasa og smávægileg lækkun á kólesteróli, þríglýseríðum, heildar próteinum og albumini sáust hjá báðum tegundunum. Engar vefjameinafræðilegar breytingar sáust í rottulifur. Alvarlegar eiturverkanir á lifur komu fram hjá hundum sem fengu 2 vikna meðferð og var um að ræða hækkanir á lifrarensímum, drep í lifrarfrumum, drep í gallrás og vefjaauka í gallrás.</w:t>
      </w:r>
    </w:p>
    <w:p w14:paraId="05B8BB51" w14:textId="77777777" w:rsidR="005F57F3" w:rsidRPr="006774D3" w:rsidRDefault="005F57F3" w:rsidP="00F77C66">
      <w:pPr>
        <w:rPr>
          <w:color w:val="000000"/>
          <w:sz w:val="22"/>
          <w:szCs w:val="22"/>
        </w:rPr>
      </w:pPr>
    </w:p>
    <w:p w14:paraId="05B8BB52" w14:textId="77777777" w:rsidR="005F57F3" w:rsidRPr="006774D3" w:rsidRDefault="005F57F3" w:rsidP="00F77C66">
      <w:pPr>
        <w:pStyle w:val="BodyText"/>
        <w:ind w:right="0"/>
        <w:rPr>
          <w:b w:val="0"/>
          <w:color w:val="000000"/>
          <w:szCs w:val="22"/>
        </w:rPr>
      </w:pPr>
      <w:r w:rsidRPr="006774D3">
        <w:rPr>
          <w:b w:val="0"/>
          <w:color w:val="000000"/>
          <w:szCs w:val="22"/>
        </w:rPr>
        <w:lastRenderedPageBreak/>
        <w:t>Eiturverkanir á nýru sáust hjá öpum sem fengu 2 vikna meðferð og var um að ræða staðbundna steinefna</w:t>
      </w:r>
      <w:r w:rsidRPr="006774D3">
        <w:rPr>
          <w:b w:val="0"/>
          <w:color w:val="000000"/>
          <w:szCs w:val="22"/>
        </w:rPr>
        <w:softHyphen/>
        <w:t xml:space="preserve">útfellingu og útvíkkun á nýrnapíplum og drep í píplum. Hækkað blóðnitur (BUN) og hækkað </w:t>
      </w:r>
      <w:r w:rsidR="00F13F6B" w:rsidRPr="006774D3">
        <w:rPr>
          <w:b w:val="0"/>
          <w:color w:val="000000"/>
          <w:szCs w:val="22"/>
        </w:rPr>
        <w:t>kreatinin</w:t>
      </w:r>
      <w:r w:rsidRPr="006774D3">
        <w:rPr>
          <w:b w:val="0"/>
          <w:color w:val="000000"/>
          <w:szCs w:val="22"/>
        </w:rPr>
        <w:t xml:space="preserve"> sást í nokkrum dýranna. Í</w:t>
      </w:r>
      <w:r w:rsidRPr="006774D3">
        <w:rPr>
          <w:color w:val="000000"/>
          <w:szCs w:val="22"/>
        </w:rPr>
        <w:t xml:space="preserve"> </w:t>
      </w:r>
      <w:r w:rsidRPr="006774D3">
        <w:rPr>
          <w:b w:val="0"/>
          <w:color w:val="000000"/>
          <w:szCs w:val="22"/>
        </w:rPr>
        <w:t>13 vikna rannsókn á rottum kom fram ofvöxtur á breytiþekju (transitional epithelium) nýrnavartanna og ofvöxtur í þvagblöðru við skammta ≥ 6 mg/kg án breytinga á sermis- eða þvaggildum. Við langvarandi meðferð með imatinibi sást aukning á tíðni tækifærissýkinga.</w:t>
      </w:r>
    </w:p>
    <w:p w14:paraId="05B8BB53" w14:textId="77777777" w:rsidR="005F57F3" w:rsidRPr="006774D3" w:rsidRDefault="005F57F3" w:rsidP="00F77C66">
      <w:pPr>
        <w:pStyle w:val="BodyText"/>
        <w:ind w:right="0"/>
        <w:rPr>
          <w:b w:val="0"/>
          <w:color w:val="000000"/>
          <w:szCs w:val="22"/>
        </w:rPr>
      </w:pPr>
    </w:p>
    <w:p w14:paraId="05B8BB54" w14:textId="77777777" w:rsidR="005F57F3" w:rsidRPr="006774D3" w:rsidRDefault="005F57F3" w:rsidP="00F77C66">
      <w:pPr>
        <w:pStyle w:val="BodyText"/>
        <w:ind w:right="0"/>
        <w:rPr>
          <w:b w:val="0"/>
          <w:color w:val="000000"/>
          <w:szCs w:val="22"/>
        </w:rPr>
      </w:pPr>
      <w:r w:rsidRPr="006774D3">
        <w:rPr>
          <w:b w:val="0"/>
          <w:color w:val="000000"/>
          <w:szCs w:val="22"/>
        </w:rPr>
        <w:t>Í 39 vikna rannsókn á öpum var ekkert NOAEL (no observed adverse effect level/mörk þess að engar aukaverkanir finnast) staðfest við lægstu skammtana 15 mg/kg, u.þ.b. einn þriðji af 800 mg hámarks</w:t>
      </w:r>
      <w:r w:rsidRPr="006774D3">
        <w:rPr>
          <w:b w:val="0"/>
          <w:color w:val="000000"/>
          <w:szCs w:val="22"/>
        </w:rPr>
        <w:softHyphen/>
        <w:t>skammti handa mönnum, byggt á líkamsyfirborði. Meðferðin leiddi til versnunar á almennt bældum malaríusýkingum hjá þessum dýrum.</w:t>
      </w:r>
    </w:p>
    <w:p w14:paraId="05B8BB55" w14:textId="77777777" w:rsidR="005F57F3" w:rsidRPr="006774D3" w:rsidRDefault="005F57F3" w:rsidP="00F77C66">
      <w:pPr>
        <w:pStyle w:val="BodyText"/>
        <w:ind w:right="0"/>
        <w:rPr>
          <w:b w:val="0"/>
          <w:color w:val="000000"/>
          <w:szCs w:val="22"/>
        </w:rPr>
      </w:pPr>
    </w:p>
    <w:p w14:paraId="05B8BB56" w14:textId="77777777" w:rsidR="005F57F3" w:rsidRPr="006774D3" w:rsidRDefault="005F57F3" w:rsidP="00F77C66">
      <w:pPr>
        <w:pStyle w:val="BodyText"/>
        <w:ind w:right="0"/>
        <w:rPr>
          <w:b w:val="0"/>
          <w:color w:val="000000"/>
          <w:szCs w:val="22"/>
        </w:rPr>
      </w:pPr>
      <w:r w:rsidRPr="006774D3">
        <w:rPr>
          <w:b w:val="0"/>
          <w:color w:val="000000"/>
          <w:szCs w:val="22"/>
        </w:rPr>
        <w:t xml:space="preserve">Talið var að imatinib hefði ekki eiturverkanir á erfðaefni þegar það var prófað í </w:t>
      </w:r>
      <w:r w:rsidRPr="006774D3">
        <w:rPr>
          <w:b w:val="0"/>
          <w:i/>
          <w:color w:val="000000"/>
          <w:szCs w:val="22"/>
        </w:rPr>
        <w:t>in vitro</w:t>
      </w:r>
      <w:r w:rsidRPr="006774D3">
        <w:rPr>
          <w:b w:val="0"/>
          <w:color w:val="000000"/>
          <w:szCs w:val="22"/>
        </w:rPr>
        <w:t xml:space="preserve"> bakteríufrumuprófi (Ames próf), í </w:t>
      </w:r>
      <w:r w:rsidRPr="006774D3">
        <w:rPr>
          <w:b w:val="0"/>
          <w:i/>
          <w:color w:val="000000"/>
          <w:szCs w:val="22"/>
        </w:rPr>
        <w:t>in vitro</w:t>
      </w:r>
      <w:r w:rsidRPr="006774D3">
        <w:rPr>
          <w:b w:val="0"/>
          <w:color w:val="000000"/>
          <w:szCs w:val="22"/>
        </w:rPr>
        <w:t xml:space="preserve"> spendýrafrumuprófi (eitilfrumuæxli músa) og </w:t>
      </w:r>
      <w:r w:rsidRPr="006774D3">
        <w:rPr>
          <w:b w:val="0"/>
          <w:i/>
          <w:color w:val="000000"/>
          <w:szCs w:val="22"/>
        </w:rPr>
        <w:t>in vivo</w:t>
      </w:r>
      <w:r w:rsidRPr="006774D3">
        <w:rPr>
          <w:b w:val="0"/>
          <w:color w:val="000000"/>
          <w:szCs w:val="22"/>
        </w:rPr>
        <w:t xml:space="preserve"> smákjarnaprófi í rottum. Staðfest var í </w:t>
      </w:r>
      <w:r w:rsidRPr="006774D3">
        <w:rPr>
          <w:b w:val="0"/>
          <w:i/>
          <w:color w:val="000000"/>
          <w:szCs w:val="22"/>
        </w:rPr>
        <w:t>in vitro</w:t>
      </w:r>
      <w:r w:rsidRPr="006774D3">
        <w:rPr>
          <w:b w:val="0"/>
          <w:color w:val="000000"/>
          <w:szCs w:val="22"/>
        </w:rPr>
        <w:t xml:space="preserve"> spendýrafrumuprófi fyrir imatinib að það hefur eiturverkanir á erfðaefni (eggjastokkar kínahamstra) hvað varðar litningaskemmdir við örvuð umbrot (metabolic activation). Tvö milliefni í framleiðslu</w:t>
      </w:r>
      <w:r w:rsidRPr="006774D3">
        <w:rPr>
          <w:b w:val="0"/>
          <w:color w:val="000000"/>
          <w:szCs w:val="22"/>
        </w:rPr>
        <w:softHyphen/>
        <w:t>ferlinu, sem eru einnig til staðar í fullbúnu lyfinu, eru jákvæð í stökkbreytingaprófi Ames. Annað af þessum milliefnum er einnig jákvætt í eitilfrumuæxlaprófi músa.</w:t>
      </w:r>
    </w:p>
    <w:p w14:paraId="05B8BB57" w14:textId="77777777" w:rsidR="005F57F3" w:rsidRPr="006774D3" w:rsidRDefault="005F57F3" w:rsidP="00F77C66">
      <w:pPr>
        <w:pStyle w:val="BodyText"/>
        <w:ind w:right="0"/>
        <w:rPr>
          <w:b w:val="0"/>
          <w:color w:val="000000"/>
          <w:szCs w:val="22"/>
        </w:rPr>
      </w:pPr>
    </w:p>
    <w:p w14:paraId="05B8BB58" w14:textId="77777777" w:rsidR="005F57F3" w:rsidRPr="006774D3" w:rsidRDefault="005F57F3" w:rsidP="00F77C66">
      <w:pPr>
        <w:pStyle w:val="BodyText"/>
        <w:ind w:right="0"/>
        <w:rPr>
          <w:b w:val="0"/>
          <w:color w:val="000000"/>
          <w:szCs w:val="22"/>
        </w:rPr>
      </w:pPr>
      <w:r w:rsidRPr="006774D3">
        <w:rPr>
          <w:b w:val="0"/>
          <w:color w:val="000000"/>
          <w:szCs w:val="22"/>
        </w:rPr>
        <w:t>Í frjósemirannsókn hjá karlkyns rottum sem fengu lyfið í 70 daga fyrir mökun minnkaði þyngd eistna og eistalyppna og hlutfall hreyfanlegra sáðfrumna þegar gefinn var skammturinn 60 mg/kg, sem er u.þ.b. jafngilt stærsta ráðlögðum 800 mg/sólarhring skammti, byggt á líkamsyfirborði. Þetta sást ekki við skammta ≤ 20 mg/kg. Lítil til í meðallagi mikil minnkun á sæðismyndun sást einnig hjá hundum við inntöku skammta ≥ 30 mg/kg. Þegar kvenkyns rottur fengu lyfið í 14 daga fyrir mökun og fram að 6. degi meðgöngu sáust engin áhrif á mökun eða fjölda dýra með fangi. Hjá kvenkyns rottum komu fram marktækt fleiri fósturlát eftir hreiðrun og fækkun lifandi fóstra við 60 mg/kg skammta. Þetta sást ekki við skammta ≤ 20 mg/kg.</w:t>
      </w:r>
    </w:p>
    <w:p w14:paraId="05B8BB59" w14:textId="77777777" w:rsidR="005F57F3" w:rsidRPr="006774D3" w:rsidRDefault="005F57F3" w:rsidP="00F77C66">
      <w:pPr>
        <w:pStyle w:val="BodyText"/>
        <w:ind w:right="0"/>
        <w:rPr>
          <w:b w:val="0"/>
          <w:color w:val="000000"/>
          <w:szCs w:val="22"/>
        </w:rPr>
      </w:pPr>
    </w:p>
    <w:p w14:paraId="05B8BB5A" w14:textId="77777777" w:rsidR="005F57F3" w:rsidRPr="006774D3" w:rsidRDefault="005F57F3" w:rsidP="00F77C66">
      <w:pPr>
        <w:pStyle w:val="BodyText"/>
        <w:ind w:right="0"/>
        <w:rPr>
          <w:b w:val="0"/>
          <w:color w:val="000000"/>
          <w:szCs w:val="22"/>
        </w:rPr>
      </w:pPr>
      <w:r w:rsidRPr="006774D3">
        <w:rPr>
          <w:b w:val="0"/>
          <w:color w:val="000000"/>
          <w:szCs w:val="22"/>
        </w:rPr>
        <w:t>Í rannsókn á þroska fyrir og eftir fæðingu hjá rottum þar sem lyfið var gefið til inntöku kom fram rauð útferð frá legi hjá hópnum sem fékk 45 mg/kg/sólarhring á annaðhvort 14. eða 15. degi meðgöngu. Við sama skammt jókst fjöldi unga sem fæddust dauðir, sem og þeirra sem drepast frá 0. til 4. dags eftir fæðingu. Hjá F</w:t>
      </w:r>
      <w:r w:rsidRPr="006774D3">
        <w:rPr>
          <w:b w:val="0"/>
          <w:color w:val="000000"/>
          <w:szCs w:val="22"/>
          <w:vertAlign w:val="subscript"/>
        </w:rPr>
        <w:t>1</w:t>
      </w:r>
      <w:r w:rsidRPr="006774D3">
        <w:rPr>
          <w:b w:val="0"/>
          <w:color w:val="000000"/>
          <w:szCs w:val="22"/>
        </w:rPr>
        <w:t> afkvæmunum, við sama skammt, minnkaði meðaltal líkamsþyngdar frá fæðingu til aflífunar og fjöldi gota sem ná viðmiðum fyrir aðskilnað forhúðar frá slímhúðinni (preputial separation) var lítillega minnkaður. Ekki komu fram áhrif á frjósemi F</w:t>
      </w:r>
      <w:r w:rsidRPr="006774D3">
        <w:rPr>
          <w:b w:val="0"/>
          <w:color w:val="000000"/>
          <w:szCs w:val="22"/>
          <w:vertAlign w:val="subscript"/>
        </w:rPr>
        <w:t>1</w:t>
      </w:r>
      <w:r w:rsidRPr="006774D3">
        <w:rPr>
          <w:b w:val="0"/>
          <w:color w:val="000000"/>
          <w:szCs w:val="22"/>
        </w:rPr>
        <w:t xml:space="preserve"> en fósturvisnun (resorption) jókst og lífvænlegum fóstrum fækkaði við 45 mg/kg/sólarhring. NOEL (no observed effect level/mörk þess að engin verkun sést) fyrir bæði móðurdýrin og F</w:t>
      </w:r>
      <w:r w:rsidRPr="006774D3">
        <w:rPr>
          <w:b w:val="0"/>
          <w:color w:val="000000"/>
          <w:szCs w:val="22"/>
          <w:vertAlign w:val="subscript"/>
        </w:rPr>
        <w:t>1</w:t>
      </w:r>
      <w:r w:rsidRPr="006774D3">
        <w:rPr>
          <w:b w:val="0"/>
          <w:color w:val="000000"/>
          <w:szCs w:val="22"/>
        </w:rPr>
        <w:t> kynslóðina var 15 mg/kg/sólarhring (fjórðungur af 800 mg hámarksskammti fyrir menn).</w:t>
      </w:r>
    </w:p>
    <w:p w14:paraId="05B8BB5B" w14:textId="77777777" w:rsidR="005F57F3" w:rsidRPr="006774D3" w:rsidRDefault="005F57F3" w:rsidP="00F77C66">
      <w:pPr>
        <w:pStyle w:val="BodyText"/>
        <w:ind w:right="0"/>
        <w:rPr>
          <w:b w:val="0"/>
          <w:color w:val="000000"/>
          <w:szCs w:val="22"/>
        </w:rPr>
      </w:pPr>
    </w:p>
    <w:p w14:paraId="05B8BB5C" w14:textId="77777777" w:rsidR="005F57F3" w:rsidRPr="006774D3" w:rsidRDefault="005F57F3" w:rsidP="00F77C66">
      <w:pPr>
        <w:pStyle w:val="BodyText"/>
        <w:ind w:right="0"/>
        <w:rPr>
          <w:b w:val="0"/>
          <w:color w:val="000000"/>
          <w:szCs w:val="22"/>
        </w:rPr>
      </w:pPr>
      <w:r w:rsidRPr="006774D3">
        <w:rPr>
          <w:b w:val="0"/>
          <w:color w:val="000000"/>
          <w:szCs w:val="22"/>
        </w:rPr>
        <w:t>Imatinib olli fósturskemmdum þegar það var gefið á tímabili líffæramyndunar hjá rottum við skammta ≥ 100 mg/kg sem er u.þ.b. jafnt stærsta ráðlögðum 800 mg/sólarhring skammti, á grundvelli líkams</w:t>
      </w:r>
      <w:r w:rsidRPr="006774D3">
        <w:rPr>
          <w:b w:val="0"/>
          <w:color w:val="000000"/>
          <w:szCs w:val="22"/>
        </w:rPr>
        <w:softHyphen/>
        <w:t>yfirborðs. Fósturskemmdirnar eru útheili (exencephaly) eða heilahaull, vöntun/minnkun á ennisbeini og vöntun á hvirfilbeini. Þessi áhrif sáust ekki við skammta ≤ 30 mg/kg.</w:t>
      </w:r>
    </w:p>
    <w:p w14:paraId="05B8BB5D" w14:textId="77777777" w:rsidR="00084587" w:rsidRPr="006774D3" w:rsidRDefault="00084587" w:rsidP="00F77C66">
      <w:pPr>
        <w:pStyle w:val="BodyText"/>
        <w:ind w:right="0"/>
        <w:rPr>
          <w:b w:val="0"/>
          <w:color w:val="000000"/>
          <w:szCs w:val="22"/>
        </w:rPr>
      </w:pPr>
    </w:p>
    <w:p w14:paraId="05B8BB5E" w14:textId="77777777" w:rsidR="00084587" w:rsidRPr="006774D3" w:rsidRDefault="00084587" w:rsidP="00F77C66">
      <w:pPr>
        <w:pStyle w:val="BodyText"/>
        <w:ind w:right="0"/>
        <w:rPr>
          <w:b w:val="0"/>
          <w:color w:val="000000"/>
          <w:szCs w:val="22"/>
        </w:rPr>
      </w:pPr>
      <w:r w:rsidRPr="006774D3">
        <w:rPr>
          <w:b w:val="0"/>
          <w:color w:val="000000"/>
          <w:szCs w:val="22"/>
        </w:rPr>
        <w:t>Engin ný marklíffæri komu fram í rannsókninni á eiturverkunum á þroska hjá ungum rottum (dagur 10 til 70 eftir got) með tilliti til þekktra marklíffæra hjá fullorðnum rottum. Í rannsókninni á eiturverkunum hjá ungviði komu fram áhrif á vöxt, seinkun á opnun legganga og seinkun kynþroska (preputial separation) við 0,3 til 2 falda meðalútsetningu hjá börnum við hæsta ráðlagðan skammt sem er 340 mg/m</w:t>
      </w:r>
      <w:r w:rsidRPr="006774D3">
        <w:rPr>
          <w:b w:val="0"/>
          <w:color w:val="000000"/>
          <w:szCs w:val="22"/>
          <w:vertAlign w:val="superscript"/>
        </w:rPr>
        <w:t>2</w:t>
      </w:r>
      <w:r w:rsidRPr="006774D3">
        <w:rPr>
          <w:b w:val="0"/>
          <w:color w:val="000000"/>
          <w:szCs w:val="22"/>
        </w:rPr>
        <w:t>. Að auki kom fram aukin dánartíðni hjá ungum dýrum (í kringum þann tíma sem þau hættu á spena) við um það bil 2 falda meðalútsetningu hjá börnum við hæsta ráðlagðan skammt sem er 340 mg/m</w:t>
      </w:r>
      <w:r w:rsidRPr="006774D3">
        <w:rPr>
          <w:b w:val="0"/>
          <w:color w:val="000000"/>
          <w:szCs w:val="22"/>
          <w:vertAlign w:val="superscript"/>
        </w:rPr>
        <w:t>2</w:t>
      </w:r>
      <w:r w:rsidRPr="006774D3">
        <w:rPr>
          <w:b w:val="0"/>
          <w:color w:val="000000"/>
          <w:szCs w:val="22"/>
        </w:rPr>
        <w:t>.</w:t>
      </w:r>
    </w:p>
    <w:p w14:paraId="05B8BB5F" w14:textId="77777777" w:rsidR="005F57F3" w:rsidRPr="006774D3" w:rsidRDefault="005F57F3" w:rsidP="00F77C66">
      <w:pPr>
        <w:pStyle w:val="BodyText"/>
        <w:ind w:right="0"/>
        <w:rPr>
          <w:b w:val="0"/>
          <w:color w:val="000000"/>
          <w:szCs w:val="22"/>
        </w:rPr>
      </w:pPr>
    </w:p>
    <w:p w14:paraId="05B8BB60" w14:textId="77777777" w:rsidR="005F57F3" w:rsidRPr="006774D3" w:rsidRDefault="005F57F3" w:rsidP="00F77C66">
      <w:pPr>
        <w:pStyle w:val="BodyText"/>
        <w:ind w:right="0"/>
        <w:rPr>
          <w:b w:val="0"/>
          <w:color w:val="000000"/>
          <w:szCs w:val="22"/>
        </w:rPr>
      </w:pPr>
      <w:r w:rsidRPr="006774D3">
        <w:rPr>
          <w:b w:val="0"/>
          <w:color w:val="000000"/>
          <w:szCs w:val="22"/>
        </w:rPr>
        <w:t>Í 2 ára rotturannsókn á krabbameinsvaldandi áhrifum leiddi gjöf imatinibs í skömmtunum 15, 30 og 60 mg/kg/dag til tölfræðilega marktækt styttri ævilengdar hjá karldýrum við 60 mg/kg/dag og hjá kven</w:t>
      </w:r>
      <w:r w:rsidRPr="006774D3">
        <w:rPr>
          <w:b w:val="0"/>
          <w:color w:val="000000"/>
          <w:szCs w:val="22"/>
        </w:rPr>
        <w:softHyphen/>
        <w:t>dýrum við ≥ 30 mg/kg/dag. Vefjameinafræðileg skoðun á dauðum dýrum leiddi í ljós að hjartavöðva</w:t>
      </w:r>
      <w:r w:rsidRPr="006774D3">
        <w:rPr>
          <w:b w:val="0"/>
          <w:color w:val="000000"/>
          <w:szCs w:val="22"/>
        </w:rPr>
        <w:softHyphen/>
        <w:t xml:space="preserve">kvilli (hjá báðum kynjum), langvarandi versnandi nýrnakvilli (kvendýr) og totuæxli í forhúð voru helstu orsakir dauða eða grundvöllur aflífunar. Marklíffæri hvað æxlisbreytingar varðar </w:t>
      </w:r>
      <w:r w:rsidRPr="006774D3">
        <w:rPr>
          <w:b w:val="0"/>
          <w:color w:val="000000"/>
          <w:szCs w:val="22"/>
        </w:rPr>
        <w:lastRenderedPageBreak/>
        <w:t>voru nýru, þvagblaðra, þvagrás, forhúðar- og snípkirtill (preputial and clitoral gland), mjógirni, kalkkirtlar, nýrnahettur og kirtlafrír hluti maga.</w:t>
      </w:r>
    </w:p>
    <w:p w14:paraId="05B8BB61" w14:textId="77777777" w:rsidR="005F57F3" w:rsidRPr="006774D3" w:rsidRDefault="005F57F3" w:rsidP="00F77C66">
      <w:pPr>
        <w:pStyle w:val="BodyText"/>
        <w:ind w:right="0"/>
        <w:rPr>
          <w:b w:val="0"/>
          <w:color w:val="000000"/>
          <w:szCs w:val="22"/>
        </w:rPr>
      </w:pPr>
    </w:p>
    <w:p w14:paraId="05B8BB62" w14:textId="77777777" w:rsidR="005F57F3" w:rsidRPr="006774D3" w:rsidRDefault="005F57F3" w:rsidP="00F77C66">
      <w:pPr>
        <w:pStyle w:val="BodyText"/>
        <w:ind w:right="0"/>
        <w:rPr>
          <w:b w:val="0"/>
          <w:color w:val="000000"/>
          <w:szCs w:val="22"/>
        </w:rPr>
      </w:pPr>
      <w:r w:rsidRPr="006774D3">
        <w:rPr>
          <w:b w:val="0"/>
          <w:color w:val="000000"/>
          <w:szCs w:val="22"/>
        </w:rPr>
        <w:t>Totuæxli/krabbamein í forhúðar-/snípkirtli sáust við skammta sem voru 30 mg/kg/dag eða stærri, sem jafn</w:t>
      </w:r>
      <w:r w:rsidRPr="006774D3">
        <w:rPr>
          <w:b w:val="0"/>
          <w:color w:val="000000"/>
          <w:szCs w:val="22"/>
        </w:rPr>
        <w:softHyphen/>
        <w:t>gildir um það bil 0,5 faldri eða 0,3 faldri daglegri útsetningu hjá mönnum (á grundvelli AUC) við 400 mg/sólar</w:t>
      </w:r>
      <w:r w:rsidRPr="006774D3">
        <w:rPr>
          <w:b w:val="0"/>
          <w:color w:val="000000"/>
          <w:szCs w:val="22"/>
        </w:rPr>
        <w:softHyphen/>
        <w:t>hring eða 800 mg/sólarhring, tilgreint í sömu röð, og 0,4 faldri daglegri útsetningu hjá börnum (á grundvelli AUC) við 340 mg/m²/sólarhring. NOEL (no observed effect level/mörk þess að engin verkun sést) var 15 mg/kg/dag. Kirtilæxli/krabbamein í nýrum, totuæxli í þvagblöðru og þvagrás, kirtilkrabbamein í mjógirni, kirtilæxli í kalkkirtlum, góðkynja og illkynja mergæxli í nýrnahettum og totuæxli/krabbamein í kirtlafríum hluta maga, sáust við 60 mg/kg/dag, sem jafngildir um það bil 1,7 til 1 faldri daglegri útsetningu hjá mönnum (á grundvelli AUC) við 400 mg/sólarhring eða 800 mg/sólarhring, tilgreint í sömu röð og 1,2 faldri daglegri útsetningu hjá börnum (á grundvelli AUC) við 340 mg/m²/sólarhring. NOEL (no observed effect level/mörk þess að engin verkun sést) var 30 mg/kg/dag.</w:t>
      </w:r>
    </w:p>
    <w:p w14:paraId="05B8BB63" w14:textId="77777777" w:rsidR="005F57F3" w:rsidRPr="006774D3" w:rsidRDefault="005F57F3" w:rsidP="00F77C66">
      <w:pPr>
        <w:pStyle w:val="BodyText"/>
        <w:ind w:right="0"/>
        <w:rPr>
          <w:b w:val="0"/>
          <w:color w:val="000000"/>
          <w:szCs w:val="22"/>
        </w:rPr>
      </w:pPr>
    </w:p>
    <w:p w14:paraId="05B8BB64" w14:textId="77777777" w:rsidR="005F57F3" w:rsidRPr="006774D3" w:rsidRDefault="005F57F3" w:rsidP="00F77C66">
      <w:pPr>
        <w:pStyle w:val="BodyText"/>
        <w:ind w:right="0"/>
        <w:rPr>
          <w:b w:val="0"/>
          <w:color w:val="000000"/>
          <w:szCs w:val="22"/>
        </w:rPr>
      </w:pPr>
      <w:r w:rsidRPr="006774D3">
        <w:rPr>
          <w:b w:val="0"/>
          <w:color w:val="000000"/>
          <w:szCs w:val="22"/>
        </w:rPr>
        <w:t>Ekki hefur enn verið leitt í ljós hver sé orsök þessara niðurstaðna úr rannsóknum á krabbameins</w:t>
      </w:r>
      <w:r w:rsidRPr="006774D3">
        <w:rPr>
          <w:b w:val="0"/>
          <w:color w:val="000000"/>
          <w:szCs w:val="22"/>
        </w:rPr>
        <w:softHyphen/>
        <w:t>valdandi eiginleikum hjá rottum og ekki hefur heldur verið leitt í ljós hvort þær skipta máli fyrir menn.</w:t>
      </w:r>
    </w:p>
    <w:p w14:paraId="05B8BB65" w14:textId="77777777" w:rsidR="005F57F3" w:rsidRPr="006774D3" w:rsidRDefault="005F57F3" w:rsidP="00F77C66">
      <w:pPr>
        <w:pStyle w:val="BodyText"/>
        <w:ind w:right="0"/>
        <w:rPr>
          <w:b w:val="0"/>
          <w:color w:val="000000"/>
          <w:szCs w:val="22"/>
        </w:rPr>
      </w:pPr>
    </w:p>
    <w:p w14:paraId="05B8BB66" w14:textId="77777777" w:rsidR="005F57F3" w:rsidRPr="006774D3" w:rsidRDefault="005F57F3" w:rsidP="00F77C66">
      <w:pPr>
        <w:pStyle w:val="BodyText"/>
        <w:ind w:right="0"/>
        <w:rPr>
          <w:b w:val="0"/>
          <w:color w:val="000000"/>
          <w:szCs w:val="22"/>
        </w:rPr>
      </w:pPr>
      <w:r w:rsidRPr="006774D3">
        <w:rPr>
          <w:b w:val="0"/>
          <w:color w:val="000000"/>
          <w:szCs w:val="22"/>
        </w:rPr>
        <w:t>Vefjabreytingar, aðrar en æxli, sem ekki höfðu sést í fyrri forklínískum rannsóknum, voru í hjarta og æða</w:t>
      </w:r>
      <w:r w:rsidRPr="006774D3">
        <w:rPr>
          <w:b w:val="0"/>
          <w:color w:val="000000"/>
          <w:szCs w:val="22"/>
        </w:rPr>
        <w:softHyphen/>
        <w:t>kerfi, brisi, innkirtlalíffærum og tönnum. Meðal mikilvægustu breytinganna eru ofstækkun hjarta og hjarta</w:t>
      </w:r>
      <w:r w:rsidRPr="006774D3">
        <w:rPr>
          <w:b w:val="0"/>
          <w:color w:val="000000"/>
          <w:szCs w:val="22"/>
        </w:rPr>
        <w:softHyphen/>
        <w:t>víkkun sem leiðir til einkenna hjartabilunar hjá sumum dýrum.</w:t>
      </w:r>
    </w:p>
    <w:p w14:paraId="05B8BB67" w14:textId="77777777" w:rsidR="00E20B6E" w:rsidRPr="006774D3" w:rsidRDefault="00E20B6E" w:rsidP="00F77C66">
      <w:pPr>
        <w:rPr>
          <w:color w:val="000000"/>
          <w:sz w:val="22"/>
          <w:szCs w:val="22"/>
        </w:rPr>
      </w:pPr>
    </w:p>
    <w:p w14:paraId="05B8BB68" w14:textId="77777777" w:rsidR="00E20B6E" w:rsidRPr="006774D3" w:rsidRDefault="00E20B6E" w:rsidP="00F77C66">
      <w:pPr>
        <w:rPr>
          <w:color w:val="000000"/>
          <w:sz w:val="22"/>
          <w:szCs w:val="22"/>
        </w:rPr>
      </w:pPr>
      <w:r w:rsidRPr="006774D3">
        <w:rPr>
          <w:color w:val="000000"/>
          <w:sz w:val="22"/>
          <w:szCs w:val="22"/>
        </w:rPr>
        <w:t>Virka efnið imatinib hefur í för með sér áhættu fyrir lífríki lífvera í setlögum (sediment organisms).</w:t>
      </w:r>
    </w:p>
    <w:p w14:paraId="05B8BB69" w14:textId="77777777" w:rsidR="005F57F3" w:rsidRPr="006774D3" w:rsidRDefault="005F57F3" w:rsidP="00F77C66">
      <w:pPr>
        <w:rPr>
          <w:color w:val="000000"/>
          <w:sz w:val="22"/>
          <w:szCs w:val="22"/>
        </w:rPr>
      </w:pPr>
    </w:p>
    <w:p w14:paraId="05B8BB6A" w14:textId="77777777" w:rsidR="005F57F3" w:rsidRPr="006774D3" w:rsidRDefault="005F57F3" w:rsidP="00F77C66">
      <w:pPr>
        <w:rPr>
          <w:color w:val="000000"/>
          <w:sz w:val="22"/>
          <w:szCs w:val="22"/>
        </w:rPr>
      </w:pPr>
    </w:p>
    <w:p w14:paraId="05B8BB6B" w14:textId="77777777" w:rsidR="005F57F3" w:rsidRPr="006774D3" w:rsidRDefault="005F57F3" w:rsidP="00F77C66">
      <w:pPr>
        <w:keepNext/>
        <w:rPr>
          <w:caps/>
          <w:color w:val="000000"/>
          <w:sz w:val="22"/>
          <w:szCs w:val="22"/>
        </w:rPr>
      </w:pPr>
      <w:r w:rsidRPr="006774D3">
        <w:rPr>
          <w:b/>
          <w:caps/>
          <w:color w:val="000000"/>
          <w:sz w:val="22"/>
          <w:szCs w:val="22"/>
        </w:rPr>
        <w:t>6.</w:t>
      </w:r>
      <w:r w:rsidRPr="006774D3">
        <w:rPr>
          <w:b/>
          <w:caps/>
          <w:color w:val="000000"/>
          <w:sz w:val="22"/>
          <w:szCs w:val="22"/>
        </w:rPr>
        <w:tab/>
        <w:t>Lyfjagerðarfræðilegar upplýsingar</w:t>
      </w:r>
    </w:p>
    <w:p w14:paraId="05B8BB6C" w14:textId="77777777" w:rsidR="005F57F3" w:rsidRPr="006774D3" w:rsidRDefault="005F57F3" w:rsidP="00F77C66">
      <w:pPr>
        <w:keepNext/>
        <w:rPr>
          <w:color w:val="000000"/>
          <w:sz w:val="22"/>
          <w:szCs w:val="22"/>
        </w:rPr>
      </w:pPr>
    </w:p>
    <w:p w14:paraId="05B8BB6D" w14:textId="77777777" w:rsidR="005F57F3" w:rsidRPr="006774D3" w:rsidRDefault="005F57F3" w:rsidP="00F77C66">
      <w:pPr>
        <w:keepNext/>
        <w:rPr>
          <w:color w:val="000000"/>
          <w:sz w:val="22"/>
          <w:szCs w:val="22"/>
        </w:rPr>
      </w:pPr>
      <w:r w:rsidRPr="006774D3">
        <w:rPr>
          <w:b/>
          <w:color w:val="000000"/>
          <w:sz w:val="22"/>
          <w:szCs w:val="22"/>
        </w:rPr>
        <w:t>6.1</w:t>
      </w:r>
      <w:r w:rsidRPr="006774D3">
        <w:rPr>
          <w:b/>
          <w:color w:val="000000"/>
          <w:sz w:val="22"/>
          <w:szCs w:val="22"/>
        </w:rPr>
        <w:tab/>
        <w:t>Hjálparefni</w:t>
      </w:r>
    </w:p>
    <w:p w14:paraId="05B8BB6E" w14:textId="77777777" w:rsidR="005F57F3" w:rsidRPr="006774D3" w:rsidRDefault="005F57F3" w:rsidP="00F77C66">
      <w:pPr>
        <w:keepNext/>
        <w:rPr>
          <w:color w:val="000000"/>
          <w:sz w:val="22"/>
          <w:szCs w:val="22"/>
        </w:rPr>
      </w:pPr>
    </w:p>
    <w:p w14:paraId="05B8BB6F" w14:textId="77777777" w:rsidR="005F57F3" w:rsidRPr="006774D3" w:rsidRDefault="005F57F3" w:rsidP="00F77C66">
      <w:pPr>
        <w:keepNext/>
        <w:rPr>
          <w:color w:val="000000"/>
          <w:sz w:val="22"/>
          <w:szCs w:val="22"/>
        </w:rPr>
      </w:pPr>
      <w:r w:rsidRPr="006774D3">
        <w:rPr>
          <w:color w:val="000000"/>
          <w:sz w:val="22"/>
          <w:szCs w:val="22"/>
        </w:rPr>
        <w:t>Töflukjarni:</w:t>
      </w:r>
    </w:p>
    <w:p w14:paraId="05B8BB70" w14:textId="77777777" w:rsidR="005F57F3" w:rsidRPr="006774D3" w:rsidRDefault="005F57F3" w:rsidP="00F77C66">
      <w:pPr>
        <w:keepNext/>
        <w:rPr>
          <w:color w:val="000000"/>
          <w:sz w:val="22"/>
          <w:szCs w:val="22"/>
        </w:rPr>
      </w:pPr>
      <w:r w:rsidRPr="006774D3">
        <w:rPr>
          <w:color w:val="000000"/>
          <w:sz w:val="22"/>
          <w:szCs w:val="22"/>
        </w:rPr>
        <w:t xml:space="preserve">Örkristölluð </w:t>
      </w:r>
      <w:r w:rsidR="00673DE6" w:rsidRPr="006774D3">
        <w:rPr>
          <w:color w:val="000000"/>
          <w:sz w:val="22"/>
          <w:szCs w:val="22"/>
        </w:rPr>
        <w:t>s</w:t>
      </w:r>
      <w:r w:rsidRPr="006774D3">
        <w:rPr>
          <w:color w:val="000000"/>
          <w:sz w:val="22"/>
          <w:szCs w:val="22"/>
        </w:rPr>
        <w:t>ellulósa</w:t>
      </w:r>
    </w:p>
    <w:p w14:paraId="05B8BB71" w14:textId="77777777" w:rsidR="005F57F3" w:rsidRPr="006774D3" w:rsidRDefault="005F57F3" w:rsidP="00F77C66">
      <w:pPr>
        <w:keepNext/>
        <w:rPr>
          <w:color w:val="000000"/>
          <w:sz w:val="22"/>
          <w:szCs w:val="22"/>
        </w:rPr>
      </w:pPr>
      <w:r w:rsidRPr="006774D3">
        <w:rPr>
          <w:color w:val="000000"/>
          <w:sz w:val="22"/>
          <w:szCs w:val="22"/>
        </w:rPr>
        <w:t>Crospovidon</w:t>
      </w:r>
    </w:p>
    <w:p w14:paraId="05B8BB72" w14:textId="77777777" w:rsidR="005F57F3" w:rsidRPr="006774D3" w:rsidRDefault="005F57F3" w:rsidP="00FA5D6F">
      <w:pPr>
        <w:keepNext/>
        <w:rPr>
          <w:color w:val="000000"/>
          <w:sz w:val="22"/>
          <w:szCs w:val="22"/>
        </w:rPr>
      </w:pPr>
      <w:r w:rsidRPr="006774D3">
        <w:rPr>
          <w:color w:val="000000"/>
          <w:sz w:val="22"/>
          <w:szCs w:val="22"/>
        </w:rPr>
        <w:t>Hýprómellósa</w:t>
      </w:r>
    </w:p>
    <w:p w14:paraId="05B8BB73" w14:textId="77777777" w:rsidR="005F57F3" w:rsidRPr="006774D3" w:rsidRDefault="005F57F3" w:rsidP="00FA5D6F">
      <w:pPr>
        <w:keepNext/>
        <w:rPr>
          <w:color w:val="000000"/>
          <w:sz w:val="22"/>
          <w:szCs w:val="22"/>
        </w:rPr>
      </w:pPr>
      <w:r w:rsidRPr="006774D3">
        <w:rPr>
          <w:color w:val="000000"/>
          <w:sz w:val="22"/>
          <w:szCs w:val="22"/>
        </w:rPr>
        <w:t>Magnesíumsterat</w:t>
      </w:r>
    </w:p>
    <w:p w14:paraId="05B8BB74" w14:textId="77777777" w:rsidR="005F57F3" w:rsidRPr="006774D3" w:rsidRDefault="005F57F3" w:rsidP="00F77C66">
      <w:pPr>
        <w:rPr>
          <w:color w:val="000000"/>
          <w:sz w:val="22"/>
          <w:szCs w:val="22"/>
        </w:rPr>
      </w:pPr>
      <w:r w:rsidRPr="006774D3">
        <w:rPr>
          <w:color w:val="000000"/>
          <w:sz w:val="22"/>
          <w:szCs w:val="22"/>
        </w:rPr>
        <w:t>Vatnsfrí kísilkvoða</w:t>
      </w:r>
    </w:p>
    <w:p w14:paraId="05B8BB75" w14:textId="77777777" w:rsidR="005F57F3" w:rsidRPr="006774D3" w:rsidRDefault="005F57F3" w:rsidP="00F77C66">
      <w:pPr>
        <w:rPr>
          <w:color w:val="000000"/>
          <w:sz w:val="22"/>
          <w:szCs w:val="22"/>
        </w:rPr>
      </w:pPr>
    </w:p>
    <w:p w14:paraId="05B8BB76" w14:textId="77777777" w:rsidR="005F57F3" w:rsidRPr="006774D3" w:rsidRDefault="005F57F3" w:rsidP="00F77C66">
      <w:pPr>
        <w:keepNext/>
        <w:rPr>
          <w:color w:val="000000"/>
          <w:sz w:val="22"/>
          <w:szCs w:val="22"/>
        </w:rPr>
      </w:pPr>
      <w:r w:rsidRPr="006774D3">
        <w:rPr>
          <w:color w:val="000000"/>
          <w:sz w:val="22"/>
          <w:szCs w:val="22"/>
        </w:rPr>
        <w:t>Töfluhúð:</w:t>
      </w:r>
    </w:p>
    <w:p w14:paraId="05B8BB77" w14:textId="77777777" w:rsidR="005F57F3" w:rsidRPr="006774D3" w:rsidRDefault="005F57F3" w:rsidP="00F77C66">
      <w:pPr>
        <w:keepNext/>
        <w:rPr>
          <w:color w:val="000000"/>
          <w:sz w:val="22"/>
          <w:szCs w:val="22"/>
        </w:rPr>
      </w:pPr>
      <w:r w:rsidRPr="006774D3">
        <w:rPr>
          <w:color w:val="000000"/>
          <w:sz w:val="22"/>
          <w:szCs w:val="22"/>
        </w:rPr>
        <w:t>Rautt járnoxíð (E172)</w:t>
      </w:r>
    </w:p>
    <w:p w14:paraId="05B8BB78" w14:textId="77777777" w:rsidR="005F57F3" w:rsidRPr="006774D3" w:rsidRDefault="005F57F3" w:rsidP="00F77C66">
      <w:pPr>
        <w:keepNext/>
        <w:rPr>
          <w:color w:val="000000"/>
          <w:sz w:val="22"/>
          <w:szCs w:val="22"/>
        </w:rPr>
      </w:pPr>
      <w:r w:rsidRPr="006774D3">
        <w:rPr>
          <w:color w:val="000000"/>
          <w:sz w:val="22"/>
          <w:szCs w:val="22"/>
        </w:rPr>
        <w:t>Gult járnoxíð (E172)</w:t>
      </w:r>
    </w:p>
    <w:p w14:paraId="05B8BB79" w14:textId="77777777" w:rsidR="005F57F3" w:rsidRPr="006774D3" w:rsidRDefault="005F57F3" w:rsidP="00FA5D6F">
      <w:pPr>
        <w:keepNext/>
        <w:rPr>
          <w:color w:val="000000"/>
          <w:sz w:val="22"/>
          <w:szCs w:val="22"/>
        </w:rPr>
      </w:pPr>
      <w:r w:rsidRPr="006774D3">
        <w:rPr>
          <w:color w:val="000000"/>
          <w:sz w:val="22"/>
          <w:szCs w:val="22"/>
        </w:rPr>
        <w:t>Macrogol</w:t>
      </w:r>
    </w:p>
    <w:p w14:paraId="05B8BB7A" w14:textId="77777777" w:rsidR="005F57F3" w:rsidRPr="006774D3" w:rsidRDefault="005F57F3" w:rsidP="00FA5D6F">
      <w:pPr>
        <w:keepNext/>
        <w:rPr>
          <w:color w:val="000000"/>
          <w:sz w:val="22"/>
          <w:szCs w:val="22"/>
        </w:rPr>
      </w:pPr>
      <w:r w:rsidRPr="006774D3">
        <w:rPr>
          <w:color w:val="000000"/>
          <w:sz w:val="22"/>
          <w:szCs w:val="22"/>
        </w:rPr>
        <w:t>Talkúm</w:t>
      </w:r>
    </w:p>
    <w:p w14:paraId="05B8BB7B" w14:textId="77777777" w:rsidR="005F57F3" w:rsidRPr="006774D3" w:rsidRDefault="005F57F3" w:rsidP="00F77C66">
      <w:pPr>
        <w:rPr>
          <w:color w:val="000000"/>
          <w:sz w:val="22"/>
          <w:szCs w:val="22"/>
        </w:rPr>
      </w:pPr>
      <w:r w:rsidRPr="006774D3">
        <w:rPr>
          <w:color w:val="000000"/>
          <w:sz w:val="22"/>
          <w:szCs w:val="22"/>
        </w:rPr>
        <w:t>Hýprómellósa</w:t>
      </w:r>
    </w:p>
    <w:p w14:paraId="05B8BB7C" w14:textId="77777777" w:rsidR="005F57F3" w:rsidRPr="006774D3" w:rsidRDefault="005F57F3" w:rsidP="00F77C66">
      <w:pPr>
        <w:rPr>
          <w:color w:val="000000"/>
          <w:sz w:val="22"/>
          <w:szCs w:val="22"/>
        </w:rPr>
      </w:pPr>
    </w:p>
    <w:p w14:paraId="05B8BB7D" w14:textId="77777777" w:rsidR="005F57F3" w:rsidRPr="006774D3" w:rsidRDefault="005F57F3" w:rsidP="00F77C66">
      <w:pPr>
        <w:keepNext/>
        <w:rPr>
          <w:color w:val="000000"/>
          <w:sz w:val="22"/>
          <w:szCs w:val="22"/>
        </w:rPr>
      </w:pPr>
      <w:r w:rsidRPr="006774D3">
        <w:rPr>
          <w:b/>
          <w:color w:val="000000"/>
          <w:sz w:val="22"/>
          <w:szCs w:val="22"/>
        </w:rPr>
        <w:t>6.2</w:t>
      </w:r>
      <w:r w:rsidRPr="006774D3">
        <w:rPr>
          <w:b/>
          <w:color w:val="000000"/>
          <w:sz w:val="22"/>
          <w:szCs w:val="22"/>
        </w:rPr>
        <w:tab/>
        <w:t>Ósamrýmanleiki</w:t>
      </w:r>
    </w:p>
    <w:p w14:paraId="05B8BB7E" w14:textId="77777777" w:rsidR="005F57F3" w:rsidRPr="006774D3" w:rsidRDefault="005F57F3" w:rsidP="00F77C66">
      <w:pPr>
        <w:keepNext/>
        <w:rPr>
          <w:color w:val="000000"/>
          <w:sz w:val="22"/>
          <w:szCs w:val="22"/>
        </w:rPr>
      </w:pPr>
    </w:p>
    <w:p w14:paraId="05B8BB7F" w14:textId="77777777" w:rsidR="005F57F3" w:rsidRPr="006774D3" w:rsidRDefault="005F57F3" w:rsidP="00FA5D6F">
      <w:pPr>
        <w:rPr>
          <w:color w:val="000000"/>
          <w:sz w:val="22"/>
          <w:szCs w:val="22"/>
        </w:rPr>
      </w:pPr>
      <w:r w:rsidRPr="006774D3">
        <w:rPr>
          <w:color w:val="000000"/>
          <w:sz w:val="22"/>
          <w:szCs w:val="22"/>
        </w:rPr>
        <w:t>Á ekki við.</w:t>
      </w:r>
    </w:p>
    <w:p w14:paraId="05B8BB80" w14:textId="77777777" w:rsidR="005F57F3" w:rsidRPr="006774D3" w:rsidRDefault="005F57F3" w:rsidP="00F77C66">
      <w:pPr>
        <w:rPr>
          <w:color w:val="000000"/>
          <w:sz w:val="22"/>
          <w:szCs w:val="22"/>
        </w:rPr>
      </w:pPr>
    </w:p>
    <w:p w14:paraId="05B8BB81" w14:textId="77777777" w:rsidR="005F57F3" w:rsidRPr="006774D3" w:rsidRDefault="005F57F3" w:rsidP="00F77C66">
      <w:pPr>
        <w:keepNext/>
        <w:rPr>
          <w:color w:val="000000"/>
          <w:sz w:val="22"/>
          <w:szCs w:val="22"/>
        </w:rPr>
      </w:pPr>
      <w:r w:rsidRPr="006774D3">
        <w:rPr>
          <w:b/>
          <w:color w:val="000000"/>
          <w:sz w:val="22"/>
          <w:szCs w:val="22"/>
        </w:rPr>
        <w:t>6.3</w:t>
      </w:r>
      <w:r w:rsidRPr="006774D3">
        <w:rPr>
          <w:b/>
          <w:color w:val="000000"/>
          <w:sz w:val="22"/>
          <w:szCs w:val="22"/>
        </w:rPr>
        <w:tab/>
        <w:t>Geymsluþol</w:t>
      </w:r>
    </w:p>
    <w:p w14:paraId="05B8BB82" w14:textId="77777777" w:rsidR="005F57F3" w:rsidRPr="006774D3" w:rsidRDefault="005F57F3" w:rsidP="00F77C66">
      <w:pPr>
        <w:keepNext/>
        <w:rPr>
          <w:color w:val="000000"/>
          <w:sz w:val="22"/>
          <w:szCs w:val="22"/>
        </w:rPr>
      </w:pPr>
    </w:p>
    <w:p w14:paraId="05B8BB83" w14:textId="77777777" w:rsidR="005F57F3" w:rsidRPr="006774D3" w:rsidRDefault="005F57F3" w:rsidP="00FA5D6F">
      <w:pPr>
        <w:rPr>
          <w:color w:val="000000"/>
          <w:sz w:val="22"/>
          <w:szCs w:val="22"/>
        </w:rPr>
      </w:pPr>
      <w:r w:rsidRPr="006774D3">
        <w:rPr>
          <w:color w:val="000000"/>
          <w:sz w:val="22"/>
          <w:szCs w:val="22"/>
        </w:rPr>
        <w:t>3 ár.</w:t>
      </w:r>
    </w:p>
    <w:p w14:paraId="05B8BB84" w14:textId="77777777" w:rsidR="005F57F3" w:rsidRPr="006774D3" w:rsidRDefault="005F57F3" w:rsidP="00F77C66">
      <w:pPr>
        <w:rPr>
          <w:color w:val="000000"/>
          <w:sz w:val="22"/>
          <w:szCs w:val="22"/>
        </w:rPr>
      </w:pPr>
    </w:p>
    <w:p w14:paraId="05B8BB85" w14:textId="77777777" w:rsidR="005F57F3" w:rsidRPr="006774D3" w:rsidRDefault="005F57F3" w:rsidP="00F77C66">
      <w:pPr>
        <w:keepNext/>
        <w:rPr>
          <w:color w:val="000000"/>
          <w:sz w:val="22"/>
          <w:szCs w:val="22"/>
        </w:rPr>
      </w:pPr>
      <w:r w:rsidRPr="006774D3">
        <w:rPr>
          <w:b/>
          <w:color w:val="000000"/>
          <w:sz w:val="22"/>
          <w:szCs w:val="22"/>
        </w:rPr>
        <w:t>6.4</w:t>
      </w:r>
      <w:r w:rsidRPr="006774D3">
        <w:rPr>
          <w:b/>
          <w:color w:val="000000"/>
          <w:sz w:val="22"/>
          <w:szCs w:val="22"/>
        </w:rPr>
        <w:tab/>
        <w:t>Sérstakar varúðarreglur við geymslu</w:t>
      </w:r>
    </w:p>
    <w:p w14:paraId="05B8BB86" w14:textId="77777777" w:rsidR="005F57F3" w:rsidRPr="006774D3" w:rsidRDefault="005F57F3" w:rsidP="00F77C66">
      <w:pPr>
        <w:keepNext/>
        <w:rPr>
          <w:color w:val="000000"/>
          <w:sz w:val="22"/>
          <w:szCs w:val="22"/>
        </w:rPr>
      </w:pPr>
    </w:p>
    <w:p w14:paraId="05B8BB87" w14:textId="77777777" w:rsidR="005F57F3" w:rsidRPr="006774D3" w:rsidRDefault="005F57F3" w:rsidP="00F77C66">
      <w:pPr>
        <w:keepNext/>
        <w:rPr>
          <w:color w:val="000000"/>
          <w:sz w:val="22"/>
          <w:szCs w:val="22"/>
        </w:rPr>
      </w:pPr>
      <w:r w:rsidRPr="006774D3">
        <w:rPr>
          <w:color w:val="000000"/>
          <w:sz w:val="22"/>
          <w:szCs w:val="22"/>
        </w:rPr>
        <w:t xml:space="preserve">Geymið við </w:t>
      </w:r>
      <w:r w:rsidR="00A315CD" w:rsidRPr="006774D3">
        <w:rPr>
          <w:color w:val="000000"/>
          <w:sz w:val="22"/>
          <w:szCs w:val="22"/>
        </w:rPr>
        <w:t xml:space="preserve">lægri </w:t>
      </w:r>
      <w:r w:rsidRPr="006774D3">
        <w:rPr>
          <w:color w:val="000000"/>
          <w:sz w:val="22"/>
          <w:szCs w:val="22"/>
        </w:rPr>
        <w:t>hita en 30°C.</w:t>
      </w:r>
    </w:p>
    <w:p w14:paraId="05B8BB88" w14:textId="77777777" w:rsidR="005F57F3" w:rsidRPr="006774D3" w:rsidRDefault="005F57F3" w:rsidP="00F77C66">
      <w:pPr>
        <w:keepNext/>
        <w:rPr>
          <w:color w:val="000000"/>
          <w:sz w:val="22"/>
          <w:szCs w:val="22"/>
        </w:rPr>
      </w:pPr>
    </w:p>
    <w:p w14:paraId="05B8BB89" w14:textId="77777777" w:rsidR="005F57F3" w:rsidRPr="006774D3" w:rsidRDefault="005F57F3" w:rsidP="00FA5D6F">
      <w:pPr>
        <w:rPr>
          <w:color w:val="000000"/>
          <w:sz w:val="22"/>
          <w:szCs w:val="22"/>
        </w:rPr>
      </w:pPr>
      <w:r w:rsidRPr="006774D3">
        <w:rPr>
          <w:color w:val="000000"/>
          <w:sz w:val="22"/>
          <w:szCs w:val="22"/>
        </w:rPr>
        <w:t>Geymið í upprunalegum umbúðum til varnar gegn raka.</w:t>
      </w:r>
    </w:p>
    <w:p w14:paraId="05B8BB8A" w14:textId="77777777" w:rsidR="005F57F3" w:rsidRPr="006774D3" w:rsidRDefault="005F57F3" w:rsidP="00F77C66">
      <w:pPr>
        <w:rPr>
          <w:color w:val="000000"/>
          <w:sz w:val="22"/>
          <w:szCs w:val="22"/>
        </w:rPr>
      </w:pPr>
    </w:p>
    <w:p w14:paraId="05B8BB8B" w14:textId="77777777" w:rsidR="005F57F3" w:rsidRPr="006774D3" w:rsidRDefault="005F57F3" w:rsidP="00F77C66">
      <w:pPr>
        <w:keepNext/>
        <w:rPr>
          <w:color w:val="000000"/>
          <w:sz w:val="22"/>
          <w:szCs w:val="22"/>
        </w:rPr>
      </w:pPr>
      <w:r w:rsidRPr="006774D3">
        <w:rPr>
          <w:b/>
          <w:color w:val="000000"/>
          <w:sz w:val="22"/>
          <w:szCs w:val="22"/>
        </w:rPr>
        <w:lastRenderedPageBreak/>
        <w:t>6.5</w:t>
      </w:r>
      <w:r w:rsidRPr="006774D3">
        <w:rPr>
          <w:b/>
          <w:color w:val="000000"/>
          <w:sz w:val="22"/>
          <w:szCs w:val="22"/>
        </w:rPr>
        <w:tab/>
        <w:t>Gerð íláts og innihald</w:t>
      </w:r>
    </w:p>
    <w:p w14:paraId="05B8BB8C" w14:textId="77777777" w:rsidR="005F57F3" w:rsidRPr="006774D3" w:rsidRDefault="005F57F3" w:rsidP="00F77C66">
      <w:pPr>
        <w:keepNext/>
        <w:rPr>
          <w:color w:val="000000"/>
          <w:sz w:val="22"/>
          <w:szCs w:val="22"/>
        </w:rPr>
      </w:pPr>
    </w:p>
    <w:p w14:paraId="05B8BB8D" w14:textId="77777777" w:rsidR="00A315CD" w:rsidRPr="006774D3" w:rsidRDefault="00A315CD" w:rsidP="00F77C66">
      <w:pPr>
        <w:keepNext/>
        <w:rPr>
          <w:color w:val="000000"/>
          <w:sz w:val="22"/>
          <w:szCs w:val="22"/>
          <w:u w:val="single"/>
        </w:rPr>
      </w:pPr>
      <w:r w:rsidRPr="006774D3">
        <w:rPr>
          <w:color w:val="000000"/>
          <w:sz w:val="22"/>
          <w:szCs w:val="22"/>
          <w:u w:val="single"/>
        </w:rPr>
        <w:t>Glivec 100 mg filmuhúðaðar töflur</w:t>
      </w:r>
    </w:p>
    <w:p w14:paraId="05B8BB8E" w14:textId="77777777" w:rsidR="005F57F3" w:rsidRPr="006774D3" w:rsidRDefault="005F57F3" w:rsidP="00F77C66">
      <w:pPr>
        <w:rPr>
          <w:color w:val="000000"/>
          <w:sz w:val="22"/>
          <w:szCs w:val="22"/>
        </w:rPr>
      </w:pPr>
      <w:r w:rsidRPr="006774D3">
        <w:rPr>
          <w:color w:val="000000"/>
          <w:sz w:val="22"/>
          <w:szCs w:val="22"/>
        </w:rPr>
        <w:t>PVC/álþynnur.</w:t>
      </w:r>
    </w:p>
    <w:p w14:paraId="05B8BB8F" w14:textId="77777777" w:rsidR="005F57F3" w:rsidRPr="006774D3" w:rsidRDefault="005F57F3" w:rsidP="00F77C66">
      <w:pPr>
        <w:rPr>
          <w:color w:val="000000"/>
          <w:sz w:val="22"/>
          <w:szCs w:val="22"/>
        </w:rPr>
      </w:pPr>
      <w:r w:rsidRPr="006774D3">
        <w:rPr>
          <w:color w:val="000000"/>
          <w:sz w:val="22"/>
          <w:szCs w:val="22"/>
        </w:rPr>
        <w:t>Pakkningar með 20, 60, 120 eða 180 filmuhúðuðum töflum.</w:t>
      </w:r>
    </w:p>
    <w:p w14:paraId="05B8BB90" w14:textId="77777777" w:rsidR="002F3A62" w:rsidRPr="006774D3" w:rsidRDefault="002F3A62" w:rsidP="00F77C66">
      <w:pPr>
        <w:rPr>
          <w:color w:val="000000"/>
          <w:sz w:val="22"/>
          <w:szCs w:val="22"/>
        </w:rPr>
      </w:pPr>
    </w:p>
    <w:p w14:paraId="05B8BB91" w14:textId="77777777" w:rsidR="002F3A62" w:rsidRPr="006774D3" w:rsidRDefault="002F3A62" w:rsidP="00F77C66">
      <w:pPr>
        <w:rPr>
          <w:color w:val="000000"/>
          <w:sz w:val="22"/>
          <w:szCs w:val="22"/>
        </w:rPr>
      </w:pPr>
      <w:r w:rsidRPr="006774D3">
        <w:rPr>
          <w:color w:val="000000"/>
          <w:sz w:val="22"/>
          <w:szCs w:val="22"/>
        </w:rPr>
        <w:t>PVDC/álþynnur.</w:t>
      </w:r>
    </w:p>
    <w:p w14:paraId="05B8BB92" w14:textId="77777777" w:rsidR="002F3A62" w:rsidRPr="006774D3" w:rsidRDefault="002F3A62" w:rsidP="00F77C66">
      <w:pPr>
        <w:rPr>
          <w:color w:val="000000"/>
          <w:sz w:val="22"/>
          <w:szCs w:val="22"/>
        </w:rPr>
      </w:pPr>
      <w:r w:rsidRPr="006774D3">
        <w:rPr>
          <w:color w:val="000000"/>
          <w:sz w:val="22"/>
          <w:szCs w:val="22"/>
        </w:rPr>
        <w:t xml:space="preserve">Pakkningar með </w:t>
      </w:r>
      <w:r w:rsidR="00FD690B" w:rsidRPr="006774D3">
        <w:rPr>
          <w:color w:val="000000"/>
          <w:sz w:val="22"/>
          <w:szCs w:val="22"/>
        </w:rPr>
        <w:t>6</w:t>
      </w:r>
      <w:r w:rsidRPr="006774D3">
        <w:rPr>
          <w:color w:val="000000"/>
          <w:sz w:val="22"/>
          <w:szCs w:val="22"/>
        </w:rPr>
        <w:t>0, 120 eða 180 filmuhúðuðum töflum.</w:t>
      </w:r>
    </w:p>
    <w:p w14:paraId="05B8BB93" w14:textId="77777777" w:rsidR="005F57F3" w:rsidRPr="006774D3" w:rsidRDefault="005F57F3" w:rsidP="00F77C66">
      <w:pPr>
        <w:rPr>
          <w:color w:val="000000"/>
          <w:sz w:val="22"/>
          <w:szCs w:val="22"/>
        </w:rPr>
      </w:pPr>
    </w:p>
    <w:p w14:paraId="05B8BB94" w14:textId="77777777" w:rsidR="00A315CD" w:rsidRPr="006774D3" w:rsidRDefault="00A315CD" w:rsidP="00F77C66">
      <w:pPr>
        <w:keepNext/>
        <w:rPr>
          <w:color w:val="000000"/>
          <w:sz w:val="22"/>
          <w:szCs w:val="22"/>
          <w:u w:val="single"/>
        </w:rPr>
      </w:pPr>
      <w:r w:rsidRPr="006774D3">
        <w:rPr>
          <w:color w:val="000000"/>
          <w:sz w:val="22"/>
          <w:szCs w:val="22"/>
          <w:u w:val="single"/>
        </w:rPr>
        <w:t>Glivec 400 mg filmuhúðaðar töflur</w:t>
      </w:r>
    </w:p>
    <w:p w14:paraId="05B8BB95" w14:textId="77777777" w:rsidR="00A315CD" w:rsidRPr="006774D3" w:rsidRDefault="00A315CD" w:rsidP="00F77C66">
      <w:pPr>
        <w:rPr>
          <w:color w:val="000000"/>
          <w:sz w:val="22"/>
          <w:szCs w:val="22"/>
        </w:rPr>
      </w:pPr>
      <w:r w:rsidRPr="006774D3">
        <w:rPr>
          <w:color w:val="000000"/>
          <w:sz w:val="22"/>
          <w:szCs w:val="22"/>
        </w:rPr>
        <w:t>PV</w:t>
      </w:r>
      <w:r w:rsidR="002F3A62" w:rsidRPr="006774D3">
        <w:rPr>
          <w:color w:val="000000"/>
          <w:sz w:val="22"/>
          <w:szCs w:val="22"/>
        </w:rPr>
        <w:t>D</w:t>
      </w:r>
      <w:r w:rsidRPr="006774D3">
        <w:rPr>
          <w:color w:val="000000"/>
          <w:sz w:val="22"/>
          <w:szCs w:val="22"/>
        </w:rPr>
        <w:t>C/álþynnur.</w:t>
      </w:r>
    </w:p>
    <w:p w14:paraId="05B8BB96" w14:textId="77777777" w:rsidR="00A315CD" w:rsidRPr="006774D3" w:rsidRDefault="00A315CD" w:rsidP="00F77C66">
      <w:pPr>
        <w:rPr>
          <w:color w:val="000000"/>
          <w:sz w:val="22"/>
          <w:szCs w:val="22"/>
        </w:rPr>
      </w:pPr>
      <w:r w:rsidRPr="006774D3">
        <w:rPr>
          <w:color w:val="000000"/>
          <w:sz w:val="22"/>
          <w:szCs w:val="22"/>
        </w:rPr>
        <w:t>Pakkningar með 10, 30 eða 90 filmuhúðuðum töflum.</w:t>
      </w:r>
    </w:p>
    <w:p w14:paraId="05B8BB97" w14:textId="77777777" w:rsidR="00A315CD" w:rsidRPr="006774D3" w:rsidRDefault="00A315CD" w:rsidP="00F77C66">
      <w:pPr>
        <w:rPr>
          <w:color w:val="000000"/>
          <w:sz w:val="22"/>
          <w:szCs w:val="22"/>
        </w:rPr>
      </w:pPr>
    </w:p>
    <w:p w14:paraId="05B8BB98" w14:textId="77777777" w:rsidR="005F57F3" w:rsidRPr="006774D3" w:rsidRDefault="005F57F3" w:rsidP="00F77C66">
      <w:pPr>
        <w:rPr>
          <w:color w:val="000000"/>
          <w:sz w:val="22"/>
          <w:szCs w:val="22"/>
        </w:rPr>
      </w:pPr>
      <w:r w:rsidRPr="006774D3">
        <w:rPr>
          <w:color w:val="000000"/>
          <w:sz w:val="22"/>
          <w:szCs w:val="22"/>
        </w:rPr>
        <w:t>Ekki er víst að allar pakkningastærðir séu markaðssettar.</w:t>
      </w:r>
    </w:p>
    <w:p w14:paraId="05B8BB99" w14:textId="77777777" w:rsidR="005F57F3" w:rsidRPr="006774D3" w:rsidRDefault="005F57F3" w:rsidP="00F77C66">
      <w:pPr>
        <w:rPr>
          <w:color w:val="000000"/>
          <w:sz w:val="22"/>
          <w:szCs w:val="22"/>
        </w:rPr>
      </w:pPr>
    </w:p>
    <w:p w14:paraId="05B8BB9A" w14:textId="77777777" w:rsidR="005F57F3" w:rsidRPr="006774D3" w:rsidRDefault="005F57F3" w:rsidP="00F77C66">
      <w:pPr>
        <w:keepNext/>
        <w:rPr>
          <w:color w:val="000000"/>
          <w:sz w:val="22"/>
          <w:szCs w:val="22"/>
        </w:rPr>
      </w:pPr>
      <w:r w:rsidRPr="006774D3">
        <w:rPr>
          <w:b/>
          <w:color w:val="000000"/>
          <w:sz w:val="22"/>
          <w:szCs w:val="22"/>
        </w:rPr>
        <w:t>6.6</w:t>
      </w:r>
      <w:r w:rsidRPr="006774D3">
        <w:rPr>
          <w:b/>
          <w:color w:val="000000"/>
          <w:sz w:val="22"/>
          <w:szCs w:val="22"/>
        </w:rPr>
        <w:tab/>
      </w:r>
      <w:r w:rsidRPr="006774D3">
        <w:rPr>
          <w:b/>
          <w:bCs/>
          <w:color w:val="000000"/>
          <w:sz w:val="22"/>
          <w:szCs w:val="22"/>
        </w:rPr>
        <w:t>Sérstakar varúðarráðstafanir við förgun</w:t>
      </w:r>
    </w:p>
    <w:p w14:paraId="05B8BB9B" w14:textId="77777777" w:rsidR="005F57F3" w:rsidRPr="006774D3" w:rsidRDefault="005F57F3" w:rsidP="00F77C66">
      <w:pPr>
        <w:keepNext/>
        <w:rPr>
          <w:color w:val="000000"/>
          <w:sz w:val="22"/>
          <w:szCs w:val="22"/>
        </w:rPr>
      </w:pPr>
    </w:p>
    <w:p w14:paraId="05B8BB9C" w14:textId="77777777" w:rsidR="005F57F3" w:rsidRPr="006774D3" w:rsidRDefault="00E20B6E" w:rsidP="00F77C66">
      <w:pPr>
        <w:rPr>
          <w:color w:val="000000"/>
          <w:sz w:val="22"/>
          <w:szCs w:val="22"/>
        </w:rPr>
      </w:pPr>
      <w:r w:rsidRPr="006774D3">
        <w:rPr>
          <w:color w:val="000000"/>
          <w:sz w:val="22"/>
          <w:szCs w:val="22"/>
        </w:rPr>
        <w:t>Farga skal öllum lyfjaleifum og/eða úrgangi í samræmi við gildandi reglur.</w:t>
      </w:r>
    </w:p>
    <w:p w14:paraId="05B8BB9D" w14:textId="77777777" w:rsidR="007D7B79" w:rsidRPr="006774D3" w:rsidRDefault="007D7B79" w:rsidP="00F77C66">
      <w:pPr>
        <w:rPr>
          <w:color w:val="000000"/>
          <w:sz w:val="22"/>
          <w:szCs w:val="22"/>
        </w:rPr>
      </w:pPr>
    </w:p>
    <w:p w14:paraId="05B8BB9E" w14:textId="77777777" w:rsidR="005F57F3" w:rsidRPr="006774D3" w:rsidRDefault="005F57F3" w:rsidP="00F77C66">
      <w:pPr>
        <w:rPr>
          <w:color w:val="000000"/>
          <w:sz w:val="22"/>
          <w:szCs w:val="22"/>
        </w:rPr>
      </w:pPr>
    </w:p>
    <w:p w14:paraId="05B8BB9F" w14:textId="77777777" w:rsidR="005F57F3" w:rsidRPr="006774D3" w:rsidRDefault="005F57F3" w:rsidP="00F77C66">
      <w:pPr>
        <w:keepNext/>
        <w:rPr>
          <w:color w:val="000000"/>
          <w:sz w:val="22"/>
          <w:szCs w:val="22"/>
        </w:rPr>
      </w:pPr>
      <w:r w:rsidRPr="006774D3">
        <w:rPr>
          <w:b/>
          <w:color w:val="000000"/>
          <w:sz w:val="22"/>
          <w:szCs w:val="22"/>
        </w:rPr>
        <w:t>7.</w:t>
      </w:r>
      <w:r w:rsidRPr="006774D3">
        <w:rPr>
          <w:b/>
          <w:color w:val="000000"/>
          <w:sz w:val="22"/>
          <w:szCs w:val="22"/>
        </w:rPr>
        <w:tab/>
        <w:t>MARKAÐSLEYFIS</w:t>
      </w:r>
      <w:r w:rsidR="00E320B8" w:rsidRPr="006774D3">
        <w:rPr>
          <w:b/>
          <w:color w:val="000000"/>
          <w:sz w:val="22"/>
          <w:szCs w:val="22"/>
        </w:rPr>
        <w:t>HAFI</w:t>
      </w:r>
    </w:p>
    <w:p w14:paraId="05B8BBA0" w14:textId="77777777" w:rsidR="005F57F3" w:rsidRPr="006774D3" w:rsidRDefault="005F57F3" w:rsidP="00F77C66">
      <w:pPr>
        <w:keepNext/>
        <w:rPr>
          <w:color w:val="000000"/>
          <w:sz w:val="22"/>
          <w:szCs w:val="22"/>
        </w:rPr>
      </w:pPr>
    </w:p>
    <w:p w14:paraId="05B8BBA1" w14:textId="77777777" w:rsidR="005F57F3" w:rsidRPr="006774D3" w:rsidRDefault="005F57F3" w:rsidP="00F77C66">
      <w:pPr>
        <w:keepNext/>
        <w:rPr>
          <w:color w:val="000000"/>
          <w:sz w:val="22"/>
          <w:szCs w:val="22"/>
        </w:rPr>
      </w:pPr>
      <w:r w:rsidRPr="006774D3">
        <w:rPr>
          <w:color w:val="000000"/>
          <w:sz w:val="22"/>
          <w:szCs w:val="22"/>
        </w:rPr>
        <w:t>Novartis Europharm Limited</w:t>
      </w:r>
    </w:p>
    <w:p w14:paraId="05B8BBA2"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BBA3"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BBA4"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BBA5" w14:textId="77777777" w:rsidR="005F57F3" w:rsidRPr="006774D3" w:rsidRDefault="00B3755B" w:rsidP="00FA5D6F">
      <w:pPr>
        <w:rPr>
          <w:color w:val="000000"/>
          <w:sz w:val="22"/>
          <w:szCs w:val="22"/>
        </w:rPr>
      </w:pPr>
      <w:r w:rsidRPr="006774D3">
        <w:rPr>
          <w:color w:val="000000"/>
          <w:sz w:val="22"/>
          <w:szCs w:val="22"/>
        </w:rPr>
        <w:t>Írland</w:t>
      </w:r>
    </w:p>
    <w:p w14:paraId="05B8BBA6" w14:textId="77777777" w:rsidR="005F57F3" w:rsidRPr="006774D3" w:rsidRDefault="005F57F3" w:rsidP="00F77C66">
      <w:pPr>
        <w:rPr>
          <w:color w:val="000000"/>
          <w:sz w:val="22"/>
          <w:szCs w:val="22"/>
        </w:rPr>
      </w:pPr>
    </w:p>
    <w:p w14:paraId="05B8BBA7" w14:textId="77777777" w:rsidR="005F57F3" w:rsidRPr="006774D3" w:rsidRDefault="005F57F3" w:rsidP="00F77C66">
      <w:pPr>
        <w:rPr>
          <w:color w:val="000000"/>
          <w:sz w:val="22"/>
          <w:szCs w:val="22"/>
        </w:rPr>
      </w:pPr>
    </w:p>
    <w:p w14:paraId="05B8BBA8" w14:textId="77777777" w:rsidR="005F57F3" w:rsidRPr="006774D3" w:rsidRDefault="005F57F3" w:rsidP="00F77C66">
      <w:pPr>
        <w:keepNext/>
        <w:rPr>
          <w:b/>
          <w:color w:val="000000"/>
          <w:sz w:val="22"/>
          <w:szCs w:val="22"/>
        </w:rPr>
      </w:pPr>
      <w:r w:rsidRPr="006774D3">
        <w:rPr>
          <w:b/>
          <w:color w:val="000000"/>
          <w:sz w:val="22"/>
          <w:szCs w:val="22"/>
        </w:rPr>
        <w:t>8.</w:t>
      </w:r>
      <w:r w:rsidRPr="006774D3">
        <w:rPr>
          <w:b/>
          <w:color w:val="000000"/>
          <w:sz w:val="22"/>
          <w:szCs w:val="22"/>
        </w:rPr>
        <w:tab/>
        <w:t>MARKAÐSLEYFISNÚMER</w:t>
      </w:r>
    </w:p>
    <w:p w14:paraId="05B8BBA9" w14:textId="77777777" w:rsidR="005F57F3" w:rsidRPr="006774D3" w:rsidRDefault="005F57F3" w:rsidP="00F77C66">
      <w:pPr>
        <w:keepNext/>
        <w:rPr>
          <w:color w:val="000000"/>
          <w:sz w:val="22"/>
          <w:szCs w:val="22"/>
        </w:rPr>
      </w:pPr>
    </w:p>
    <w:p w14:paraId="05B8BBAA" w14:textId="77777777" w:rsidR="00A315CD" w:rsidRPr="006774D3" w:rsidRDefault="00A315CD" w:rsidP="00F77C66">
      <w:pPr>
        <w:keepNext/>
        <w:rPr>
          <w:color w:val="000000"/>
          <w:sz w:val="22"/>
          <w:szCs w:val="22"/>
          <w:u w:val="single"/>
        </w:rPr>
      </w:pPr>
      <w:r w:rsidRPr="006774D3">
        <w:rPr>
          <w:color w:val="000000"/>
          <w:sz w:val="22"/>
          <w:szCs w:val="22"/>
          <w:u w:val="single"/>
        </w:rPr>
        <w:t>Glivec 100 mg filmuhúðaðar töflur</w:t>
      </w:r>
    </w:p>
    <w:p w14:paraId="05B8BBAB" w14:textId="77777777" w:rsidR="005F57F3" w:rsidRPr="006774D3" w:rsidRDefault="005F57F3" w:rsidP="00F77C66">
      <w:pPr>
        <w:keepNext/>
        <w:rPr>
          <w:color w:val="000000"/>
          <w:sz w:val="22"/>
          <w:szCs w:val="22"/>
        </w:rPr>
      </w:pPr>
      <w:r w:rsidRPr="006774D3">
        <w:rPr>
          <w:color w:val="000000"/>
          <w:sz w:val="22"/>
          <w:szCs w:val="22"/>
        </w:rPr>
        <w:t>EU/1/01/198/007</w:t>
      </w:r>
    </w:p>
    <w:p w14:paraId="05B8BBAC" w14:textId="77777777" w:rsidR="005F57F3" w:rsidRPr="006774D3" w:rsidRDefault="005F57F3" w:rsidP="00F77C66">
      <w:pPr>
        <w:keepNext/>
        <w:rPr>
          <w:color w:val="000000"/>
          <w:sz w:val="22"/>
          <w:szCs w:val="22"/>
        </w:rPr>
      </w:pPr>
      <w:r w:rsidRPr="006774D3">
        <w:rPr>
          <w:color w:val="000000"/>
          <w:sz w:val="22"/>
          <w:szCs w:val="22"/>
        </w:rPr>
        <w:t>EU/1/01/198/008</w:t>
      </w:r>
    </w:p>
    <w:p w14:paraId="05B8BBAD" w14:textId="77777777" w:rsidR="005F57F3" w:rsidRPr="006774D3" w:rsidRDefault="005F57F3" w:rsidP="00F77C66">
      <w:pPr>
        <w:keepNext/>
        <w:rPr>
          <w:color w:val="000000"/>
          <w:sz w:val="22"/>
          <w:szCs w:val="22"/>
        </w:rPr>
      </w:pPr>
      <w:r w:rsidRPr="006774D3">
        <w:rPr>
          <w:color w:val="000000"/>
          <w:sz w:val="22"/>
          <w:szCs w:val="22"/>
        </w:rPr>
        <w:t>EU/1/01/198/011</w:t>
      </w:r>
    </w:p>
    <w:p w14:paraId="05B8BBAE" w14:textId="77777777" w:rsidR="005F57F3" w:rsidRPr="006774D3" w:rsidRDefault="005F57F3" w:rsidP="00F77C66">
      <w:pPr>
        <w:keepNext/>
        <w:rPr>
          <w:color w:val="000000"/>
          <w:sz w:val="22"/>
          <w:szCs w:val="22"/>
        </w:rPr>
      </w:pPr>
      <w:r w:rsidRPr="006774D3">
        <w:rPr>
          <w:color w:val="000000"/>
          <w:sz w:val="22"/>
          <w:szCs w:val="22"/>
        </w:rPr>
        <w:t>EU/1/01/198/012</w:t>
      </w:r>
    </w:p>
    <w:p w14:paraId="05B8BBAF" w14:textId="77777777" w:rsidR="002F3A62" w:rsidRPr="006774D3" w:rsidRDefault="002F3A62" w:rsidP="00F77C66">
      <w:pPr>
        <w:keepNext/>
        <w:rPr>
          <w:color w:val="000000"/>
          <w:sz w:val="22"/>
          <w:szCs w:val="22"/>
        </w:rPr>
      </w:pPr>
      <w:r w:rsidRPr="006774D3">
        <w:rPr>
          <w:color w:val="000000"/>
          <w:sz w:val="22"/>
          <w:szCs w:val="22"/>
        </w:rPr>
        <w:t>EU/1/01/198/01</w:t>
      </w:r>
      <w:r w:rsidR="00CB6A35" w:rsidRPr="006774D3">
        <w:rPr>
          <w:color w:val="000000"/>
          <w:sz w:val="22"/>
          <w:szCs w:val="22"/>
        </w:rPr>
        <w:t>4</w:t>
      </w:r>
    </w:p>
    <w:p w14:paraId="05B8BBB0" w14:textId="77777777" w:rsidR="002F3A62" w:rsidRPr="006774D3" w:rsidRDefault="002F3A62" w:rsidP="00F77C66">
      <w:pPr>
        <w:keepNext/>
        <w:rPr>
          <w:color w:val="000000"/>
          <w:sz w:val="22"/>
          <w:szCs w:val="22"/>
        </w:rPr>
      </w:pPr>
      <w:r w:rsidRPr="006774D3">
        <w:rPr>
          <w:color w:val="000000"/>
          <w:sz w:val="22"/>
          <w:szCs w:val="22"/>
        </w:rPr>
        <w:t>EU/1/01/198/01</w:t>
      </w:r>
      <w:r w:rsidR="00CB6A35" w:rsidRPr="006774D3">
        <w:rPr>
          <w:color w:val="000000"/>
          <w:sz w:val="22"/>
          <w:szCs w:val="22"/>
        </w:rPr>
        <w:t>5</w:t>
      </w:r>
    </w:p>
    <w:p w14:paraId="05B8BBB1" w14:textId="77777777" w:rsidR="00FD690B" w:rsidRPr="006774D3" w:rsidRDefault="00FD690B" w:rsidP="00F77C66">
      <w:pPr>
        <w:rPr>
          <w:color w:val="000000"/>
          <w:sz w:val="22"/>
          <w:szCs w:val="22"/>
        </w:rPr>
      </w:pPr>
      <w:r w:rsidRPr="006774D3">
        <w:rPr>
          <w:color w:val="000000"/>
          <w:sz w:val="22"/>
          <w:szCs w:val="22"/>
        </w:rPr>
        <w:t>EU/1/01/198/01</w:t>
      </w:r>
      <w:r w:rsidR="00CB6A35" w:rsidRPr="006774D3">
        <w:rPr>
          <w:color w:val="000000"/>
          <w:sz w:val="22"/>
          <w:szCs w:val="22"/>
        </w:rPr>
        <w:t>6</w:t>
      </w:r>
    </w:p>
    <w:p w14:paraId="05B8BBB2" w14:textId="77777777" w:rsidR="005F57F3" w:rsidRPr="006774D3" w:rsidRDefault="005F57F3" w:rsidP="00F77C66">
      <w:pPr>
        <w:pStyle w:val="Authors"/>
        <w:keepNext w:val="0"/>
        <w:spacing w:before="0"/>
        <w:rPr>
          <w:rFonts w:ascii="Times New Roman" w:hAnsi="Times New Roman"/>
          <w:color w:val="000000"/>
          <w:szCs w:val="22"/>
          <w:lang w:val="is-IS"/>
        </w:rPr>
      </w:pPr>
    </w:p>
    <w:p w14:paraId="05B8BBB3" w14:textId="77777777" w:rsidR="00A315CD" w:rsidRPr="006774D3" w:rsidRDefault="00A315CD" w:rsidP="00F77C66">
      <w:pPr>
        <w:keepNext/>
        <w:rPr>
          <w:color w:val="000000"/>
          <w:sz w:val="22"/>
          <w:szCs w:val="22"/>
          <w:u w:val="single"/>
        </w:rPr>
      </w:pPr>
      <w:r w:rsidRPr="006774D3">
        <w:rPr>
          <w:color w:val="000000"/>
          <w:sz w:val="22"/>
          <w:szCs w:val="22"/>
          <w:u w:val="single"/>
        </w:rPr>
        <w:t>Glivec 400 mg filmuhúðaðar töflur</w:t>
      </w:r>
    </w:p>
    <w:p w14:paraId="05B8BBB4" w14:textId="77777777" w:rsidR="00A315CD" w:rsidRPr="006774D3" w:rsidRDefault="00A315CD" w:rsidP="00FA5D6F">
      <w:pPr>
        <w:keepNext/>
        <w:rPr>
          <w:color w:val="000000"/>
          <w:sz w:val="22"/>
          <w:szCs w:val="22"/>
        </w:rPr>
      </w:pPr>
      <w:r w:rsidRPr="006774D3">
        <w:rPr>
          <w:color w:val="000000"/>
          <w:sz w:val="22"/>
          <w:szCs w:val="22"/>
        </w:rPr>
        <w:t>EU/1/01/198/009</w:t>
      </w:r>
    </w:p>
    <w:p w14:paraId="05B8BBB5" w14:textId="77777777" w:rsidR="00A315CD" w:rsidRPr="006774D3" w:rsidRDefault="00A315CD" w:rsidP="00FA5D6F">
      <w:pPr>
        <w:keepNext/>
        <w:rPr>
          <w:color w:val="000000"/>
          <w:sz w:val="22"/>
          <w:szCs w:val="22"/>
        </w:rPr>
      </w:pPr>
      <w:r w:rsidRPr="006774D3">
        <w:rPr>
          <w:color w:val="000000"/>
          <w:sz w:val="22"/>
          <w:szCs w:val="22"/>
        </w:rPr>
        <w:t>EU/1/01/198/010</w:t>
      </w:r>
    </w:p>
    <w:p w14:paraId="05B8BBB6" w14:textId="77777777" w:rsidR="00A315CD" w:rsidRPr="006774D3" w:rsidRDefault="00A315CD" w:rsidP="00F77C66">
      <w:pPr>
        <w:rPr>
          <w:color w:val="000000"/>
          <w:sz w:val="22"/>
          <w:szCs w:val="22"/>
        </w:rPr>
      </w:pPr>
      <w:r w:rsidRPr="006774D3">
        <w:rPr>
          <w:color w:val="000000"/>
          <w:sz w:val="22"/>
          <w:szCs w:val="22"/>
        </w:rPr>
        <w:t>EU/1/01/198/013</w:t>
      </w:r>
    </w:p>
    <w:p w14:paraId="05B8BBB7" w14:textId="77777777" w:rsidR="00A315CD" w:rsidRPr="006774D3" w:rsidRDefault="00A315CD" w:rsidP="00F77C66">
      <w:pPr>
        <w:pStyle w:val="Authors"/>
        <w:keepNext w:val="0"/>
        <w:spacing w:before="0"/>
        <w:rPr>
          <w:rFonts w:ascii="Times New Roman" w:hAnsi="Times New Roman"/>
          <w:color w:val="000000"/>
          <w:szCs w:val="22"/>
          <w:lang w:val="is-IS"/>
        </w:rPr>
      </w:pPr>
    </w:p>
    <w:p w14:paraId="05B8BBB8" w14:textId="77777777" w:rsidR="005F57F3" w:rsidRPr="006774D3" w:rsidRDefault="005F57F3" w:rsidP="00F77C66">
      <w:pPr>
        <w:rPr>
          <w:color w:val="000000"/>
          <w:sz w:val="22"/>
          <w:szCs w:val="22"/>
        </w:rPr>
      </w:pPr>
    </w:p>
    <w:p w14:paraId="05B8BBB9" w14:textId="77777777" w:rsidR="005F57F3" w:rsidRPr="006774D3" w:rsidRDefault="005F57F3" w:rsidP="00F77C66">
      <w:pPr>
        <w:pStyle w:val="BodyTextIndent3"/>
        <w:keepNext/>
        <w:rPr>
          <w:color w:val="000000"/>
          <w:szCs w:val="22"/>
          <w:lang w:val="is-IS"/>
        </w:rPr>
      </w:pPr>
      <w:r w:rsidRPr="006774D3">
        <w:rPr>
          <w:color w:val="000000"/>
          <w:szCs w:val="22"/>
          <w:lang w:val="is-IS"/>
        </w:rPr>
        <w:t>9.</w:t>
      </w:r>
      <w:r w:rsidRPr="006774D3">
        <w:rPr>
          <w:color w:val="000000"/>
          <w:szCs w:val="22"/>
          <w:lang w:val="is-IS"/>
        </w:rPr>
        <w:tab/>
        <w:t>DAGSETNING FYRSTU ÚTGÁFU MARKAÐSLEYFIS/ENDURNÝJUNAR MARKAÐSLEYFIS</w:t>
      </w:r>
    </w:p>
    <w:p w14:paraId="05B8BBBA" w14:textId="77777777" w:rsidR="005F57F3" w:rsidRPr="006774D3" w:rsidRDefault="005F57F3" w:rsidP="00F77C66">
      <w:pPr>
        <w:keepNext/>
        <w:rPr>
          <w:color w:val="000000"/>
          <w:sz w:val="22"/>
          <w:szCs w:val="22"/>
        </w:rPr>
      </w:pPr>
    </w:p>
    <w:p w14:paraId="05B8BBBB" w14:textId="77777777" w:rsidR="005F57F3" w:rsidRPr="006774D3" w:rsidRDefault="005F57F3" w:rsidP="00F77C66">
      <w:pPr>
        <w:keepNext/>
        <w:rPr>
          <w:color w:val="000000"/>
          <w:sz w:val="22"/>
          <w:szCs w:val="22"/>
        </w:rPr>
      </w:pPr>
      <w:r w:rsidRPr="006774D3">
        <w:rPr>
          <w:color w:val="000000"/>
          <w:sz w:val="22"/>
          <w:szCs w:val="22"/>
        </w:rPr>
        <w:t>Dagsetning fyrstu útgáfu markaðsleyfis: 7. nóvember 2001.</w:t>
      </w:r>
    </w:p>
    <w:p w14:paraId="05B8BBBC" w14:textId="77777777" w:rsidR="005F57F3" w:rsidRPr="006774D3" w:rsidRDefault="000D539D" w:rsidP="00FA5D6F">
      <w:pPr>
        <w:rPr>
          <w:color w:val="000000"/>
          <w:sz w:val="22"/>
          <w:szCs w:val="22"/>
        </w:rPr>
      </w:pPr>
      <w:r w:rsidRPr="006774D3">
        <w:rPr>
          <w:color w:val="000000"/>
          <w:sz w:val="22"/>
          <w:szCs w:val="22"/>
        </w:rPr>
        <w:t>Nýjasta d</w:t>
      </w:r>
      <w:r w:rsidR="005F57F3" w:rsidRPr="006774D3">
        <w:rPr>
          <w:color w:val="000000"/>
          <w:sz w:val="22"/>
          <w:szCs w:val="22"/>
        </w:rPr>
        <w:t>agsetning endurnýjunar markaðsleyfis: 7. nóvember 2006.</w:t>
      </w:r>
    </w:p>
    <w:p w14:paraId="05B8BBBD" w14:textId="77777777" w:rsidR="005F57F3" w:rsidRPr="006774D3" w:rsidRDefault="005F57F3" w:rsidP="00F77C66">
      <w:pPr>
        <w:rPr>
          <w:color w:val="000000"/>
          <w:sz w:val="22"/>
          <w:szCs w:val="22"/>
        </w:rPr>
      </w:pPr>
    </w:p>
    <w:p w14:paraId="05B8BBBE" w14:textId="77777777" w:rsidR="005F57F3" w:rsidRPr="006774D3" w:rsidRDefault="005F57F3" w:rsidP="00F77C66">
      <w:pPr>
        <w:rPr>
          <w:color w:val="000000"/>
          <w:sz w:val="22"/>
          <w:szCs w:val="22"/>
        </w:rPr>
      </w:pPr>
    </w:p>
    <w:p w14:paraId="05B8BBBF" w14:textId="77777777" w:rsidR="005F57F3" w:rsidRPr="006774D3" w:rsidRDefault="005F57F3" w:rsidP="00F77C66">
      <w:pPr>
        <w:keepNext/>
        <w:rPr>
          <w:color w:val="000000"/>
          <w:sz w:val="22"/>
          <w:szCs w:val="22"/>
        </w:rPr>
      </w:pPr>
      <w:r w:rsidRPr="006774D3">
        <w:rPr>
          <w:b/>
          <w:color w:val="000000"/>
          <w:sz w:val="22"/>
          <w:szCs w:val="22"/>
        </w:rPr>
        <w:t>10.</w:t>
      </w:r>
      <w:r w:rsidRPr="006774D3">
        <w:rPr>
          <w:b/>
          <w:color w:val="000000"/>
          <w:sz w:val="22"/>
          <w:szCs w:val="22"/>
        </w:rPr>
        <w:tab/>
        <w:t>DAGSETNING ENDURSKOÐUNAR TEXTANS</w:t>
      </w:r>
    </w:p>
    <w:p w14:paraId="05B8BBC0" w14:textId="77777777" w:rsidR="005F57F3" w:rsidRPr="006774D3" w:rsidRDefault="005F57F3" w:rsidP="00F77C66">
      <w:pPr>
        <w:keepNext/>
        <w:rPr>
          <w:color w:val="000000"/>
          <w:sz w:val="22"/>
          <w:szCs w:val="22"/>
        </w:rPr>
      </w:pPr>
    </w:p>
    <w:p w14:paraId="05B8BBC1" w14:textId="77777777" w:rsidR="00302441" w:rsidRPr="006774D3" w:rsidRDefault="00302441" w:rsidP="00F77C66">
      <w:pPr>
        <w:rPr>
          <w:color w:val="000000"/>
          <w:sz w:val="22"/>
          <w:szCs w:val="22"/>
        </w:rPr>
      </w:pPr>
    </w:p>
    <w:p w14:paraId="05B8BBC2" w14:textId="77777777" w:rsidR="005F57F3" w:rsidRPr="006774D3" w:rsidRDefault="00302441" w:rsidP="00F77C66">
      <w:pPr>
        <w:rPr>
          <w:color w:val="000000"/>
          <w:sz w:val="22"/>
          <w:szCs w:val="22"/>
        </w:rPr>
      </w:pPr>
      <w:r w:rsidRPr="006774D3">
        <w:rPr>
          <w:bCs/>
          <w:color w:val="000000"/>
          <w:sz w:val="22"/>
          <w:szCs w:val="22"/>
        </w:rPr>
        <w:t>Ítarlegar upplýsingar um lyf</w:t>
      </w:r>
      <w:r w:rsidR="000D539D" w:rsidRPr="006774D3">
        <w:rPr>
          <w:bCs/>
          <w:color w:val="000000"/>
          <w:sz w:val="22"/>
          <w:szCs w:val="22"/>
        </w:rPr>
        <w:t>ið</w:t>
      </w:r>
      <w:r w:rsidRPr="006774D3">
        <w:rPr>
          <w:bCs/>
          <w:color w:val="000000"/>
          <w:sz w:val="22"/>
          <w:szCs w:val="22"/>
        </w:rPr>
        <w:t xml:space="preserve"> eru birtar á </w:t>
      </w:r>
      <w:r w:rsidR="000D539D" w:rsidRPr="006774D3">
        <w:rPr>
          <w:bCs/>
          <w:color w:val="000000"/>
          <w:sz w:val="22"/>
          <w:szCs w:val="22"/>
        </w:rPr>
        <w:t xml:space="preserve">vef </w:t>
      </w:r>
      <w:r w:rsidRPr="006774D3">
        <w:rPr>
          <w:bCs/>
          <w:color w:val="000000"/>
          <w:sz w:val="22"/>
          <w:szCs w:val="22"/>
        </w:rPr>
        <w:t xml:space="preserve">Lyfjastofnunar Evrópu </w:t>
      </w:r>
      <w:r w:rsidRPr="006774D3">
        <w:rPr>
          <w:color w:val="000000"/>
          <w:sz w:val="22"/>
          <w:szCs w:val="22"/>
        </w:rPr>
        <w:t>http://www.ema.europa.eu</w:t>
      </w:r>
      <w:r w:rsidR="005F57F3" w:rsidRPr="006774D3">
        <w:rPr>
          <w:color w:val="000000"/>
          <w:sz w:val="22"/>
          <w:szCs w:val="22"/>
        </w:rPr>
        <w:br w:type="page"/>
      </w:r>
    </w:p>
    <w:p w14:paraId="05B8BBC3" w14:textId="77777777" w:rsidR="005F57F3" w:rsidRPr="006774D3" w:rsidRDefault="005F57F3" w:rsidP="00F77C66">
      <w:pPr>
        <w:rPr>
          <w:color w:val="000000"/>
          <w:sz w:val="22"/>
          <w:szCs w:val="22"/>
        </w:rPr>
      </w:pPr>
    </w:p>
    <w:p w14:paraId="05B8BBC4" w14:textId="77777777" w:rsidR="005F57F3" w:rsidRPr="006774D3" w:rsidRDefault="005F57F3" w:rsidP="00F77C66">
      <w:pPr>
        <w:rPr>
          <w:color w:val="000000"/>
          <w:sz w:val="22"/>
          <w:szCs w:val="22"/>
        </w:rPr>
      </w:pPr>
    </w:p>
    <w:p w14:paraId="05B8BBC5" w14:textId="77777777" w:rsidR="005F57F3" w:rsidRPr="006774D3" w:rsidRDefault="005F57F3" w:rsidP="00F77C66">
      <w:pPr>
        <w:rPr>
          <w:color w:val="000000"/>
          <w:sz w:val="22"/>
          <w:szCs w:val="22"/>
        </w:rPr>
      </w:pPr>
    </w:p>
    <w:p w14:paraId="05B8BBC6" w14:textId="77777777" w:rsidR="005F57F3" w:rsidRPr="006774D3" w:rsidRDefault="005F57F3" w:rsidP="00F77C66">
      <w:pPr>
        <w:rPr>
          <w:color w:val="000000"/>
          <w:sz w:val="22"/>
          <w:szCs w:val="22"/>
        </w:rPr>
      </w:pPr>
    </w:p>
    <w:p w14:paraId="05B8BBC7" w14:textId="77777777" w:rsidR="005F57F3" w:rsidRPr="006774D3" w:rsidRDefault="005F57F3" w:rsidP="00F77C66">
      <w:pPr>
        <w:rPr>
          <w:color w:val="000000"/>
          <w:sz w:val="22"/>
          <w:szCs w:val="22"/>
        </w:rPr>
      </w:pPr>
    </w:p>
    <w:p w14:paraId="05B8BBC8" w14:textId="77777777" w:rsidR="005F57F3" w:rsidRPr="006774D3" w:rsidRDefault="005F57F3" w:rsidP="00F77C66">
      <w:pPr>
        <w:rPr>
          <w:color w:val="000000"/>
          <w:sz w:val="22"/>
          <w:szCs w:val="22"/>
        </w:rPr>
      </w:pPr>
    </w:p>
    <w:p w14:paraId="05B8BBC9" w14:textId="77777777" w:rsidR="005F57F3" w:rsidRPr="006774D3" w:rsidRDefault="005F57F3" w:rsidP="00F77C66">
      <w:pPr>
        <w:rPr>
          <w:color w:val="000000"/>
          <w:sz w:val="22"/>
          <w:szCs w:val="22"/>
        </w:rPr>
      </w:pPr>
    </w:p>
    <w:p w14:paraId="05B8BBCA" w14:textId="77777777" w:rsidR="005F57F3" w:rsidRPr="006774D3" w:rsidRDefault="005F57F3" w:rsidP="00F77C66">
      <w:pPr>
        <w:rPr>
          <w:color w:val="000000"/>
          <w:sz w:val="22"/>
          <w:szCs w:val="22"/>
        </w:rPr>
      </w:pPr>
    </w:p>
    <w:p w14:paraId="05B8BBCB" w14:textId="77777777" w:rsidR="005F57F3" w:rsidRPr="006774D3" w:rsidRDefault="005F57F3" w:rsidP="00F77C66">
      <w:pPr>
        <w:rPr>
          <w:color w:val="000000"/>
          <w:sz w:val="22"/>
          <w:szCs w:val="22"/>
        </w:rPr>
      </w:pPr>
    </w:p>
    <w:p w14:paraId="05B8BBCC" w14:textId="77777777" w:rsidR="005F57F3" w:rsidRPr="006774D3" w:rsidRDefault="005F57F3" w:rsidP="00F77C66">
      <w:pPr>
        <w:rPr>
          <w:color w:val="000000"/>
          <w:sz w:val="22"/>
          <w:szCs w:val="22"/>
        </w:rPr>
      </w:pPr>
    </w:p>
    <w:p w14:paraId="05B8BBCD" w14:textId="77777777" w:rsidR="005F57F3" w:rsidRPr="006774D3" w:rsidRDefault="005F57F3" w:rsidP="00F77C66">
      <w:pPr>
        <w:rPr>
          <w:color w:val="000000"/>
          <w:sz w:val="22"/>
          <w:szCs w:val="22"/>
        </w:rPr>
      </w:pPr>
    </w:p>
    <w:p w14:paraId="05B8BBCE" w14:textId="77777777" w:rsidR="005F57F3" w:rsidRPr="006774D3" w:rsidRDefault="005F57F3" w:rsidP="00F77C66">
      <w:pPr>
        <w:rPr>
          <w:color w:val="000000"/>
          <w:sz w:val="22"/>
          <w:szCs w:val="22"/>
        </w:rPr>
      </w:pPr>
    </w:p>
    <w:p w14:paraId="05B8BBCF" w14:textId="77777777" w:rsidR="005F57F3" w:rsidRPr="006774D3" w:rsidRDefault="005F57F3" w:rsidP="00F77C66">
      <w:pPr>
        <w:rPr>
          <w:color w:val="000000"/>
          <w:sz w:val="22"/>
          <w:szCs w:val="22"/>
        </w:rPr>
      </w:pPr>
    </w:p>
    <w:p w14:paraId="05B8BBD0" w14:textId="77777777" w:rsidR="005F57F3" w:rsidRPr="006774D3" w:rsidRDefault="005F57F3" w:rsidP="00F77C66">
      <w:pPr>
        <w:rPr>
          <w:color w:val="000000"/>
          <w:sz w:val="22"/>
          <w:szCs w:val="22"/>
        </w:rPr>
      </w:pPr>
    </w:p>
    <w:p w14:paraId="05B8BBD1" w14:textId="77777777" w:rsidR="005F57F3" w:rsidRPr="006774D3" w:rsidRDefault="005F57F3" w:rsidP="00F77C66">
      <w:pPr>
        <w:rPr>
          <w:color w:val="000000"/>
          <w:sz w:val="22"/>
          <w:szCs w:val="22"/>
        </w:rPr>
      </w:pPr>
    </w:p>
    <w:p w14:paraId="05B8BBD2" w14:textId="77777777" w:rsidR="005F57F3" w:rsidRPr="006774D3" w:rsidRDefault="005F57F3" w:rsidP="00F77C66">
      <w:pPr>
        <w:rPr>
          <w:color w:val="000000"/>
          <w:sz w:val="22"/>
          <w:szCs w:val="22"/>
        </w:rPr>
      </w:pPr>
    </w:p>
    <w:p w14:paraId="05B8BBD3" w14:textId="77777777" w:rsidR="005F57F3" w:rsidRPr="006774D3" w:rsidRDefault="005F57F3" w:rsidP="00F77C66">
      <w:pPr>
        <w:rPr>
          <w:color w:val="000000"/>
          <w:sz w:val="22"/>
          <w:szCs w:val="22"/>
        </w:rPr>
      </w:pPr>
    </w:p>
    <w:p w14:paraId="05B8BBD4" w14:textId="77777777" w:rsidR="005F57F3" w:rsidRPr="006774D3" w:rsidRDefault="005F57F3" w:rsidP="00F77C66">
      <w:pPr>
        <w:rPr>
          <w:color w:val="000000"/>
          <w:sz w:val="22"/>
          <w:szCs w:val="22"/>
        </w:rPr>
      </w:pPr>
    </w:p>
    <w:p w14:paraId="05B8BBD5" w14:textId="77777777" w:rsidR="005F57F3" w:rsidRPr="006774D3" w:rsidRDefault="005F57F3" w:rsidP="00F77C66">
      <w:pPr>
        <w:rPr>
          <w:color w:val="000000"/>
          <w:sz w:val="22"/>
          <w:szCs w:val="22"/>
        </w:rPr>
      </w:pPr>
    </w:p>
    <w:p w14:paraId="05B8BBD6" w14:textId="77777777" w:rsidR="005F57F3" w:rsidRPr="006774D3" w:rsidRDefault="005F57F3" w:rsidP="00F77C66">
      <w:pPr>
        <w:rPr>
          <w:color w:val="000000"/>
          <w:sz w:val="22"/>
          <w:szCs w:val="22"/>
        </w:rPr>
      </w:pPr>
    </w:p>
    <w:p w14:paraId="05B8BBD7" w14:textId="77777777" w:rsidR="005F57F3" w:rsidRPr="006774D3" w:rsidRDefault="005F57F3" w:rsidP="00F77C66">
      <w:pPr>
        <w:rPr>
          <w:color w:val="000000"/>
          <w:sz w:val="22"/>
          <w:szCs w:val="22"/>
        </w:rPr>
      </w:pPr>
    </w:p>
    <w:p w14:paraId="05B8BBD8" w14:textId="77777777" w:rsidR="005F57F3" w:rsidRPr="006774D3" w:rsidRDefault="005F57F3" w:rsidP="00F77C66">
      <w:pPr>
        <w:rPr>
          <w:color w:val="000000"/>
          <w:sz w:val="22"/>
          <w:szCs w:val="22"/>
        </w:rPr>
      </w:pPr>
    </w:p>
    <w:p w14:paraId="05B8BBD9" w14:textId="77777777" w:rsidR="00FA5D6F" w:rsidRPr="006774D3" w:rsidRDefault="00FA5D6F" w:rsidP="00F77C66">
      <w:pPr>
        <w:rPr>
          <w:color w:val="000000"/>
          <w:sz w:val="22"/>
          <w:szCs w:val="22"/>
        </w:rPr>
      </w:pPr>
    </w:p>
    <w:p w14:paraId="05B8BBDA" w14:textId="77777777" w:rsidR="00D363A7" w:rsidRPr="006774D3" w:rsidRDefault="00D363A7" w:rsidP="00F77C66">
      <w:pPr>
        <w:jc w:val="center"/>
        <w:rPr>
          <w:b/>
          <w:color w:val="000000"/>
          <w:sz w:val="22"/>
          <w:szCs w:val="22"/>
        </w:rPr>
      </w:pPr>
      <w:r w:rsidRPr="006774D3">
        <w:rPr>
          <w:b/>
          <w:color w:val="000000"/>
          <w:sz w:val="22"/>
          <w:szCs w:val="22"/>
        </w:rPr>
        <w:t>VIÐAUKI II</w:t>
      </w:r>
    </w:p>
    <w:p w14:paraId="05B8BBDB" w14:textId="77777777" w:rsidR="00D363A7" w:rsidRPr="006774D3" w:rsidRDefault="00D363A7" w:rsidP="00F77C66">
      <w:pPr>
        <w:ind w:right="1416"/>
        <w:rPr>
          <w:color w:val="000000"/>
          <w:sz w:val="22"/>
          <w:szCs w:val="22"/>
        </w:rPr>
      </w:pPr>
    </w:p>
    <w:p w14:paraId="05B8BBDC" w14:textId="77777777" w:rsidR="00D363A7" w:rsidRPr="006774D3" w:rsidRDefault="00D363A7" w:rsidP="00F77C66">
      <w:pPr>
        <w:ind w:left="1701" w:right="1416" w:hanging="567"/>
        <w:rPr>
          <w:b/>
          <w:color w:val="000000"/>
          <w:sz w:val="22"/>
          <w:szCs w:val="22"/>
        </w:rPr>
      </w:pPr>
      <w:r w:rsidRPr="006774D3">
        <w:rPr>
          <w:b/>
          <w:color w:val="000000"/>
          <w:sz w:val="22"/>
          <w:szCs w:val="22"/>
        </w:rPr>
        <w:t>A.</w:t>
      </w:r>
      <w:r w:rsidRPr="006774D3">
        <w:rPr>
          <w:b/>
          <w:color w:val="000000"/>
          <w:sz w:val="22"/>
          <w:szCs w:val="22"/>
        </w:rPr>
        <w:tab/>
        <w:t>FRAMLEIÐENDUR SEM ERU ÁBYRGIR FYRIR LOKASAMÞYKKT</w:t>
      </w:r>
    </w:p>
    <w:p w14:paraId="05B8BBDD" w14:textId="77777777" w:rsidR="00D363A7" w:rsidRPr="006774D3" w:rsidRDefault="00D363A7" w:rsidP="00F77C66">
      <w:pPr>
        <w:ind w:right="1416"/>
        <w:rPr>
          <w:color w:val="000000"/>
          <w:sz w:val="22"/>
          <w:szCs w:val="22"/>
        </w:rPr>
      </w:pPr>
    </w:p>
    <w:p w14:paraId="05B8BBDE" w14:textId="77777777" w:rsidR="00D363A7" w:rsidRPr="006774D3" w:rsidRDefault="00D363A7" w:rsidP="00F77C66">
      <w:pPr>
        <w:ind w:left="1701" w:right="1416" w:hanging="567"/>
        <w:rPr>
          <w:b/>
          <w:color w:val="000000"/>
          <w:sz w:val="22"/>
          <w:szCs w:val="22"/>
        </w:rPr>
      </w:pPr>
      <w:r w:rsidRPr="006774D3">
        <w:rPr>
          <w:b/>
          <w:color w:val="000000"/>
          <w:sz w:val="22"/>
          <w:szCs w:val="22"/>
        </w:rPr>
        <w:t>B.</w:t>
      </w:r>
      <w:r w:rsidRPr="006774D3">
        <w:rPr>
          <w:b/>
          <w:color w:val="000000"/>
          <w:sz w:val="22"/>
          <w:szCs w:val="22"/>
        </w:rPr>
        <w:tab/>
        <w:t>FORSENDUR FYRIR, EÐA TAKMARKANIR Á, AFGREIÐSLU OG NOTKUN</w:t>
      </w:r>
    </w:p>
    <w:p w14:paraId="05B8BBDF" w14:textId="77777777" w:rsidR="00D363A7" w:rsidRPr="006774D3" w:rsidRDefault="00D363A7" w:rsidP="00F77C66">
      <w:pPr>
        <w:ind w:right="1416"/>
        <w:rPr>
          <w:color w:val="000000"/>
          <w:sz w:val="22"/>
          <w:szCs w:val="22"/>
        </w:rPr>
      </w:pPr>
    </w:p>
    <w:p w14:paraId="05B8BBE0" w14:textId="77777777" w:rsidR="00D363A7" w:rsidRPr="006774D3" w:rsidRDefault="00D363A7" w:rsidP="00F77C66">
      <w:pPr>
        <w:ind w:left="1701" w:right="1416" w:hanging="567"/>
        <w:rPr>
          <w:b/>
          <w:color w:val="000000"/>
          <w:sz w:val="22"/>
          <w:szCs w:val="22"/>
        </w:rPr>
      </w:pPr>
      <w:r w:rsidRPr="006774D3">
        <w:rPr>
          <w:b/>
          <w:color w:val="000000"/>
          <w:sz w:val="22"/>
          <w:szCs w:val="22"/>
        </w:rPr>
        <w:t>C.</w:t>
      </w:r>
      <w:r w:rsidRPr="006774D3">
        <w:rPr>
          <w:b/>
          <w:color w:val="000000"/>
          <w:sz w:val="22"/>
          <w:szCs w:val="22"/>
        </w:rPr>
        <w:tab/>
        <w:t>AÐRAR FORSENDUR OG SKILYRÐI MARKAÐSLEYFIS</w:t>
      </w:r>
    </w:p>
    <w:p w14:paraId="05B8BBE1" w14:textId="77777777" w:rsidR="00D74D85" w:rsidRPr="006774D3" w:rsidRDefault="00D74D85" w:rsidP="00F77C66">
      <w:pPr>
        <w:ind w:right="567"/>
        <w:rPr>
          <w:sz w:val="22"/>
          <w:szCs w:val="22"/>
        </w:rPr>
      </w:pPr>
    </w:p>
    <w:p w14:paraId="05B8BBE2" w14:textId="77777777" w:rsidR="00D74D85" w:rsidRPr="006774D3" w:rsidRDefault="00D74D85" w:rsidP="00F77C66">
      <w:pPr>
        <w:ind w:left="1689" w:right="567" w:hanging="555"/>
        <w:rPr>
          <w:b/>
          <w:sz w:val="22"/>
          <w:szCs w:val="22"/>
        </w:rPr>
      </w:pPr>
      <w:r w:rsidRPr="006774D3">
        <w:rPr>
          <w:b/>
          <w:sz w:val="22"/>
          <w:szCs w:val="22"/>
        </w:rPr>
        <w:t>D.</w:t>
      </w:r>
      <w:r w:rsidRPr="006774D3">
        <w:rPr>
          <w:b/>
          <w:sz w:val="22"/>
          <w:szCs w:val="22"/>
        </w:rPr>
        <w:tab/>
        <w:t>FORSENDUR EÐA TAKMARKANIR ER VARÐA ÖRYGGI OG VERKUN VIÐ NOTKUN LYFSINS</w:t>
      </w:r>
    </w:p>
    <w:p w14:paraId="05B8BBE3" w14:textId="77777777" w:rsidR="00D74D85" w:rsidRPr="006774D3" w:rsidRDefault="00D74D85" w:rsidP="00F77C66">
      <w:pPr>
        <w:ind w:right="1416"/>
        <w:rPr>
          <w:color w:val="000000"/>
          <w:sz w:val="22"/>
          <w:szCs w:val="22"/>
        </w:rPr>
      </w:pPr>
    </w:p>
    <w:p w14:paraId="05B8BBE4" w14:textId="77777777" w:rsidR="00D363A7" w:rsidRPr="006774D3" w:rsidRDefault="00D363A7" w:rsidP="00F77C66">
      <w:pPr>
        <w:ind w:left="567" w:hanging="567"/>
        <w:rPr>
          <w:sz w:val="22"/>
          <w:szCs w:val="22"/>
        </w:rPr>
      </w:pPr>
      <w:r w:rsidRPr="006774D3">
        <w:rPr>
          <w:color w:val="000000"/>
          <w:sz w:val="22"/>
          <w:szCs w:val="22"/>
        </w:rPr>
        <w:br w:type="page"/>
      </w:r>
      <w:r w:rsidRPr="006774D3">
        <w:rPr>
          <w:b/>
          <w:sz w:val="22"/>
          <w:szCs w:val="22"/>
        </w:rPr>
        <w:lastRenderedPageBreak/>
        <w:t>A.</w:t>
      </w:r>
      <w:r w:rsidRPr="006774D3">
        <w:rPr>
          <w:b/>
          <w:sz w:val="22"/>
          <w:szCs w:val="22"/>
        </w:rPr>
        <w:tab/>
        <w:t>FRAMLEIÐENDUR SEM ERU ÁBYRGIR FYRIR LOKASAMÞYKKT</w:t>
      </w:r>
    </w:p>
    <w:p w14:paraId="05B8BBE5" w14:textId="77777777" w:rsidR="00D363A7" w:rsidRPr="006774D3" w:rsidRDefault="00D363A7" w:rsidP="00F77C66">
      <w:pPr>
        <w:ind w:right="1416"/>
        <w:rPr>
          <w:sz w:val="22"/>
          <w:szCs w:val="22"/>
        </w:rPr>
      </w:pPr>
    </w:p>
    <w:p w14:paraId="05B8BBE6" w14:textId="77777777" w:rsidR="00D363A7" w:rsidRPr="006774D3" w:rsidRDefault="00D363A7" w:rsidP="00F77C66">
      <w:pPr>
        <w:ind w:right="1416"/>
        <w:rPr>
          <w:sz w:val="22"/>
          <w:szCs w:val="22"/>
        </w:rPr>
      </w:pPr>
      <w:r w:rsidRPr="006774D3">
        <w:rPr>
          <w:sz w:val="22"/>
          <w:szCs w:val="22"/>
          <w:u w:val="single"/>
        </w:rPr>
        <w:t>Heiti og heimilisfang framleiðenda sem eru ábyrgir fyrir lokasamþykkt</w:t>
      </w:r>
    </w:p>
    <w:p w14:paraId="05B8BBE7" w14:textId="77777777" w:rsidR="00D363A7" w:rsidRPr="006774D3" w:rsidRDefault="00D363A7" w:rsidP="00F77C66">
      <w:pPr>
        <w:ind w:right="1416"/>
        <w:rPr>
          <w:sz w:val="22"/>
          <w:szCs w:val="22"/>
        </w:rPr>
      </w:pPr>
    </w:p>
    <w:p w14:paraId="05B8BBE8" w14:textId="77777777" w:rsidR="00F77C66" w:rsidRPr="006774D3" w:rsidRDefault="00F77C66" w:rsidP="00F77C66">
      <w:pPr>
        <w:widowControl w:val="0"/>
        <w:tabs>
          <w:tab w:val="left" w:pos="7513"/>
        </w:tabs>
        <w:rPr>
          <w:sz w:val="22"/>
          <w:szCs w:val="22"/>
        </w:rPr>
      </w:pPr>
      <w:r w:rsidRPr="006774D3">
        <w:rPr>
          <w:sz w:val="22"/>
          <w:szCs w:val="22"/>
        </w:rPr>
        <w:t>Lek d.d, PE PROIZVODNJA LENDAVA</w:t>
      </w:r>
    </w:p>
    <w:p w14:paraId="05B8BBE9" w14:textId="77777777" w:rsidR="00F77C66" w:rsidRPr="006774D3" w:rsidRDefault="00F77C66" w:rsidP="00F77C66">
      <w:pPr>
        <w:widowControl w:val="0"/>
        <w:tabs>
          <w:tab w:val="left" w:pos="7513"/>
        </w:tabs>
        <w:rPr>
          <w:sz w:val="22"/>
          <w:szCs w:val="22"/>
        </w:rPr>
      </w:pPr>
      <w:r w:rsidRPr="006774D3">
        <w:rPr>
          <w:sz w:val="22"/>
          <w:szCs w:val="22"/>
        </w:rPr>
        <w:t>Trimlini 2D</w:t>
      </w:r>
    </w:p>
    <w:p w14:paraId="05B8BBEA" w14:textId="77777777" w:rsidR="00F77C66" w:rsidRPr="006774D3" w:rsidRDefault="00F77C66" w:rsidP="00F77C66">
      <w:pPr>
        <w:widowControl w:val="0"/>
        <w:tabs>
          <w:tab w:val="left" w:pos="7513"/>
        </w:tabs>
        <w:rPr>
          <w:sz w:val="22"/>
          <w:szCs w:val="22"/>
        </w:rPr>
      </w:pPr>
      <w:r w:rsidRPr="006774D3">
        <w:rPr>
          <w:sz w:val="22"/>
          <w:szCs w:val="22"/>
        </w:rPr>
        <w:t>Lendava, 9220</w:t>
      </w:r>
    </w:p>
    <w:p w14:paraId="05B8BBEB" w14:textId="77777777" w:rsidR="00F77C66" w:rsidRPr="006774D3" w:rsidRDefault="00F77C66" w:rsidP="00F77C66">
      <w:pPr>
        <w:widowControl w:val="0"/>
        <w:tabs>
          <w:tab w:val="left" w:pos="7513"/>
        </w:tabs>
        <w:rPr>
          <w:sz w:val="22"/>
          <w:szCs w:val="22"/>
        </w:rPr>
      </w:pPr>
      <w:r w:rsidRPr="006774D3">
        <w:rPr>
          <w:sz w:val="22"/>
          <w:szCs w:val="22"/>
        </w:rPr>
        <w:t>Slóvenía</w:t>
      </w:r>
    </w:p>
    <w:p w14:paraId="05B8BBEC" w14:textId="77777777" w:rsidR="00F77C66" w:rsidRPr="006774D3" w:rsidRDefault="00F77C66" w:rsidP="00F77C66">
      <w:pPr>
        <w:widowControl w:val="0"/>
        <w:tabs>
          <w:tab w:val="left" w:pos="7513"/>
        </w:tabs>
        <w:rPr>
          <w:sz w:val="22"/>
          <w:szCs w:val="22"/>
        </w:rPr>
      </w:pPr>
    </w:p>
    <w:p w14:paraId="05B8BBED" w14:textId="77777777" w:rsidR="00D363A7" w:rsidRPr="006774D3" w:rsidRDefault="00D363A7" w:rsidP="00F77C66">
      <w:pPr>
        <w:rPr>
          <w:sz w:val="22"/>
          <w:szCs w:val="22"/>
        </w:rPr>
      </w:pPr>
      <w:r w:rsidRPr="006774D3">
        <w:rPr>
          <w:sz w:val="22"/>
          <w:szCs w:val="22"/>
        </w:rPr>
        <w:t>Novartis Pharma GmbH</w:t>
      </w:r>
    </w:p>
    <w:p w14:paraId="05B8BBEE" w14:textId="77777777" w:rsidR="00D363A7" w:rsidRPr="006774D3" w:rsidRDefault="00D363A7" w:rsidP="00F77C66">
      <w:pPr>
        <w:rPr>
          <w:sz w:val="22"/>
          <w:szCs w:val="22"/>
        </w:rPr>
      </w:pPr>
      <w:r w:rsidRPr="006774D3">
        <w:rPr>
          <w:sz w:val="22"/>
          <w:szCs w:val="22"/>
        </w:rPr>
        <w:t>Roonstrasse 25</w:t>
      </w:r>
    </w:p>
    <w:p w14:paraId="05B8BBEF" w14:textId="77777777" w:rsidR="00D363A7" w:rsidRPr="006774D3" w:rsidRDefault="00D363A7" w:rsidP="00F77C66">
      <w:pPr>
        <w:rPr>
          <w:sz w:val="22"/>
          <w:szCs w:val="22"/>
        </w:rPr>
      </w:pPr>
      <w:r w:rsidRPr="006774D3">
        <w:rPr>
          <w:sz w:val="22"/>
          <w:szCs w:val="22"/>
        </w:rPr>
        <w:t>D-90420 Nürnberg</w:t>
      </w:r>
    </w:p>
    <w:p w14:paraId="05B8BBF0" w14:textId="77777777" w:rsidR="00D363A7" w:rsidRPr="006774D3" w:rsidRDefault="00D363A7" w:rsidP="00F77C66">
      <w:pPr>
        <w:rPr>
          <w:sz w:val="22"/>
          <w:szCs w:val="22"/>
        </w:rPr>
      </w:pPr>
      <w:r w:rsidRPr="006774D3">
        <w:rPr>
          <w:sz w:val="22"/>
          <w:szCs w:val="22"/>
        </w:rPr>
        <w:t>Þýskaland</w:t>
      </w:r>
    </w:p>
    <w:p w14:paraId="05B8BBF1" w14:textId="0858BC54" w:rsidR="00D363A7" w:rsidRPr="006774D3" w:rsidRDefault="00D363A7" w:rsidP="00F77C66">
      <w:pPr>
        <w:ind w:right="1416"/>
        <w:rPr>
          <w:sz w:val="22"/>
          <w:szCs w:val="22"/>
        </w:rPr>
      </w:pPr>
    </w:p>
    <w:p w14:paraId="12AF3BA5" w14:textId="77777777" w:rsidR="00B41904" w:rsidRPr="006774D3" w:rsidRDefault="00B41904" w:rsidP="00B41904">
      <w:pPr>
        <w:ind w:right="1416"/>
        <w:rPr>
          <w:sz w:val="22"/>
          <w:szCs w:val="22"/>
        </w:rPr>
      </w:pPr>
      <w:r w:rsidRPr="006774D3">
        <w:rPr>
          <w:sz w:val="22"/>
          <w:szCs w:val="22"/>
        </w:rPr>
        <w:t>Sandoz S.R.L.</w:t>
      </w:r>
    </w:p>
    <w:p w14:paraId="678FD1C6" w14:textId="77777777" w:rsidR="00B41904" w:rsidRPr="006774D3" w:rsidRDefault="00B41904" w:rsidP="00B41904">
      <w:pPr>
        <w:ind w:right="1416"/>
        <w:rPr>
          <w:sz w:val="22"/>
          <w:szCs w:val="22"/>
        </w:rPr>
      </w:pPr>
      <w:r w:rsidRPr="006774D3">
        <w:rPr>
          <w:sz w:val="22"/>
          <w:szCs w:val="22"/>
        </w:rPr>
        <w:t>Str. Livezeni nr. 7A</w:t>
      </w:r>
    </w:p>
    <w:p w14:paraId="136F98E9" w14:textId="77777777" w:rsidR="00B41904" w:rsidRPr="006774D3" w:rsidRDefault="00B41904" w:rsidP="00B41904">
      <w:pPr>
        <w:ind w:right="1416"/>
        <w:rPr>
          <w:sz w:val="22"/>
          <w:szCs w:val="22"/>
        </w:rPr>
      </w:pPr>
      <w:r w:rsidRPr="006774D3">
        <w:rPr>
          <w:sz w:val="22"/>
          <w:szCs w:val="22"/>
        </w:rPr>
        <w:t>540472, Targu Mures</w:t>
      </w:r>
    </w:p>
    <w:p w14:paraId="2551E14A" w14:textId="5A04BB98" w:rsidR="00B41904" w:rsidRPr="006774D3" w:rsidRDefault="00B41904" w:rsidP="00B41904">
      <w:pPr>
        <w:ind w:right="1416"/>
        <w:rPr>
          <w:sz w:val="22"/>
          <w:szCs w:val="22"/>
        </w:rPr>
      </w:pPr>
      <w:r w:rsidRPr="006774D3">
        <w:rPr>
          <w:sz w:val="22"/>
          <w:szCs w:val="22"/>
        </w:rPr>
        <w:t>Rúmenía</w:t>
      </w:r>
    </w:p>
    <w:p w14:paraId="029DA1F8" w14:textId="77777777" w:rsidR="00030D4B" w:rsidRPr="006774D3" w:rsidRDefault="00030D4B" w:rsidP="00B41904">
      <w:pPr>
        <w:ind w:right="1416"/>
        <w:rPr>
          <w:sz w:val="22"/>
          <w:szCs w:val="22"/>
        </w:rPr>
      </w:pPr>
    </w:p>
    <w:p w14:paraId="05B8BBF2" w14:textId="77777777" w:rsidR="00F77C66" w:rsidRPr="006774D3" w:rsidRDefault="00F77C66" w:rsidP="00F77C66">
      <w:pPr>
        <w:ind w:right="1416"/>
        <w:rPr>
          <w:sz w:val="22"/>
          <w:szCs w:val="22"/>
        </w:rPr>
      </w:pPr>
      <w:r w:rsidRPr="006774D3">
        <w:rPr>
          <w:sz w:val="22"/>
          <w:szCs w:val="22"/>
        </w:rPr>
        <w:t>Heiti og heimilisfang framleiðanda sem er ábyrgur fyrir lokasamþykkt viðkomandi lotu skal koma fram í prentuðum fylgiseðli.</w:t>
      </w:r>
    </w:p>
    <w:p w14:paraId="05B8BBF3" w14:textId="77777777" w:rsidR="00F77C66" w:rsidRPr="006774D3" w:rsidRDefault="00F77C66" w:rsidP="00F77C66">
      <w:pPr>
        <w:ind w:right="1416"/>
        <w:rPr>
          <w:sz w:val="22"/>
          <w:szCs w:val="22"/>
        </w:rPr>
      </w:pPr>
    </w:p>
    <w:p w14:paraId="05B8BBF4" w14:textId="77777777" w:rsidR="00D363A7" w:rsidRPr="006774D3" w:rsidRDefault="00D363A7" w:rsidP="00F77C66">
      <w:pPr>
        <w:rPr>
          <w:sz w:val="22"/>
          <w:szCs w:val="22"/>
        </w:rPr>
      </w:pPr>
    </w:p>
    <w:p w14:paraId="05B8BBF5" w14:textId="77777777" w:rsidR="00D363A7" w:rsidRPr="006774D3" w:rsidRDefault="00D363A7" w:rsidP="00FA5D6F">
      <w:pPr>
        <w:keepNext/>
        <w:ind w:left="567" w:hanging="567"/>
        <w:rPr>
          <w:b/>
          <w:color w:val="000000"/>
          <w:sz w:val="22"/>
          <w:szCs w:val="22"/>
        </w:rPr>
      </w:pPr>
      <w:r w:rsidRPr="006774D3">
        <w:rPr>
          <w:b/>
          <w:color w:val="000000"/>
          <w:sz w:val="22"/>
          <w:szCs w:val="22"/>
        </w:rPr>
        <w:t>B.</w:t>
      </w:r>
      <w:r w:rsidRPr="006774D3">
        <w:rPr>
          <w:b/>
          <w:color w:val="000000"/>
          <w:sz w:val="22"/>
          <w:szCs w:val="22"/>
        </w:rPr>
        <w:tab/>
        <w:t>FORSENDUR FYRIR, EÐA TAKMARKANIR Á, AFGREIÐSLU OG NOTKUN</w:t>
      </w:r>
    </w:p>
    <w:p w14:paraId="05B8BBF6" w14:textId="77777777" w:rsidR="00D363A7" w:rsidRPr="006774D3" w:rsidRDefault="00D363A7" w:rsidP="00FA5D6F">
      <w:pPr>
        <w:keepNext/>
        <w:rPr>
          <w:color w:val="000000"/>
          <w:sz w:val="22"/>
          <w:szCs w:val="22"/>
        </w:rPr>
      </w:pPr>
    </w:p>
    <w:p w14:paraId="05B8BBF7" w14:textId="77777777" w:rsidR="00D363A7" w:rsidRPr="006774D3" w:rsidRDefault="00813F37" w:rsidP="00F77C66">
      <w:pPr>
        <w:rPr>
          <w:color w:val="000000"/>
          <w:sz w:val="22"/>
          <w:szCs w:val="22"/>
        </w:rPr>
      </w:pPr>
      <w:r w:rsidRPr="006774D3">
        <w:rPr>
          <w:sz w:val="22"/>
          <w:szCs w:val="22"/>
        </w:rPr>
        <w:t xml:space="preserve">Ávísun lyfsins er háð sérstökum takmörkunum </w:t>
      </w:r>
      <w:r w:rsidR="00D363A7" w:rsidRPr="006774D3">
        <w:rPr>
          <w:color w:val="000000"/>
          <w:sz w:val="22"/>
          <w:szCs w:val="22"/>
        </w:rPr>
        <w:t>(sjá viðauka I: Samantekt á eiginleikum lyfs, kafla 4.2).</w:t>
      </w:r>
    </w:p>
    <w:p w14:paraId="05B8BBF8" w14:textId="77777777" w:rsidR="00D363A7" w:rsidRPr="006774D3" w:rsidRDefault="00D363A7" w:rsidP="00F77C66">
      <w:pPr>
        <w:ind w:right="-1"/>
        <w:rPr>
          <w:color w:val="000000"/>
          <w:sz w:val="22"/>
          <w:szCs w:val="22"/>
        </w:rPr>
      </w:pPr>
    </w:p>
    <w:p w14:paraId="05B8BBF9" w14:textId="77777777" w:rsidR="00D363A7" w:rsidRPr="006774D3" w:rsidRDefault="00D363A7" w:rsidP="00F77C66">
      <w:pPr>
        <w:ind w:right="-1"/>
        <w:rPr>
          <w:color w:val="000000"/>
          <w:sz w:val="22"/>
          <w:szCs w:val="22"/>
        </w:rPr>
      </w:pPr>
    </w:p>
    <w:p w14:paraId="05B8BBFA" w14:textId="77777777" w:rsidR="00D363A7" w:rsidRPr="006774D3" w:rsidRDefault="00D363A7" w:rsidP="00FA5D6F">
      <w:pPr>
        <w:keepNext/>
        <w:ind w:left="567" w:right="-1" w:hanging="567"/>
        <w:rPr>
          <w:color w:val="000000"/>
          <w:sz w:val="22"/>
          <w:szCs w:val="22"/>
        </w:rPr>
      </w:pPr>
      <w:r w:rsidRPr="006774D3">
        <w:rPr>
          <w:b/>
          <w:color w:val="000000"/>
          <w:sz w:val="22"/>
          <w:szCs w:val="22"/>
        </w:rPr>
        <w:t>C.</w:t>
      </w:r>
      <w:r w:rsidRPr="006774D3">
        <w:rPr>
          <w:b/>
          <w:color w:val="000000"/>
          <w:sz w:val="22"/>
          <w:szCs w:val="22"/>
        </w:rPr>
        <w:tab/>
        <w:t>AÐRAR FORSENDUR OG SKILYRÐI MARKAÐSLEYFIS</w:t>
      </w:r>
    </w:p>
    <w:p w14:paraId="05B8BBFB" w14:textId="77777777" w:rsidR="00D363A7" w:rsidRPr="006774D3" w:rsidRDefault="00D363A7" w:rsidP="00FA5D6F">
      <w:pPr>
        <w:keepNext/>
        <w:ind w:right="-1"/>
        <w:rPr>
          <w:color w:val="000000"/>
          <w:sz w:val="22"/>
          <w:szCs w:val="22"/>
        </w:rPr>
      </w:pPr>
    </w:p>
    <w:p w14:paraId="05B8BBFC" w14:textId="77777777" w:rsidR="00D74D85" w:rsidRPr="006774D3" w:rsidRDefault="00D74D85" w:rsidP="00FA5D6F">
      <w:pPr>
        <w:keepNext/>
        <w:numPr>
          <w:ilvl w:val="0"/>
          <w:numId w:val="8"/>
        </w:numPr>
        <w:ind w:left="567" w:right="-1" w:hanging="567"/>
        <w:rPr>
          <w:color w:val="000000"/>
          <w:sz w:val="22"/>
          <w:szCs w:val="22"/>
        </w:rPr>
      </w:pPr>
      <w:r w:rsidRPr="006774D3">
        <w:rPr>
          <w:b/>
          <w:color w:val="000000"/>
          <w:sz w:val="22"/>
          <w:szCs w:val="22"/>
        </w:rPr>
        <w:t>Samantektir um öryggi lyfsins (PSUR)</w:t>
      </w:r>
    </w:p>
    <w:p w14:paraId="05B8BBFD" w14:textId="77777777" w:rsidR="00D74D85" w:rsidRPr="006774D3" w:rsidRDefault="00FB2E5A" w:rsidP="00F77C66">
      <w:pPr>
        <w:ind w:right="-1"/>
        <w:rPr>
          <w:color w:val="000000"/>
          <w:sz w:val="22"/>
          <w:szCs w:val="22"/>
        </w:rPr>
      </w:pPr>
      <w:r w:rsidRPr="006774D3">
        <w:rPr>
          <w:sz w:val="22"/>
          <w:szCs w:val="22"/>
        </w:rPr>
        <w:t>Skilyrði um hvernig</w:t>
      </w:r>
      <w:r w:rsidR="00D74D85" w:rsidRPr="006774D3">
        <w:rPr>
          <w:sz w:val="22"/>
          <w:szCs w:val="22"/>
        </w:rPr>
        <w:t xml:space="preserve"> leggja</w:t>
      </w:r>
      <w:r w:rsidRPr="006774D3">
        <w:rPr>
          <w:sz w:val="22"/>
          <w:szCs w:val="22"/>
        </w:rPr>
        <w:t xml:space="preserve"> skal</w:t>
      </w:r>
      <w:r w:rsidR="00D74D85" w:rsidRPr="006774D3">
        <w:rPr>
          <w:sz w:val="22"/>
          <w:szCs w:val="22"/>
        </w:rPr>
        <w:t xml:space="preserve"> fram samantektir um öryggi lyfsins koma fram í lista yfir viðmiðunardagsetningar Evrópusambandsins (EURD lista) sem gerð er krafa um í grein 107c(7) í tilskipun 2001/83</w:t>
      </w:r>
      <w:r w:rsidRPr="006774D3">
        <w:rPr>
          <w:sz w:val="22"/>
          <w:szCs w:val="22"/>
        </w:rPr>
        <w:t>/EB og öllum síðari uppfærslum sem birtar eru í evrópsku lyfjavefgáttinni</w:t>
      </w:r>
      <w:r w:rsidR="00D74D85" w:rsidRPr="006774D3">
        <w:rPr>
          <w:sz w:val="22"/>
          <w:szCs w:val="22"/>
        </w:rPr>
        <w:t>.</w:t>
      </w:r>
    </w:p>
    <w:p w14:paraId="05B8BBFE" w14:textId="77777777" w:rsidR="00D74D85" w:rsidRPr="006774D3" w:rsidRDefault="00D74D85" w:rsidP="00F77C66">
      <w:pPr>
        <w:ind w:right="-1"/>
        <w:rPr>
          <w:color w:val="000000"/>
          <w:sz w:val="22"/>
          <w:szCs w:val="22"/>
        </w:rPr>
      </w:pPr>
    </w:p>
    <w:p w14:paraId="05B8BBFF" w14:textId="77777777" w:rsidR="00D363A7" w:rsidRPr="006774D3" w:rsidRDefault="00D363A7" w:rsidP="00F77C66">
      <w:pPr>
        <w:ind w:right="-1"/>
        <w:rPr>
          <w:color w:val="000000"/>
          <w:sz w:val="22"/>
          <w:szCs w:val="22"/>
        </w:rPr>
      </w:pPr>
    </w:p>
    <w:p w14:paraId="05B8BC00" w14:textId="77777777" w:rsidR="00D363A7" w:rsidRPr="006774D3" w:rsidRDefault="00D74D85" w:rsidP="00FA5D6F">
      <w:pPr>
        <w:keepNext/>
        <w:ind w:left="567" w:right="-1" w:hanging="567"/>
        <w:rPr>
          <w:b/>
          <w:color w:val="000000"/>
          <w:sz w:val="22"/>
          <w:szCs w:val="22"/>
        </w:rPr>
      </w:pPr>
      <w:r w:rsidRPr="006774D3">
        <w:rPr>
          <w:b/>
          <w:color w:val="000000"/>
          <w:sz w:val="22"/>
          <w:szCs w:val="22"/>
        </w:rPr>
        <w:t>D.</w:t>
      </w:r>
      <w:r w:rsidRPr="006774D3">
        <w:rPr>
          <w:b/>
          <w:color w:val="000000"/>
          <w:sz w:val="22"/>
          <w:szCs w:val="22"/>
        </w:rPr>
        <w:tab/>
      </w:r>
      <w:r w:rsidR="00D363A7" w:rsidRPr="006774D3">
        <w:rPr>
          <w:b/>
          <w:color w:val="000000"/>
          <w:sz w:val="22"/>
          <w:szCs w:val="22"/>
        </w:rPr>
        <w:t>FORSENDUR EÐA TAKMARKANIR ER VARÐA ÖRYGGI OG VERKUN VIÐ NOTKUN LYFSINS</w:t>
      </w:r>
    </w:p>
    <w:p w14:paraId="05B8BC01" w14:textId="77777777" w:rsidR="00D363A7" w:rsidRPr="006774D3" w:rsidRDefault="00D363A7" w:rsidP="00FA5D6F">
      <w:pPr>
        <w:keepNext/>
        <w:ind w:right="-1"/>
        <w:rPr>
          <w:color w:val="000000"/>
          <w:sz w:val="22"/>
          <w:szCs w:val="22"/>
        </w:rPr>
      </w:pPr>
    </w:p>
    <w:p w14:paraId="05B8BC02" w14:textId="77777777" w:rsidR="00D74D85" w:rsidRPr="006774D3" w:rsidRDefault="00D74D85" w:rsidP="00FA5D6F">
      <w:pPr>
        <w:keepNext/>
        <w:numPr>
          <w:ilvl w:val="0"/>
          <w:numId w:val="8"/>
        </w:numPr>
        <w:ind w:left="567" w:right="-1" w:hanging="567"/>
        <w:rPr>
          <w:color w:val="000000"/>
          <w:sz w:val="22"/>
          <w:szCs w:val="22"/>
        </w:rPr>
      </w:pPr>
      <w:r w:rsidRPr="006774D3">
        <w:rPr>
          <w:b/>
          <w:color w:val="000000"/>
          <w:sz w:val="22"/>
          <w:szCs w:val="22"/>
        </w:rPr>
        <w:t>Áætlun um áhættustjórnun</w:t>
      </w:r>
    </w:p>
    <w:p w14:paraId="05B8BC03" w14:textId="77777777" w:rsidR="00D74D85" w:rsidRPr="006774D3" w:rsidRDefault="00D74D85" w:rsidP="00F77C66">
      <w:pPr>
        <w:ind w:right="-1"/>
        <w:rPr>
          <w:color w:val="000000"/>
          <w:sz w:val="22"/>
          <w:szCs w:val="22"/>
        </w:rPr>
      </w:pPr>
      <w:r w:rsidRPr="006774D3">
        <w:rPr>
          <w:color w:val="000000"/>
          <w:sz w:val="22"/>
          <w:szCs w:val="22"/>
        </w:rPr>
        <w:t>Markaðsleyfishafi skal sinna lyfjagátaraðgerðum sem krafist er, sem og öðrum ráðstöfunum eins og fram kemur í áætlun um áhættustjórnun í kafla 1.8.2 í markaðsleyfinu og öllum uppfærslum á áætlun um áhættustjórnun sem ákveðnar verða.</w:t>
      </w:r>
    </w:p>
    <w:p w14:paraId="05B8BC04" w14:textId="77777777" w:rsidR="00D74D85" w:rsidRPr="006774D3" w:rsidRDefault="00D74D85" w:rsidP="00F77C66">
      <w:pPr>
        <w:ind w:right="-1"/>
        <w:rPr>
          <w:color w:val="000000"/>
          <w:sz w:val="22"/>
          <w:szCs w:val="22"/>
        </w:rPr>
      </w:pPr>
    </w:p>
    <w:p w14:paraId="05B8BC05" w14:textId="77777777" w:rsidR="00D74D85" w:rsidRPr="006774D3" w:rsidRDefault="00D74D85" w:rsidP="00FA5D6F">
      <w:pPr>
        <w:keepNext/>
        <w:ind w:right="-1"/>
        <w:rPr>
          <w:color w:val="000000"/>
          <w:sz w:val="22"/>
          <w:szCs w:val="22"/>
        </w:rPr>
      </w:pPr>
      <w:r w:rsidRPr="006774D3">
        <w:rPr>
          <w:color w:val="000000"/>
          <w:sz w:val="22"/>
          <w:szCs w:val="22"/>
        </w:rPr>
        <w:t>Leggja skal fram uppfærða áætlun um áhættustjórnun:</w:t>
      </w:r>
    </w:p>
    <w:p w14:paraId="05B8BC06" w14:textId="77777777" w:rsidR="00D74D85" w:rsidRPr="006774D3" w:rsidRDefault="00D74D85" w:rsidP="00FA5D6F">
      <w:pPr>
        <w:keepNext/>
        <w:numPr>
          <w:ilvl w:val="0"/>
          <w:numId w:val="8"/>
        </w:numPr>
        <w:ind w:left="567" w:right="-1" w:hanging="567"/>
        <w:rPr>
          <w:color w:val="000000"/>
          <w:sz w:val="22"/>
          <w:szCs w:val="22"/>
        </w:rPr>
      </w:pPr>
      <w:r w:rsidRPr="006774D3">
        <w:rPr>
          <w:color w:val="000000"/>
          <w:sz w:val="22"/>
          <w:szCs w:val="22"/>
        </w:rPr>
        <w:t>Að beiðni Lyfjastofnunar Evrópu.</w:t>
      </w:r>
    </w:p>
    <w:p w14:paraId="05B8BC07" w14:textId="77777777" w:rsidR="00D74D85" w:rsidRPr="006774D3" w:rsidRDefault="00D74D85" w:rsidP="00F77C66">
      <w:pPr>
        <w:numPr>
          <w:ilvl w:val="0"/>
          <w:numId w:val="8"/>
        </w:numPr>
        <w:ind w:left="567" w:right="-1" w:hanging="567"/>
        <w:rPr>
          <w:color w:val="000000"/>
          <w:sz w:val="22"/>
          <w:szCs w:val="22"/>
        </w:rPr>
      </w:pPr>
      <w:r w:rsidRPr="006774D3">
        <w:rPr>
          <w:color w:val="000000"/>
          <w:sz w:val="22"/>
          <w:szCs w:val="22"/>
        </w:rPr>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p>
    <w:p w14:paraId="05B8BC08" w14:textId="77777777" w:rsidR="00D74D85" w:rsidRPr="006774D3" w:rsidRDefault="00D74D85" w:rsidP="00F77C66">
      <w:pPr>
        <w:ind w:right="-1"/>
        <w:rPr>
          <w:color w:val="000000"/>
          <w:sz w:val="22"/>
          <w:szCs w:val="22"/>
        </w:rPr>
      </w:pPr>
    </w:p>
    <w:p w14:paraId="05B8BC09" w14:textId="77777777" w:rsidR="00844C71" w:rsidRPr="006774D3" w:rsidRDefault="00844C71" w:rsidP="00FA5D6F">
      <w:pPr>
        <w:keepNext/>
        <w:numPr>
          <w:ilvl w:val="0"/>
          <w:numId w:val="9"/>
        </w:numPr>
        <w:tabs>
          <w:tab w:val="left" w:pos="567"/>
        </w:tabs>
        <w:ind w:left="567" w:hanging="567"/>
        <w:rPr>
          <w:b/>
          <w:bCs/>
          <w:sz w:val="22"/>
          <w:szCs w:val="20"/>
        </w:rPr>
      </w:pPr>
      <w:r w:rsidRPr="006774D3">
        <w:rPr>
          <w:b/>
          <w:sz w:val="22"/>
          <w:szCs w:val="22"/>
        </w:rPr>
        <w:lastRenderedPageBreak/>
        <w:t>Skylda til aðgerða eftir útgáfu markaðsleyfis</w:t>
      </w:r>
    </w:p>
    <w:p w14:paraId="05B8BC0A" w14:textId="77777777" w:rsidR="00844C71" w:rsidRPr="006774D3" w:rsidRDefault="00844C71" w:rsidP="00FA5D6F">
      <w:pPr>
        <w:keepNext/>
        <w:rPr>
          <w:b/>
          <w:bCs/>
          <w:i/>
          <w:iCs/>
          <w:sz w:val="20"/>
          <w:szCs w:val="20"/>
        </w:rPr>
      </w:pPr>
    </w:p>
    <w:p w14:paraId="05B8BC0B" w14:textId="77777777" w:rsidR="00844C71" w:rsidRPr="006774D3" w:rsidRDefault="00844C71" w:rsidP="00FA5D6F">
      <w:pPr>
        <w:keepNext/>
        <w:tabs>
          <w:tab w:val="left" w:pos="567"/>
        </w:tabs>
        <w:rPr>
          <w:sz w:val="22"/>
          <w:szCs w:val="22"/>
        </w:rPr>
      </w:pPr>
      <w:r w:rsidRPr="006774D3">
        <w:rPr>
          <w:sz w:val="22"/>
          <w:szCs w:val="22"/>
        </w:rPr>
        <w:t>Markaðsleyfishafi skal ljúka eftirfarandi innan tilgreindra tímamarka:</w:t>
      </w:r>
    </w:p>
    <w:p w14:paraId="05B8BC0C" w14:textId="77777777" w:rsidR="00844C71" w:rsidRPr="006774D3" w:rsidRDefault="00844C71" w:rsidP="00FA5D6F">
      <w:pPr>
        <w:keepNext/>
        <w:tabs>
          <w:tab w:val="left" w:pos="567"/>
        </w:tabs>
        <w:rPr>
          <w:sz w:val="22"/>
          <w:szCs w:val="20"/>
        </w:rPr>
      </w:pPr>
    </w:p>
    <w:tbl>
      <w:tblPr>
        <w:tblW w:w="4900" w:type="pct"/>
        <w:tblCellMar>
          <w:left w:w="0" w:type="dxa"/>
          <w:right w:w="0" w:type="dxa"/>
        </w:tblCellMar>
        <w:tblLook w:val="04A0" w:firstRow="1" w:lastRow="0" w:firstColumn="1" w:lastColumn="0" w:noHBand="0" w:noVBand="1"/>
      </w:tblPr>
      <w:tblGrid>
        <w:gridCol w:w="7425"/>
        <w:gridCol w:w="1454"/>
      </w:tblGrid>
      <w:tr w:rsidR="00844C71" w:rsidRPr="006774D3" w14:paraId="05B8BC0F" w14:textId="77777777" w:rsidTr="00FA5D6F">
        <w:trPr>
          <w:cantSplit/>
        </w:trPr>
        <w:tc>
          <w:tcPr>
            <w:tcW w:w="41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B8BC0D" w14:textId="77777777" w:rsidR="00844C71" w:rsidRPr="006774D3" w:rsidRDefault="00844C71" w:rsidP="00FA5D6F">
            <w:pPr>
              <w:keepNext/>
              <w:tabs>
                <w:tab w:val="left" w:pos="567"/>
              </w:tabs>
              <w:ind w:right="-1"/>
              <w:rPr>
                <w:rFonts w:eastAsia="Calibri"/>
                <w:b/>
                <w:bCs/>
                <w:sz w:val="22"/>
                <w:szCs w:val="22"/>
              </w:rPr>
            </w:pPr>
            <w:r w:rsidRPr="006774D3">
              <w:rPr>
                <w:b/>
                <w:bCs/>
                <w:sz w:val="22"/>
                <w:szCs w:val="20"/>
              </w:rPr>
              <w:t>Lýsing</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B8BC0E" w14:textId="77777777" w:rsidR="00844C71" w:rsidRPr="006774D3" w:rsidRDefault="00844C71" w:rsidP="00FA5D6F">
            <w:pPr>
              <w:keepNext/>
              <w:tabs>
                <w:tab w:val="left" w:pos="567"/>
              </w:tabs>
              <w:ind w:right="-1"/>
              <w:rPr>
                <w:rFonts w:eastAsia="Calibri"/>
                <w:b/>
                <w:bCs/>
                <w:sz w:val="22"/>
                <w:szCs w:val="22"/>
              </w:rPr>
            </w:pPr>
            <w:r w:rsidRPr="006774D3">
              <w:rPr>
                <w:b/>
                <w:bCs/>
                <w:sz w:val="22"/>
                <w:szCs w:val="20"/>
              </w:rPr>
              <w:t>Tímamörk</w:t>
            </w:r>
          </w:p>
        </w:tc>
      </w:tr>
      <w:tr w:rsidR="00844C71" w:rsidRPr="006774D3" w14:paraId="05B8BC12" w14:textId="77777777" w:rsidTr="00FA5D6F">
        <w:trPr>
          <w:cantSplit/>
        </w:trPr>
        <w:tc>
          <w:tcPr>
            <w:tcW w:w="418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B8BC10" w14:textId="77777777" w:rsidR="00844C71" w:rsidRPr="006774D3" w:rsidRDefault="00844C71" w:rsidP="00F77C66">
            <w:pPr>
              <w:tabs>
                <w:tab w:val="left" w:pos="567"/>
              </w:tabs>
              <w:ind w:right="-1"/>
              <w:rPr>
                <w:rFonts w:eastAsia="Calibri"/>
                <w:sz w:val="22"/>
                <w:szCs w:val="22"/>
              </w:rPr>
            </w:pPr>
            <w:r w:rsidRPr="006774D3">
              <w:rPr>
                <w:sz w:val="22"/>
                <w:szCs w:val="20"/>
              </w:rPr>
              <w:t xml:space="preserve">Að framkvæma áhorfsskráningu þar sem safnað er saman upplýsingum um verkun og öryggi hjá börnum með </w:t>
            </w:r>
            <w:r w:rsidR="007200ED" w:rsidRPr="006774D3">
              <w:rPr>
                <w:color w:val="000000"/>
                <w:sz w:val="22"/>
                <w:szCs w:val="22"/>
              </w:rPr>
              <w:t>nýlega greint Fíladelfíulitnings jákvætt brátt eitilfrumuhvítblæði (Ph+ acute lymphoblastic leukaemia) (ALL) á krabbameinslyfjameðferð + imatinib ± HSCT. Leggja skal fram endanlega rannsóknarskýrslu.</w:t>
            </w:r>
          </w:p>
        </w:tc>
        <w:tc>
          <w:tcPr>
            <w:tcW w:w="819"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5B8BC11" w14:textId="3F824553" w:rsidR="00844C71" w:rsidRPr="006774D3" w:rsidRDefault="00B60BC7" w:rsidP="00B60BC7">
            <w:pPr>
              <w:tabs>
                <w:tab w:val="left" w:pos="567"/>
              </w:tabs>
              <w:ind w:right="-1"/>
              <w:rPr>
                <w:rFonts w:eastAsia="Calibri"/>
                <w:sz w:val="22"/>
                <w:szCs w:val="22"/>
              </w:rPr>
            </w:pPr>
            <w:r w:rsidRPr="006774D3">
              <w:rPr>
                <w:sz w:val="22"/>
                <w:szCs w:val="20"/>
              </w:rPr>
              <w:t>2</w:t>
            </w:r>
            <w:r w:rsidR="00CE7B9D" w:rsidRPr="006774D3">
              <w:rPr>
                <w:sz w:val="22"/>
                <w:szCs w:val="20"/>
              </w:rPr>
              <w:t>3/06/202</w:t>
            </w:r>
            <w:r w:rsidR="008B1176" w:rsidRPr="006774D3">
              <w:rPr>
                <w:sz w:val="22"/>
                <w:szCs w:val="20"/>
              </w:rPr>
              <w:t>3</w:t>
            </w:r>
          </w:p>
        </w:tc>
      </w:tr>
    </w:tbl>
    <w:p w14:paraId="05B8BC13" w14:textId="77777777" w:rsidR="00D363A7" w:rsidRPr="006774D3" w:rsidRDefault="00D363A7" w:rsidP="00F77C66">
      <w:pPr>
        <w:rPr>
          <w:color w:val="000000"/>
          <w:sz w:val="22"/>
          <w:szCs w:val="22"/>
        </w:rPr>
      </w:pPr>
      <w:r w:rsidRPr="006774D3">
        <w:rPr>
          <w:color w:val="000000"/>
          <w:sz w:val="22"/>
          <w:szCs w:val="22"/>
        </w:rPr>
        <w:br w:type="page"/>
      </w:r>
    </w:p>
    <w:p w14:paraId="05B8BC14" w14:textId="77777777" w:rsidR="00D363A7" w:rsidRPr="006774D3" w:rsidRDefault="00D363A7" w:rsidP="00F77C66">
      <w:pPr>
        <w:rPr>
          <w:color w:val="000000"/>
          <w:sz w:val="22"/>
          <w:szCs w:val="22"/>
        </w:rPr>
      </w:pPr>
    </w:p>
    <w:p w14:paraId="05B8BC15" w14:textId="77777777" w:rsidR="00D363A7" w:rsidRPr="006774D3" w:rsidRDefault="00D363A7" w:rsidP="00F77C66">
      <w:pPr>
        <w:rPr>
          <w:color w:val="000000"/>
          <w:sz w:val="22"/>
          <w:szCs w:val="22"/>
        </w:rPr>
      </w:pPr>
    </w:p>
    <w:p w14:paraId="05B8BC16" w14:textId="77777777" w:rsidR="00D363A7" w:rsidRPr="006774D3" w:rsidRDefault="00D363A7" w:rsidP="00F77C66">
      <w:pPr>
        <w:rPr>
          <w:color w:val="000000"/>
          <w:sz w:val="22"/>
          <w:szCs w:val="22"/>
        </w:rPr>
      </w:pPr>
    </w:p>
    <w:p w14:paraId="05B8BC17" w14:textId="77777777" w:rsidR="00D363A7" w:rsidRPr="006774D3" w:rsidRDefault="00D363A7" w:rsidP="00F77C66">
      <w:pPr>
        <w:rPr>
          <w:color w:val="000000"/>
          <w:sz w:val="22"/>
          <w:szCs w:val="22"/>
        </w:rPr>
      </w:pPr>
    </w:p>
    <w:p w14:paraId="05B8BC18" w14:textId="77777777" w:rsidR="00D363A7" w:rsidRPr="006774D3" w:rsidRDefault="00D363A7" w:rsidP="00F77C66">
      <w:pPr>
        <w:rPr>
          <w:color w:val="000000"/>
          <w:sz w:val="22"/>
          <w:szCs w:val="22"/>
        </w:rPr>
      </w:pPr>
    </w:p>
    <w:p w14:paraId="05B8BC19" w14:textId="77777777" w:rsidR="00D363A7" w:rsidRPr="006774D3" w:rsidRDefault="00D363A7" w:rsidP="00F77C66">
      <w:pPr>
        <w:rPr>
          <w:color w:val="000000"/>
          <w:sz w:val="22"/>
          <w:szCs w:val="22"/>
        </w:rPr>
      </w:pPr>
    </w:p>
    <w:p w14:paraId="05B8BC1A" w14:textId="77777777" w:rsidR="00D363A7" w:rsidRPr="006774D3" w:rsidRDefault="00D363A7" w:rsidP="00F77C66">
      <w:pPr>
        <w:rPr>
          <w:color w:val="000000"/>
          <w:sz w:val="22"/>
          <w:szCs w:val="22"/>
        </w:rPr>
      </w:pPr>
    </w:p>
    <w:p w14:paraId="05B8BC1B" w14:textId="77777777" w:rsidR="00D363A7" w:rsidRPr="006774D3" w:rsidRDefault="00D363A7" w:rsidP="00F77C66">
      <w:pPr>
        <w:rPr>
          <w:color w:val="000000"/>
          <w:sz w:val="22"/>
          <w:szCs w:val="22"/>
        </w:rPr>
      </w:pPr>
    </w:p>
    <w:p w14:paraId="05B8BC1C" w14:textId="77777777" w:rsidR="00D363A7" w:rsidRPr="006774D3" w:rsidRDefault="00D363A7" w:rsidP="00F77C66">
      <w:pPr>
        <w:rPr>
          <w:color w:val="000000"/>
          <w:sz w:val="22"/>
          <w:szCs w:val="22"/>
        </w:rPr>
      </w:pPr>
    </w:p>
    <w:p w14:paraId="05B8BC1D" w14:textId="77777777" w:rsidR="00D363A7" w:rsidRPr="006774D3" w:rsidRDefault="00D363A7" w:rsidP="00F77C66">
      <w:pPr>
        <w:rPr>
          <w:color w:val="000000"/>
          <w:sz w:val="22"/>
          <w:szCs w:val="22"/>
        </w:rPr>
      </w:pPr>
    </w:p>
    <w:p w14:paraId="05B8BC1E" w14:textId="77777777" w:rsidR="00D363A7" w:rsidRPr="006774D3" w:rsidRDefault="00D363A7" w:rsidP="00F77C66">
      <w:pPr>
        <w:rPr>
          <w:color w:val="000000"/>
          <w:sz w:val="22"/>
          <w:szCs w:val="22"/>
        </w:rPr>
      </w:pPr>
    </w:p>
    <w:p w14:paraId="05B8BC1F" w14:textId="77777777" w:rsidR="00D363A7" w:rsidRPr="006774D3" w:rsidRDefault="00D363A7" w:rsidP="00F77C66">
      <w:pPr>
        <w:rPr>
          <w:color w:val="000000"/>
          <w:sz w:val="22"/>
          <w:szCs w:val="22"/>
        </w:rPr>
      </w:pPr>
    </w:p>
    <w:p w14:paraId="05B8BC20" w14:textId="77777777" w:rsidR="00D363A7" w:rsidRPr="006774D3" w:rsidRDefault="00D363A7" w:rsidP="00F77C66">
      <w:pPr>
        <w:rPr>
          <w:color w:val="000000"/>
          <w:sz w:val="22"/>
          <w:szCs w:val="22"/>
        </w:rPr>
      </w:pPr>
    </w:p>
    <w:p w14:paraId="05B8BC21" w14:textId="77777777" w:rsidR="00D363A7" w:rsidRPr="006774D3" w:rsidRDefault="00D363A7" w:rsidP="00F77C66">
      <w:pPr>
        <w:rPr>
          <w:color w:val="000000"/>
          <w:sz w:val="22"/>
          <w:szCs w:val="22"/>
        </w:rPr>
      </w:pPr>
    </w:p>
    <w:p w14:paraId="05B8BC22" w14:textId="77777777" w:rsidR="00D363A7" w:rsidRPr="006774D3" w:rsidRDefault="00D363A7" w:rsidP="00F77C66">
      <w:pPr>
        <w:rPr>
          <w:color w:val="000000"/>
          <w:sz w:val="22"/>
          <w:szCs w:val="22"/>
        </w:rPr>
      </w:pPr>
    </w:p>
    <w:p w14:paraId="05B8BC23" w14:textId="77777777" w:rsidR="00D363A7" w:rsidRPr="006774D3" w:rsidRDefault="00D363A7" w:rsidP="00F77C66">
      <w:pPr>
        <w:rPr>
          <w:color w:val="000000"/>
          <w:sz w:val="22"/>
          <w:szCs w:val="22"/>
        </w:rPr>
      </w:pPr>
    </w:p>
    <w:p w14:paraId="05B8BC24" w14:textId="77777777" w:rsidR="00D363A7" w:rsidRPr="006774D3" w:rsidRDefault="00D363A7" w:rsidP="00F77C66">
      <w:pPr>
        <w:rPr>
          <w:color w:val="000000"/>
          <w:sz w:val="22"/>
          <w:szCs w:val="22"/>
        </w:rPr>
      </w:pPr>
    </w:p>
    <w:p w14:paraId="05B8BC25" w14:textId="77777777" w:rsidR="00D363A7" w:rsidRPr="006774D3" w:rsidRDefault="00D363A7" w:rsidP="00F77C66">
      <w:pPr>
        <w:ind w:right="566"/>
        <w:rPr>
          <w:color w:val="000000"/>
          <w:sz w:val="22"/>
          <w:szCs w:val="22"/>
        </w:rPr>
      </w:pPr>
    </w:p>
    <w:p w14:paraId="05B8BC26" w14:textId="77777777" w:rsidR="00D363A7" w:rsidRPr="006774D3" w:rsidRDefault="00D363A7" w:rsidP="00F77C66">
      <w:pPr>
        <w:ind w:right="566"/>
        <w:rPr>
          <w:color w:val="000000"/>
          <w:sz w:val="22"/>
          <w:szCs w:val="22"/>
        </w:rPr>
      </w:pPr>
    </w:p>
    <w:p w14:paraId="05B8BC27" w14:textId="77777777" w:rsidR="00D363A7" w:rsidRPr="006774D3" w:rsidRDefault="00D363A7" w:rsidP="00F77C66">
      <w:pPr>
        <w:ind w:right="566"/>
        <w:rPr>
          <w:color w:val="000000"/>
          <w:sz w:val="22"/>
          <w:szCs w:val="22"/>
        </w:rPr>
      </w:pPr>
    </w:p>
    <w:p w14:paraId="05B8BC28" w14:textId="77777777" w:rsidR="00D363A7" w:rsidRPr="006774D3" w:rsidRDefault="00D363A7" w:rsidP="00F77C66">
      <w:pPr>
        <w:rPr>
          <w:color w:val="000000"/>
          <w:sz w:val="22"/>
          <w:szCs w:val="22"/>
        </w:rPr>
      </w:pPr>
    </w:p>
    <w:p w14:paraId="05B8BC29" w14:textId="77777777" w:rsidR="00D363A7" w:rsidRPr="006774D3" w:rsidRDefault="00D363A7" w:rsidP="00F77C66">
      <w:pPr>
        <w:rPr>
          <w:color w:val="000000"/>
          <w:sz w:val="22"/>
          <w:szCs w:val="22"/>
        </w:rPr>
      </w:pPr>
    </w:p>
    <w:p w14:paraId="05B8BC2A" w14:textId="77777777" w:rsidR="00FA5D6F" w:rsidRPr="006774D3" w:rsidRDefault="00FA5D6F" w:rsidP="00F77C66">
      <w:pPr>
        <w:rPr>
          <w:color w:val="000000"/>
          <w:sz w:val="22"/>
          <w:szCs w:val="22"/>
        </w:rPr>
      </w:pPr>
    </w:p>
    <w:p w14:paraId="05B8BC2B" w14:textId="77777777" w:rsidR="00D363A7" w:rsidRPr="006774D3" w:rsidRDefault="00D363A7" w:rsidP="00F77C66">
      <w:pPr>
        <w:jc w:val="center"/>
        <w:outlineLvl w:val="0"/>
        <w:rPr>
          <w:b/>
          <w:color w:val="000000"/>
          <w:sz w:val="22"/>
          <w:szCs w:val="22"/>
        </w:rPr>
      </w:pPr>
      <w:r w:rsidRPr="006774D3">
        <w:rPr>
          <w:b/>
          <w:color w:val="000000"/>
          <w:sz w:val="22"/>
          <w:szCs w:val="22"/>
        </w:rPr>
        <w:t>VIÐAUKI III</w:t>
      </w:r>
    </w:p>
    <w:p w14:paraId="05B8BC2C" w14:textId="77777777" w:rsidR="00D363A7" w:rsidRPr="006774D3" w:rsidRDefault="00D363A7" w:rsidP="00F77C66">
      <w:pPr>
        <w:jc w:val="center"/>
        <w:rPr>
          <w:color w:val="000000"/>
          <w:sz w:val="22"/>
          <w:szCs w:val="22"/>
        </w:rPr>
      </w:pPr>
    </w:p>
    <w:p w14:paraId="05B8BC2D" w14:textId="77777777" w:rsidR="00D363A7" w:rsidRPr="006774D3" w:rsidRDefault="00D363A7" w:rsidP="00F77C66">
      <w:pPr>
        <w:jc w:val="center"/>
        <w:outlineLvl w:val="0"/>
        <w:rPr>
          <w:b/>
          <w:color w:val="000000"/>
          <w:sz w:val="22"/>
          <w:szCs w:val="22"/>
        </w:rPr>
      </w:pPr>
      <w:r w:rsidRPr="006774D3">
        <w:rPr>
          <w:b/>
          <w:color w:val="000000"/>
          <w:sz w:val="22"/>
          <w:szCs w:val="22"/>
        </w:rPr>
        <w:t>ÁLETRANIR OG FYLGISEÐILL</w:t>
      </w:r>
    </w:p>
    <w:p w14:paraId="05B8BC2E" w14:textId="77777777" w:rsidR="00D363A7" w:rsidRPr="006774D3" w:rsidRDefault="00D363A7" w:rsidP="00F77C66">
      <w:pPr>
        <w:pStyle w:val="EndnoteText"/>
        <w:spacing w:before="0" w:after="0"/>
        <w:rPr>
          <w:color w:val="000000"/>
          <w:sz w:val="22"/>
          <w:szCs w:val="22"/>
          <w:lang w:val="is-IS"/>
        </w:rPr>
      </w:pPr>
      <w:r w:rsidRPr="006774D3">
        <w:rPr>
          <w:color w:val="000000"/>
          <w:sz w:val="22"/>
          <w:szCs w:val="22"/>
          <w:lang w:val="is-IS"/>
        </w:rPr>
        <w:br w:type="page"/>
      </w:r>
    </w:p>
    <w:p w14:paraId="05B8BC2F" w14:textId="77777777" w:rsidR="00D363A7" w:rsidRPr="006774D3" w:rsidRDefault="00D363A7" w:rsidP="00F77C66">
      <w:pPr>
        <w:rPr>
          <w:color w:val="000000"/>
          <w:sz w:val="22"/>
          <w:szCs w:val="22"/>
        </w:rPr>
      </w:pPr>
    </w:p>
    <w:p w14:paraId="05B8BC30" w14:textId="77777777" w:rsidR="00D363A7" w:rsidRPr="006774D3" w:rsidRDefault="00D363A7" w:rsidP="00F77C66">
      <w:pPr>
        <w:rPr>
          <w:color w:val="000000"/>
          <w:sz w:val="22"/>
          <w:szCs w:val="22"/>
        </w:rPr>
      </w:pPr>
    </w:p>
    <w:p w14:paraId="05B8BC31" w14:textId="77777777" w:rsidR="00D363A7" w:rsidRPr="006774D3" w:rsidRDefault="00D363A7" w:rsidP="00F77C66">
      <w:pPr>
        <w:rPr>
          <w:color w:val="000000"/>
          <w:sz w:val="22"/>
          <w:szCs w:val="22"/>
        </w:rPr>
      </w:pPr>
    </w:p>
    <w:p w14:paraId="05B8BC32" w14:textId="77777777" w:rsidR="00D363A7" w:rsidRPr="006774D3" w:rsidRDefault="00D363A7" w:rsidP="00F77C66">
      <w:pPr>
        <w:rPr>
          <w:color w:val="000000"/>
          <w:sz w:val="22"/>
          <w:szCs w:val="22"/>
        </w:rPr>
      </w:pPr>
    </w:p>
    <w:p w14:paraId="05B8BC33" w14:textId="77777777" w:rsidR="00D363A7" w:rsidRPr="006774D3" w:rsidRDefault="00D363A7" w:rsidP="00F77C66">
      <w:pPr>
        <w:rPr>
          <w:color w:val="000000"/>
          <w:sz w:val="22"/>
          <w:szCs w:val="22"/>
        </w:rPr>
      </w:pPr>
    </w:p>
    <w:p w14:paraId="05B8BC34" w14:textId="77777777" w:rsidR="00D363A7" w:rsidRPr="006774D3" w:rsidRDefault="00D363A7" w:rsidP="00F77C66">
      <w:pPr>
        <w:rPr>
          <w:color w:val="000000"/>
          <w:sz w:val="22"/>
          <w:szCs w:val="22"/>
        </w:rPr>
      </w:pPr>
    </w:p>
    <w:p w14:paraId="05B8BC35" w14:textId="77777777" w:rsidR="00D363A7" w:rsidRPr="006774D3" w:rsidRDefault="00D363A7" w:rsidP="00F77C66">
      <w:pPr>
        <w:rPr>
          <w:color w:val="000000"/>
          <w:sz w:val="22"/>
          <w:szCs w:val="22"/>
        </w:rPr>
      </w:pPr>
    </w:p>
    <w:p w14:paraId="05B8BC36" w14:textId="77777777" w:rsidR="00D363A7" w:rsidRPr="006774D3" w:rsidRDefault="00D363A7" w:rsidP="00F77C66">
      <w:pPr>
        <w:rPr>
          <w:color w:val="000000"/>
          <w:sz w:val="22"/>
          <w:szCs w:val="22"/>
        </w:rPr>
      </w:pPr>
    </w:p>
    <w:p w14:paraId="05B8BC37" w14:textId="77777777" w:rsidR="00D363A7" w:rsidRPr="006774D3" w:rsidRDefault="00D363A7" w:rsidP="00F77C66">
      <w:pPr>
        <w:rPr>
          <w:color w:val="000000"/>
          <w:sz w:val="22"/>
          <w:szCs w:val="22"/>
        </w:rPr>
      </w:pPr>
    </w:p>
    <w:p w14:paraId="05B8BC38" w14:textId="77777777" w:rsidR="00D363A7" w:rsidRPr="006774D3" w:rsidRDefault="00D363A7" w:rsidP="00F77C66">
      <w:pPr>
        <w:rPr>
          <w:color w:val="000000"/>
          <w:sz w:val="22"/>
          <w:szCs w:val="22"/>
        </w:rPr>
      </w:pPr>
    </w:p>
    <w:p w14:paraId="05B8BC39" w14:textId="77777777" w:rsidR="00D363A7" w:rsidRPr="006774D3" w:rsidRDefault="00D363A7" w:rsidP="00F77C66">
      <w:pPr>
        <w:rPr>
          <w:color w:val="000000"/>
          <w:sz w:val="22"/>
          <w:szCs w:val="22"/>
        </w:rPr>
      </w:pPr>
    </w:p>
    <w:p w14:paraId="05B8BC3A" w14:textId="77777777" w:rsidR="00D363A7" w:rsidRPr="006774D3" w:rsidRDefault="00D363A7" w:rsidP="00F77C66">
      <w:pPr>
        <w:rPr>
          <w:color w:val="000000"/>
          <w:sz w:val="22"/>
          <w:szCs w:val="22"/>
        </w:rPr>
      </w:pPr>
    </w:p>
    <w:p w14:paraId="05B8BC3B" w14:textId="77777777" w:rsidR="00D363A7" w:rsidRPr="006774D3" w:rsidRDefault="00D363A7" w:rsidP="00F77C66">
      <w:pPr>
        <w:rPr>
          <w:color w:val="000000"/>
          <w:sz w:val="22"/>
          <w:szCs w:val="22"/>
        </w:rPr>
      </w:pPr>
    </w:p>
    <w:p w14:paraId="05B8BC3C" w14:textId="77777777" w:rsidR="00D363A7" w:rsidRPr="006774D3" w:rsidRDefault="00D363A7" w:rsidP="00F77C66">
      <w:pPr>
        <w:rPr>
          <w:color w:val="000000"/>
          <w:sz w:val="22"/>
          <w:szCs w:val="22"/>
        </w:rPr>
      </w:pPr>
    </w:p>
    <w:p w14:paraId="05B8BC3D" w14:textId="77777777" w:rsidR="00D363A7" w:rsidRPr="006774D3" w:rsidRDefault="00D363A7" w:rsidP="00F77C66">
      <w:pPr>
        <w:rPr>
          <w:color w:val="000000"/>
          <w:sz w:val="22"/>
          <w:szCs w:val="22"/>
        </w:rPr>
      </w:pPr>
    </w:p>
    <w:p w14:paraId="05B8BC3E" w14:textId="77777777" w:rsidR="00D363A7" w:rsidRPr="006774D3" w:rsidRDefault="00D363A7" w:rsidP="00F77C66">
      <w:pPr>
        <w:rPr>
          <w:color w:val="000000"/>
          <w:sz w:val="22"/>
          <w:szCs w:val="22"/>
        </w:rPr>
      </w:pPr>
    </w:p>
    <w:p w14:paraId="05B8BC3F" w14:textId="77777777" w:rsidR="00D363A7" w:rsidRPr="006774D3" w:rsidRDefault="00D363A7" w:rsidP="00F77C66">
      <w:pPr>
        <w:rPr>
          <w:color w:val="000000"/>
          <w:sz w:val="22"/>
          <w:szCs w:val="22"/>
        </w:rPr>
      </w:pPr>
    </w:p>
    <w:p w14:paraId="05B8BC40" w14:textId="77777777" w:rsidR="00D363A7" w:rsidRPr="006774D3" w:rsidRDefault="00D363A7" w:rsidP="00F77C66">
      <w:pPr>
        <w:rPr>
          <w:color w:val="000000"/>
          <w:sz w:val="22"/>
          <w:szCs w:val="22"/>
        </w:rPr>
      </w:pPr>
    </w:p>
    <w:p w14:paraId="05B8BC41" w14:textId="77777777" w:rsidR="00D363A7" w:rsidRPr="006774D3" w:rsidRDefault="00D363A7" w:rsidP="00F77C66">
      <w:pPr>
        <w:rPr>
          <w:color w:val="000000"/>
          <w:sz w:val="22"/>
          <w:szCs w:val="22"/>
        </w:rPr>
      </w:pPr>
    </w:p>
    <w:p w14:paraId="05B8BC42" w14:textId="77777777" w:rsidR="00D363A7" w:rsidRPr="006774D3" w:rsidRDefault="00D363A7" w:rsidP="00F77C66">
      <w:pPr>
        <w:rPr>
          <w:color w:val="000000"/>
          <w:sz w:val="22"/>
          <w:szCs w:val="22"/>
        </w:rPr>
      </w:pPr>
    </w:p>
    <w:p w14:paraId="05B8BC43" w14:textId="77777777" w:rsidR="00D363A7" w:rsidRPr="006774D3" w:rsidRDefault="00D363A7" w:rsidP="00F77C66">
      <w:pPr>
        <w:rPr>
          <w:color w:val="000000"/>
          <w:sz w:val="22"/>
          <w:szCs w:val="22"/>
        </w:rPr>
      </w:pPr>
    </w:p>
    <w:p w14:paraId="05B8BC44" w14:textId="77777777" w:rsidR="00D363A7" w:rsidRPr="006774D3" w:rsidRDefault="00D363A7" w:rsidP="00F77C66">
      <w:pPr>
        <w:rPr>
          <w:color w:val="000000"/>
          <w:sz w:val="22"/>
          <w:szCs w:val="22"/>
        </w:rPr>
      </w:pPr>
    </w:p>
    <w:p w14:paraId="05B8BC45" w14:textId="77777777" w:rsidR="00FA5D6F" w:rsidRPr="006774D3" w:rsidRDefault="00FA5D6F" w:rsidP="00F77C66">
      <w:pPr>
        <w:rPr>
          <w:color w:val="000000"/>
          <w:sz w:val="22"/>
          <w:szCs w:val="22"/>
        </w:rPr>
      </w:pPr>
    </w:p>
    <w:p w14:paraId="05B8BC46" w14:textId="77777777" w:rsidR="00D363A7" w:rsidRPr="006774D3" w:rsidRDefault="00D363A7" w:rsidP="00F77C66">
      <w:pPr>
        <w:jc w:val="center"/>
        <w:outlineLvl w:val="0"/>
        <w:rPr>
          <w:b/>
          <w:color w:val="000000"/>
          <w:sz w:val="22"/>
          <w:szCs w:val="22"/>
        </w:rPr>
      </w:pPr>
      <w:r w:rsidRPr="006774D3">
        <w:rPr>
          <w:b/>
          <w:color w:val="000000"/>
          <w:sz w:val="22"/>
          <w:szCs w:val="22"/>
        </w:rPr>
        <w:t>A. ÁLETRANIR</w:t>
      </w:r>
    </w:p>
    <w:p w14:paraId="05B8BC47" w14:textId="77777777" w:rsidR="00D363A7" w:rsidRPr="006774D3" w:rsidRDefault="00D363A7" w:rsidP="00F77C66">
      <w:pPr>
        <w:shd w:val="clear" w:color="auto" w:fill="FFFFFF"/>
        <w:rPr>
          <w:color w:val="000000"/>
          <w:sz w:val="22"/>
          <w:szCs w:val="22"/>
        </w:rPr>
      </w:pPr>
      <w:r w:rsidRPr="006774D3">
        <w:rPr>
          <w:color w:val="000000"/>
          <w:sz w:val="22"/>
          <w:szCs w:val="22"/>
        </w:rPr>
        <w:br w:type="page"/>
      </w:r>
    </w:p>
    <w:p w14:paraId="05B8BCC7" w14:textId="77777777" w:rsidR="00FA5D6F" w:rsidRPr="006774D3" w:rsidRDefault="00FA5D6F" w:rsidP="00726CCA">
      <w:pPr>
        <w:shd w:val="clear" w:color="auto" w:fill="FFFFFF"/>
        <w:rPr>
          <w:color w:val="000000"/>
          <w:sz w:val="22"/>
          <w:szCs w:val="22"/>
        </w:rPr>
      </w:pPr>
    </w:p>
    <w:p w14:paraId="05B8BCC8"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UPPLÝSINGAR SEM EIGA AÐ KOMA FRAM Á YTRI UMBÚÐUM</w:t>
      </w:r>
    </w:p>
    <w:p w14:paraId="05B8BCC9"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CCA"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aps/>
          <w:color w:val="000000"/>
          <w:sz w:val="22"/>
          <w:szCs w:val="22"/>
        </w:rPr>
      </w:pPr>
      <w:r w:rsidRPr="006774D3">
        <w:rPr>
          <w:b/>
          <w:caps/>
          <w:color w:val="000000"/>
          <w:sz w:val="22"/>
          <w:szCs w:val="22"/>
        </w:rPr>
        <w:t>askja</w:t>
      </w:r>
    </w:p>
    <w:p w14:paraId="05B8BCCB" w14:textId="77777777" w:rsidR="00D363A7" w:rsidRPr="006774D3" w:rsidRDefault="00D363A7" w:rsidP="00F77C66">
      <w:pPr>
        <w:rPr>
          <w:color w:val="000000"/>
          <w:sz w:val="22"/>
          <w:szCs w:val="22"/>
        </w:rPr>
      </w:pPr>
    </w:p>
    <w:p w14:paraId="05B8BCCC" w14:textId="77777777" w:rsidR="00D363A7" w:rsidRPr="006774D3" w:rsidRDefault="00D363A7" w:rsidP="00F77C66">
      <w:pPr>
        <w:rPr>
          <w:color w:val="000000"/>
          <w:sz w:val="22"/>
          <w:szCs w:val="22"/>
        </w:rPr>
      </w:pPr>
    </w:p>
    <w:p w14:paraId="05B8BCCD"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CCE" w14:textId="77777777" w:rsidR="00D363A7" w:rsidRPr="006774D3" w:rsidRDefault="00D363A7" w:rsidP="00F77C66">
      <w:pPr>
        <w:rPr>
          <w:color w:val="000000"/>
          <w:sz w:val="22"/>
          <w:szCs w:val="22"/>
        </w:rPr>
      </w:pPr>
    </w:p>
    <w:p w14:paraId="05B8BCCF" w14:textId="77777777" w:rsidR="00D363A7" w:rsidRPr="006774D3" w:rsidRDefault="00D363A7" w:rsidP="00F77C66">
      <w:pPr>
        <w:pStyle w:val="EndnoteText"/>
        <w:spacing w:before="0" w:after="0"/>
        <w:rPr>
          <w:color w:val="000000"/>
          <w:sz w:val="22"/>
          <w:szCs w:val="22"/>
          <w:lang w:val="is-IS"/>
        </w:rPr>
      </w:pPr>
      <w:r w:rsidRPr="006774D3">
        <w:rPr>
          <w:color w:val="000000"/>
          <w:sz w:val="22"/>
          <w:szCs w:val="22"/>
          <w:lang w:val="is-IS"/>
        </w:rPr>
        <w:t>Glivec 100 mg hörð hylki</w:t>
      </w:r>
    </w:p>
    <w:p w14:paraId="05B8BCD0" w14:textId="77777777" w:rsidR="00D363A7" w:rsidRPr="006774D3" w:rsidRDefault="003A7308" w:rsidP="00F77C66">
      <w:pPr>
        <w:pStyle w:val="EndnoteText"/>
        <w:spacing w:before="0" w:after="0"/>
        <w:rPr>
          <w:color w:val="000000"/>
          <w:sz w:val="22"/>
          <w:szCs w:val="22"/>
          <w:lang w:val="is-IS"/>
        </w:rPr>
      </w:pPr>
      <w:r w:rsidRPr="006774D3">
        <w:rPr>
          <w:color w:val="000000"/>
          <w:sz w:val="22"/>
          <w:szCs w:val="22"/>
          <w:lang w:val="is-IS"/>
        </w:rPr>
        <w:t>i</w:t>
      </w:r>
      <w:r w:rsidR="00D363A7" w:rsidRPr="006774D3">
        <w:rPr>
          <w:color w:val="000000"/>
          <w:sz w:val="22"/>
          <w:szCs w:val="22"/>
          <w:lang w:val="is-IS"/>
        </w:rPr>
        <w:t>matinib</w:t>
      </w:r>
    </w:p>
    <w:p w14:paraId="05B8BCD1" w14:textId="77777777" w:rsidR="00D363A7" w:rsidRPr="006774D3" w:rsidRDefault="00D363A7" w:rsidP="00F77C66">
      <w:pPr>
        <w:pStyle w:val="EndnoteText"/>
        <w:spacing w:before="0" w:after="0"/>
        <w:rPr>
          <w:color w:val="000000"/>
          <w:sz w:val="22"/>
          <w:szCs w:val="22"/>
          <w:lang w:val="is-IS"/>
        </w:rPr>
      </w:pPr>
    </w:p>
    <w:p w14:paraId="05B8BCD2" w14:textId="77777777" w:rsidR="00D363A7" w:rsidRPr="006774D3" w:rsidRDefault="00D363A7" w:rsidP="00F77C66">
      <w:pPr>
        <w:rPr>
          <w:color w:val="000000"/>
          <w:sz w:val="22"/>
          <w:szCs w:val="22"/>
        </w:rPr>
      </w:pPr>
    </w:p>
    <w:p w14:paraId="05B8BCD3"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VIRK(T) EFNI</w:t>
      </w:r>
    </w:p>
    <w:p w14:paraId="05B8BCD4" w14:textId="77777777" w:rsidR="00D363A7" w:rsidRPr="006774D3" w:rsidRDefault="00D363A7" w:rsidP="00F77C66">
      <w:pPr>
        <w:rPr>
          <w:color w:val="000000"/>
          <w:sz w:val="22"/>
          <w:szCs w:val="22"/>
        </w:rPr>
      </w:pPr>
    </w:p>
    <w:p w14:paraId="05B8BCD5" w14:textId="77777777" w:rsidR="00D363A7" w:rsidRPr="006774D3" w:rsidRDefault="00D363A7" w:rsidP="00F77C66">
      <w:pPr>
        <w:rPr>
          <w:color w:val="000000"/>
          <w:sz w:val="22"/>
          <w:szCs w:val="22"/>
        </w:rPr>
      </w:pPr>
      <w:r w:rsidRPr="006774D3">
        <w:rPr>
          <w:color w:val="000000"/>
          <w:sz w:val="22"/>
          <w:szCs w:val="22"/>
        </w:rPr>
        <w:t>Hvert hylki inniheldur imatinib 100 mg (sem mesilat).</w:t>
      </w:r>
    </w:p>
    <w:p w14:paraId="05B8BCD6" w14:textId="77777777" w:rsidR="00D363A7" w:rsidRPr="006774D3" w:rsidRDefault="00D363A7" w:rsidP="00F77C66">
      <w:pPr>
        <w:rPr>
          <w:color w:val="000000"/>
          <w:sz w:val="22"/>
          <w:szCs w:val="22"/>
        </w:rPr>
      </w:pPr>
    </w:p>
    <w:p w14:paraId="05B8BCD7" w14:textId="77777777" w:rsidR="00D363A7" w:rsidRPr="006774D3" w:rsidRDefault="00D363A7" w:rsidP="00F77C66">
      <w:pPr>
        <w:rPr>
          <w:color w:val="000000"/>
          <w:sz w:val="22"/>
          <w:szCs w:val="22"/>
        </w:rPr>
      </w:pPr>
    </w:p>
    <w:p w14:paraId="05B8BCD8"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HJÁLPAREFNI</w:t>
      </w:r>
    </w:p>
    <w:p w14:paraId="05B8BCD9" w14:textId="77777777" w:rsidR="00D363A7" w:rsidRPr="006774D3" w:rsidRDefault="00D363A7" w:rsidP="00F77C66">
      <w:pPr>
        <w:rPr>
          <w:color w:val="000000"/>
          <w:sz w:val="22"/>
          <w:szCs w:val="22"/>
        </w:rPr>
      </w:pPr>
    </w:p>
    <w:p w14:paraId="05B8BCDA" w14:textId="77777777" w:rsidR="00D363A7" w:rsidRPr="006774D3" w:rsidRDefault="00D363A7" w:rsidP="00F77C66">
      <w:pPr>
        <w:rPr>
          <w:color w:val="000000"/>
          <w:sz w:val="22"/>
          <w:szCs w:val="22"/>
        </w:rPr>
      </w:pPr>
    </w:p>
    <w:p w14:paraId="05B8BCDB"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LYFJAFORM OG INNIHALD</w:t>
      </w:r>
    </w:p>
    <w:p w14:paraId="05B8BCDC" w14:textId="77777777" w:rsidR="00D363A7" w:rsidRPr="006774D3" w:rsidRDefault="00D363A7" w:rsidP="00F77C66">
      <w:pPr>
        <w:rPr>
          <w:color w:val="000000"/>
          <w:sz w:val="22"/>
          <w:szCs w:val="22"/>
        </w:rPr>
      </w:pPr>
    </w:p>
    <w:p w14:paraId="05B8BCDD" w14:textId="77777777" w:rsidR="00D363A7" w:rsidRPr="006774D3" w:rsidRDefault="00D363A7" w:rsidP="00F77C66">
      <w:pPr>
        <w:rPr>
          <w:color w:val="000000"/>
          <w:sz w:val="22"/>
          <w:szCs w:val="22"/>
        </w:rPr>
      </w:pPr>
      <w:r w:rsidRPr="006774D3">
        <w:rPr>
          <w:color w:val="000000"/>
          <w:sz w:val="22"/>
          <w:szCs w:val="22"/>
        </w:rPr>
        <w:t>24 hörð hylki</w:t>
      </w:r>
    </w:p>
    <w:p w14:paraId="05B8BCDE"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48 hörð hylki</w:t>
      </w:r>
    </w:p>
    <w:p w14:paraId="05B8BCDF"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96 hörð hylki</w:t>
      </w:r>
    </w:p>
    <w:p w14:paraId="05B8BCE0"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120 hörð hylki</w:t>
      </w:r>
    </w:p>
    <w:p w14:paraId="05B8BCE1"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180 hörð hylki</w:t>
      </w:r>
    </w:p>
    <w:p w14:paraId="05B8BCE2" w14:textId="77777777" w:rsidR="00D363A7" w:rsidRPr="006774D3" w:rsidRDefault="00D363A7" w:rsidP="00F77C66">
      <w:pPr>
        <w:rPr>
          <w:color w:val="000000"/>
          <w:sz w:val="22"/>
          <w:szCs w:val="22"/>
        </w:rPr>
      </w:pPr>
    </w:p>
    <w:p w14:paraId="05B8BCE3" w14:textId="77777777" w:rsidR="00D363A7" w:rsidRPr="006774D3" w:rsidRDefault="00D363A7" w:rsidP="00F77C66">
      <w:pPr>
        <w:rPr>
          <w:color w:val="000000"/>
          <w:sz w:val="22"/>
          <w:szCs w:val="22"/>
        </w:rPr>
      </w:pPr>
    </w:p>
    <w:p w14:paraId="05B8BCE4"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AÐFERÐ VIÐ LYFJAGJÖF OG ÍKOMULEIÐ(IR)</w:t>
      </w:r>
    </w:p>
    <w:p w14:paraId="05B8BCE5" w14:textId="77777777" w:rsidR="00D363A7" w:rsidRPr="006774D3" w:rsidRDefault="00D363A7" w:rsidP="00F77C66">
      <w:pPr>
        <w:rPr>
          <w:color w:val="000000"/>
          <w:sz w:val="22"/>
          <w:szCs w:val="22"/>
        </w:rPr>
      </w:pPr>
    </w:p>
    <w:p w14:paraId="05B8BCE6" w14:textId="77777777" w:rsidR="00D363A7" w:rsidRPr="006774D3" w:rsidRDefault="00D363A7" w:rsidP="00F77C66">
      <w:pPr>
        <w:rPr>
          <w:color w:val="000000"/>
          <w:sz w:val="22"/>
          <w:szCs w:val="22"/>
        </w:rPr>
      </w:pPr>
      <w:r w:rsidRPr="006774D3">
        <w:rPr>
          <w:color w:val="000000"/>
          <w:sz w:val="22"/>
          <w:szCs w:val="22"/>
        </w:rPr>
        <w:t>Til inntöku. Lesið fylgiseðilinn fyrir notkun.</w:t>
      </w:r>
    </w:p>
    <w:p w14:paraId="05B8BCE7" w14:textId="77777777" w:rsidR="00D363A7" w:rsidRPr="006774D3" w:rsidRDefault="00D363A7" w:rsidP="00F77C66">
      <w:pPr>
        <w:rPr>
          <w:color w:val="000000"/>
          <w:sz w:val="22"/>
          <w:szCs w:val="22"/>
        </w:rPr>
      </w:pPr>
    </w:p>
    <w:p w14:paraId="05B8BCE8" w14:textId="77777777" w:rsidR="00D363A7" w:rsidRPr="006774D3" w:rsidRDefault="00D363A7" w:rsidP="00F77C66">
      <w:pPr>
        <w:rPr>
          <w:color w:val="000000"/>
          <w:sz w:val="22"/>
          <w:szCs w:val="22"/>
        </w:rPr>
      </w:pPr>
    </w:p>
    <w:p w14:paraId="05B8BCE9"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6.</w:t>
      </w:r>
      <w:r w:rsidRPr="006774D3">
        <w:rPr>
          <w:b/>
          <w:color w:val="000000"/>
          <w:sz w:val="22"/>
          <w:szCs w:val="22"/>
        </w:rPr>
        <w:tab/>
        <w:t>SÉRSTÖK VARNAÐARORÐ UM AÐ LYFIÐ SKULI GEYMT ÞAR SEM BÖRN HVORKI NÁ TIL NÉ SJÁ</w:t>
      </w:r>
    </w:p>
    <w:p w14:paraId="05B8BCEA" w14:textId="77777777" w:rsidR="00D363A7" w:rsidRPr="006774D3" w:rsidRDefault="00D363A7" w:rsidP="00F77C66">
      <w:pPr>
        <w:rPr>
          <w:color w:val="000000"/>
          <w:sz w:val="22"/>
          <w:szCs w:val="22"/>
        </w:rPr>
      </w:pPr>
    </w:p>
    <w:p w14:paraId="05B8BCEB" w14:textId="77777777" w:rsidR="00D363A7" w:rsidRPr="006774D3" w:rsidRDefault="00D363A7" w:rsidP="00F77C66">
      <w:pPr>
        <w:outlineLvl w:val="0"/>
        <w:rPr>
          <w:color w:val="000000"/>
          <w:sz w:val="22"/>
          <w:szCs w:val="22"/>
        </w:rPr>
      </w:pPr>
      <w:r w:rsidRPr="006774D3">
        <w:rPr>
          <w:color w:val="000000"/>
          <w:sz w:val="22"/>
          <w:szCs w:val="22"/>
        </w:rPr>
        <w:t>Geymið þar sem börn hvorki ná til né sjá.</w:t>
      </w:r>
    </w:p>
    <w:p w14:paraId="05B8BCEC" w14:textId="77777777" w:rsidR="00D363A7" w:rsidRPr="006774D3" w:rsidRDefault="00D363A7" w:rsidP="00F77C66">
      <w:pPr>
        <w:outlineLvl w:val="0"/>
        <w:rPr>
          <w:color w:val="000000"/>
          <w:sz w:val="22"/>
          <w:szCs w:val="22"/>
        </w:rPr>
      </w:pPr>
    </w:p>
    <w:p w14:paraId="05B8BCED" w14:textId="77777777" w:rsidR="00D363A7" w:rsidRPr="006774D3" w:rsidRDefault="00D363A7" w:rsidP="00F77C66">
      <w:pPr>
        <w:rPr>
          <w:color w:val="000000"/>
          <w:sz w:val="22"/>
          <w:szCs w:val="22"/>
        </w:rPr>
      </w:pPr>
    </w:p>
    <w:p w14:paraId="05B8BCEE"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7.</w:t>
      </w:r>
      <w:r w:rsidRPr="006774D3">
        <w:rPr>
          <w:b/>
          <w:color w:val="000000"/>
          <w:sz w:val="22"/>
          <w:szCs w:val="22"/>
        </w:rPr>
        <w:tab/>
        <w:t>ÖNNUR SÉRSTÖK VARNAÐARORÐ, EF MEÐ ÞARF</w:t>
      </w:r>
    </w:p>
    <w:p w14:paraId="05B8BCEF" w14:textId="77777777" w:rsidR="00D363A7" w:rsidRPr="006774D3" w:rsidRDefault="00D363A7" w:rsidP="00F77C66">
      <w:pPr>
        <w:rPr>
          <w:color w:val="000000"/>
          <w:sz w:val="22"/>
          <w:szCs w:val="22"/>
        </w:rPr>
      </w:pPr>
    </w:p>
    <w:p w14:paraId="05B8BCF0" w14:textId="77777777" w:rsidR="00D363A7" w:rsidRPr="006774D3" w:rsidRDefault="00D363A7" w:rsidP="00F77C66">
      <w:pPr>
        <w:rPr>
          <w:color w:val="000000"/>
          <w:sz w:val="22"/>
          <w:szCs w:val="22"/>
        </w:rPr>
      </w:pPr>
      <w:r w:rsidRPr="006774D3">
        <w:rPr>
          <w:color w:val="000000"/>
          <w:sz w:val="22"/>
          <w:szCs w:val="22"/>
        </w:rPr>
        <w:t>Notið einungis samkvæmt fyrirmælum læknis.</w:t>
      </w:r>
    </w:p>
    <w:p w14:paraId="05B8BCF1" w14:textId="77777777" w:rsidR="00D363A7" w:rsidRPr="006774D3" w:rsidRDefault="00D363A7" w:rsidP="00F77C66">
      <w:pPr>
        <w:rPr>
          <w:color w:val="000000"/>
          <w:sz w:val="22"/>
          <w:szCs w:val="22"/>
        </w:rPr>
      </w:pPr>
    </w:p>
    <w:p w14:paraId="05B8BCF2" w14:textId="77777777" w:rsidR="00D363A7" w:rsidRPr="006774D3" w:rsidRDefault="00D363A7" w:rsidP="00F77C66">
      <w:pPr>
        <w:rPr>
          <w:color w:val="000000"/>
          <w:sz w:val="22"/>
          <w:szCs w:val="22"/>
        </w:rPr>
      </w:pPr>
    </w:p>
    <w:p w14:paraId="05B8BCF3"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8.</w:t>
      </w:r>
      <w:r w:rsidRPr="006774D3">
        <w:rPr>
          <w:b/>
          <w:color w:val="000000"/>
          <w:sz w:val="22"/>
          <w:szCs w:val="22"/>
        </w:rPr>
        <w:tab/>
        <w:t>FYRNINGARDAGSETNING</w:t>
      </w:r>
    </w:p>
    <w:p w14:paraId="05B8BCF4" w14:textId="77777777" w:rsidR="00D363A7" w:rsidRPr="006774D3" w:rsidRDefault="00D363A7" w:rsidP="00F77C66">
      <w:pPr>
        <w:rPr>
          <w:color w:val="000000"/>
          <w:sz w:val="22"/>
          <w:szCs w:val="22"/>
        </w:rPr>
      </w:pPr>
    </w:p>
    <w:p w14:paraId="05B8BCF5" w14:textId="77777777" w:rsidR="00B467B3" w:rsidRPr="006774D3" w:rsidRDefault="00B467B3" w:rsidP="00F77C66">
      <w:pPr>
        <w:pStyle w:val="Authors"/>
        <w:keepNext w:val="0"/>
        <w:spacing w:before="0"/>
        <w:outlineLvl w:val="0"/>
        <w:rPr>
          <w:rFonts w:ascii="Times New Roman" w:hAnsi="Times New Roman"/>
          <w:color w:val="000000"/>
          <w:szCs w:val="22"/>
          <w:lang w:val="is-IS"/>
        </w:rPr>
      </w:pPr>
      <w:r w:rsidRPr="006774D3">
        <w:rPr>
          <w:rFonts w:ascii="Times New Roman" w:hAnsi="Times New Roman"/>
          <w:color w:val="000000"/>
          <w:szCs w:val="22"/>
          <w:lang w:val="is-IS"/>
        </w:rPr>
        <w:t>EXP</w:t>
      </w:r>
    </w:p>
    <w:p w14:paraId="05B8BCF6" w14:textId="77777777" w:rsidR="00D363A7" w:rsidRPr="006774D3" w:rsidRDefault="00D363A7" w:rsidP="00F77C66">
      <w:pPr>
        <w:pStyle w:val="Authors"/>
        <w:keepNext w:val="0"/>
        <w:spacing w:before="0"/>
        <w:outlineLvl w:val="0"/>
        <w:rPr>
          <w:rFonts w:ascii="Times New Roman" w:hAnsi="Times New Roman"/>
          <w:color w:val="000000"/>
          <w:szCs w:val="22"/>
          <w:lang w:val="is-IS"/>
        </w:rPr>
      </w:pPr>
    </w:p>
    <w:p w14:paraId="05B8BCF7" w14:textId="77777777" w:rsidR="00D363A7" w:rsidRPr="006774D3" w:rsidRDefault="00D363A7" w:rsidP="00F77C66">
      <w:pPr>
        <w:rPr>
          <w:color w:val="000000"/>
          <w:sz w:val="22"/>
          <w:szCs w:val="22"/>
        </w:rPr>
      </w:pPr>
    </w:p>
    <w:p w14:paraId="05B8BCF8"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9.</w:t>
      </w:r>
      <w:r w:rsidRPr="006774D3">
        <w:rPr>
          <w:b/>
          <w:color w:val="000000"/>
          <w:sz w:val="22"/>
          <w:szCs w:val="22"/>
        </w:rPr>
        <w:tab/>
        <w:t>SÉRSTÖK GEYMSLUSKILYRÐI</w:t>
      </w:r>
    </w:p>
    <w:p w14:paraId="05B8BCF9" w14:textId="77777777" w:rsidR="00D363A7" w:rsidRPr="006774D3" w:rsidRDefault="00D363A7" w:rsidP="00F77C66">
      <w:pPr>
        <w:keepNext/>
        <w:rPr>
          <w:color w:val="000000"/>
          <w:sz w:val="22"/>
          <w:szCs w:val="22"/>
        </w:rPr>
      </w:pPr>
    </w:p>
    <w:p w14:paraId="05B8BCFA" w14:textId="77777777" w:rsidR="00D363A7" w:rsidRPr="006774D3" w:rsidRDefault="00D363A7" w:rsidP="00F77C66">
      <w:pPr>
        <w:keepNext/>
        <w:rPr>
          <w:color w:val="000000"/>
          <w:sz w:val="22"/>
          <w:szCs w:val="22"/>
        </w:rPr>
      </w:pPr>
      <w:r w:rsidRPr="006774D3">
        <w:rPr>
          <w:color w:val="000000"/>
          <w:sz w:val="22"/>
          <w:szCs w:val="22"/>
        </w:rPr>
        <w:t xml:space="preserve">Geymið við </w:t>
      </w:r>
      <w:r w:rsidR="000B58AE" w:rsidRPr="006774D3">
        <w:rPr>
          <w:color w:val="000000"/>
          <w:sz w:val="22"/>
          <w:szCs w:val="22"/>
        </w:rPr>
        <w:t xml:space="preserve">lægri </w:t>
      </w:r>
      <w:r w:rsidRPr="006774D3">
        <w:rPr>
          <w:color w:val="000000"/>
          <w:sz w:val="22"/>
          <w:szCs w:val="22"/>
        </w:rPr>
        <w:t>hita en 30</w:t>
      </w:r>
      <w:r w:rsidRPr="006774D3">
        <w:rPr>
          <w:color w:val="000000"/>
          <w:sz w:val="22"/>
          <w:szCs w:val="22"/>
        </w:rPr>
        <w:sym w:font="Symbol" w:char="00B0"/>
      </w:r>
      <w:r w:rsidRPr="006774D3">
        <w:rPr>
          <w:color w:val="000000"/>
          <w:sz w:val="22"/>
          <w:szCs w:val="22"/>
        </w:rPr>
        <w:t>C. Geymið í upprunalegum umbúðum til varnar gegn raka.</w:t>
      </w:r>
    </w:p>
    <w:p w14:paraId="05B8BCFB" w14:textId="77777777" w:rsidR="00D363A7" w:rsidRPr="006774D3" w:rsidRDefault="00D363A7" w:rsidP="00F77C66">
      <w:pPr>
        <w:rPr>
          <w:color w:val="000000"/>
          <w:sz w:val="22"/>
          <w:szCs w:val="22"/>
        </w:rPr>
      </w:pPr>
    </w:p>
    <w:p w14:paraId="05B8BCFC" w14:textId="77777777" w:rsidR="00D363A7" w:rsidRPr="006774D3" w:rsidRDefault="00D363A7" w:rsidP="00F77C66">
      <w:pPr>
        <w:rPr>
          <w:color w:val="000000"/>
          <w:sz w:val="22"/>
          <w:szCs w:val="22"/>
        </w:rPr>
      </w:pPr>
    </w:p>
    <w:p w14:paraId="05B8BCFD"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lastRenderedPageBreak/>
        <w:t>10.</w:t>
      </w:r>
      <w:r w:rsidRPr="006774D3">
        <w:rPr>
          <w:b/>
          <w:color w:val="000000"/>
          <w:sz w:val="22"/>
          <w:szCs w:val="22"/>
        </w:rPr>
        <w:tab/>
        <w:t>SÉRSTAKAR VARÚÐARRÁÐSTAFANIR VIÐ FÖRGUN LYFJALEIFA EÐA ÚRGANGS VEGNA LYFSINS ÞAR SEM VIÐ Á</w:t>
      </w:r>
    </w:p>
    <w:p w14:paraId="05B8BCFE" w14:textId="77777777" w:rsidR="00D363A7" w:rsidRPr="006774D3" w:rsidRDefault="00D363A7" w:rsidP="00F77C66">
      <w:pPr>
        <w:keepNext/>
        <w:rPr>
          <w:color w:val="000000"/>
          <w:sz w:val="22"/>
          <w:szCs w:val="22"/>
        </w:rPr>
      </w:pPr>
    </w:p>
    <w:p w14:paraId="05B8BCFF" w14:textId="77777777" w:rsidR="00D363A7" w:rsidRPr="006774D3" w:rsidRDefault="00D363A7" w:rsidP="00F77C66">
      <w:pPr>
        <w:rPr>
          <w:color w:val="000000"/>
          <w:sz w:val="22"/>
          <w:szCs w:val="22"/>
        </w:rPr>
      </w:pPr>
    </w:p>
    <w:p w14:paraId="05B8BD00"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11.</w:t>
      </w:r>
      <w:r w:rsidRPr="006774D3">
        <w:rPr>
          <w:b/>
          <w:color w:val="000000"/>
          <w:sz w:val="22"/>
          <w:szCs w:val="22"/>
        </w:rPr>
        <w:tab/>
        <w:t>NAFN OG HEIMILISFANG MARKAÐSLEYFISHAFA</w:t>
      </w:r>
    </w:p>
    <w:p w14:paraId="05B8BD01" w14:textId="77777777" w:rsidR="00D363A7" w:rsidRPr="006774D3" w:rsidRDefault="00D363A7" w:rsidP="00F77C66">
      <w:pPr>
        <w:rPr>
          <w:color w:val="000000"/>
          <w:sz w:val="22"/>
          <w:szCs w:val="22"/>
        </w:rPr>
      </w:pPr>
    </w:p>
    <w:p w14:paraId="05B8BD02" w14:textId="77777777" w:rsidR="00D363A7" w:rsidRPr="006774D3" w:rsidRDefault="00D363A7" w:rsidP="00F77C66">
      <w:pPr>
        <w:rPr>
          <w:color w:val="000000"/>
          <w:sz w:val="22"/>
          <w:szCs w:val="22"/>
        </w:rPr>
      </w:pPr>
      <w:r w:rsidRPr="006774D3">
        <w:rPr>
          <w:color w:val="000000"/>
          <w:sz w:val="22"/>
          <w:szCs w:val="22"/>
        </w:rPr>
        <w:t>Novartis Europharm Limited</w:t>
      </w:r>
    </w:p>
    <w:p w14:paraId="05B8BD03"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BD04"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BD05"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BD06" w14:textId="77777777" w:rsidR="00D363A7" w:rsidRPr="006774D3" w:rsidRDefault="00B3755B" w:rsidP="00F77C66">
      <w:pPr>
        <w:rPr>
          <w:color w:val="000000"/>
          <w:sz w:val="22"/>
          <w:szCs w:val="22"/>
        </w:rPr>
      </w:pPr>
      <w:r w:rsidRPr="006774D3">
        <w:rPr>
          <w:color w:val="000000"/>
          <w:sz w:val="22"/>
          <w:szCs w:val="22"/>
        </w:rPr>
        <w:t>Írland</w:t>
      </w:r>
    </w:p>
    <w:p w14:paraId="05B8BD07" w14:textId="77777777" w:rsidR="00D363A7" w:rsidRPr="006774D3" w:rsidRDefault="00D363A7" w:rsidP="00F77C66">
      <w:pPr>
        <w:rPr>
          <w:color w:val="000000"/>
          <w:sz w:val="22"/>
          <w:szCs w:val="22"/>
        </w:rPr>
      </w:pPr>
    </w:p>
    <w:p w14:paraId="05B8BD08" w14:textId="77777777" w:rsidR="00D363A7" w:rsidRPr="006774D3" w:rsidRDefault="00D363A7" w:rsidP="00F77C66">
      <w:pPr>
        <w:rPr>
          <w:color w:val="000000"/>
          <w:sz w:val="22"/>
          <w:szCs w:val="22"/>
        </w:rPr>
      </w:pPr>
    </w:p>
    <w:p w14:paraId="05B8BD09"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12.</w:t>
      </w:r>
      <w:r w:rsidRPr="006774D3">
        <w:rPr>
          <w:b/>
          <w:color w:val="000000"/>
          <w:sz w:val="22"/>
          <w:szCs w:val="22"/>
        </w:rPr>
        <w:tab/>
        <w:t>MARKAÐSLEYFISNÚMER</w:t>
      </w:r>
    </w:p>
    <w:p w14:paraId="05B8BD0A" w14:textId="77777777" w:rsidR="00D363A7" w:rsidRPr="006774D3" w:rsidRDefault="00D363A7" w:rsidP="00F77C66">
      <w:pPr>
        <w:rPr>
          <w:color w:val="000000"/>
          <w:sz w:val="22"/>
          <w:szCs w:val="22"/>
        </w:rPr>
      </w:pPr>
    </w:p>
    <w:p w14:paraId="05B8BD0B"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rPr>
        <w:t>EU/1/01/198/002</w:t>
      </w:r>
      <w:r w:rsidRPr="006774D3">
        <w:rPr>
          <w:color w:val="000000"/>
          <w:sz w:val="22"/>
          <w:szCs w:val="22"/>
        </w:rPr>
        <w:tab/>
      </w:r>
      <w:r w:rsidRPr="006774D3">
        <w:rPr>
          <w:color w:val="000000"/>
          <w:sz w:val="22"/>
          <w:szCs w:val="22"/>
          <w:shd w:val="clear" w:color="auto" w:fill="D9D9D9"/>
        </w:rPr>
        <w:t>24 hylki</w:t>
      </w:r>
    </w:p>
    <w:p w14:paraId="05B8BD0C"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shd w:val="clear" w:color="auto" w:fill="D9D9D9"/>
        </w:rPr>
        <w:t>EU/1/01/198/003</w:t>
      </w:r>
      <w:r w:rsidRPr="006774D3">
        <w:rPr>
          <w:color w:val="000000"/>
          <w:sz w:val="22"/>
          <w:szCs w:val="22"/>
          <w:shd w:val="clear" w:color="auto" w:fill="D9D9D9"/>
        </w:rPr>
        <w:tab/>
        <w:t>48 hylki</w:t>
      </w:r>
    </w:p>
    <w:p w14:paraId="05B8BD0D"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shd w:val="clear" w:color="auto" w:fill="D9D9D9"/>
        </w:rPr>
        <w:t>EU/1/01/198/004</w:t>
      </w:r>
      <w:r w:rsidRPr="006774D3">
        <w:rPr>
          <w:color w:val="000000"/>
          <w:sz w:val="22"/>
          <w:szCs w:val="22"/>
          <w:shd w:val="clear" w:color="auto" w:fill="D9D9D9"/>
        </w:rPr>
        <w:tab/>
        <w:t>96 hylki</w:t>
      </w:r>
    </w:p>
    <w:p w14:paraId="05B8BD0E"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shd w:val="clear" w:color="auto" w:fill="D9D9D9"/>
        </w:rPr>
        <w:t>EU/1/01/198/005</w:t>
      </w:r>
      <w:r w:rsidRPr="006774D3">
        <w:rPr>
          <w:color w:val="000000"/>
          <w:sz w:val="22"/>
          <w:szCs w:val="22"/>
          <w:shd w:val="clear" w:color="auto" w:fill="D9D9D9"/>
        </w:rPr>
        <w:tab/>
        <w:t>120 hylki</w:t>
      </w:r>
    </w:p>
    <w:p w14:paraId="05B8BD0F" w14:textId="77777777" w:rsidR="00D363A7" w:rsidRPr="006774D3" w:rsidRDefault="00D363A7" w:rsidP="00F77C66">
      <w:pPr>
        <w:tabs>
          <w:tab w:val="left" w:pos="2340"/>
        </w:tabs>
        <w:outlineLvl w:val="0"/>
        <w:rPr>
          <w:color w:val="000000"/>
          <w:sz w:val="22"/>
          <w:szCs w:val="22"/>
          <w:shd w:val="clear" w:color="auto" w:fill="D9D9D9"/>
        </w:rPr>
      </w:pPr>
      <w:r w:rsidRPr="006774D3">
        <w:rPr>
          <w:color w:val="000000"/>
          <w:sz w:val="22"/>
          <w:szCs w:val="22"/>
          <w:shd w:val="clear" w:color="auto" w:fill="D9D9D9"/>
        </w:rPr>
        <w:t>EU/1/01/198/006</w:t>
      </w:r>
      <w:r w:rsidRPr="006774D3">
        <w:rPr>
          <w:color w:val="000000"/>
          <w:sz w:val="22"/>
          <w:szCs w:val="22"/>
          <w:shd w:val="clear" w:color="auto" w:fill="D9D9D9"/>
        </w:rPr>
        <w:tab/>
        <w:t>180 hylki</w:t>
      </w:r>
    </w:p>
    <w:p w14:paraId="05B8BD10" w14:textId="77777777" w:rsidR="00D363A7" w:rsidRPr="006774D3" w:rsidRDefault="00D363A7" w:rsidP="00F77C66">
      <w:pPr>
        <w:outlineLvl w:val="0"/>
        <w:rPr>
          <w:color w:val="000000"/>
          <w:sz w:val="22"/>
          <w:szCs w:val="22"/>
        </w:rPr>
      </w:pPr>
    </w:p>
    <w:p w14:paraId="05B8BD11" w14:textId="77777777" w:rsidR="00D363A7" w:rsidRPr="006774D3" w:rsidRDefault="00D363A7" w:rsidP="00F77C66">
      <w:pPr>
        <w:rPr>
          <w:color w:val="000000"/>
          <w:sz w:val="22"/>
          <w:szCs w:val="22"/>
        </w:rPr>
      </w:pPr>
    </w:p>
    <w:p w14:paraId="05B8BD12"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13.</w:t>
      </w:r>
      <w:r w:rsidRPr="006774D3">
        <w:rPr>
          <w:b/>
          <w:color w:val="000000"/>
          <w:sz w:val="22"/>
          <w:szCs w:val="22"/>
        </w:rPr>
        <w:tab/>
        <w:t>LOTUNÚMER</w:t>
      </w:r>
    </w:p>
    <w:p w14:paraId="05B8BD13" w14:textId="77777777" w:rsidR="00D363A7" w:rsidRPr="006774D3" w:rsidRDefault="00D363A7" w:rsidP="00F77C66">
      <w:pPr>
        <w:rPr>
          <w:color w:val="000000"/>
          <w:sz w:val="22"/>
          <w:szCs w:val="22"/>
        </w:rPr>
      </w:pPr>
    </w:p>
    <w:p w14:paraId="05B8BD14" w14:textId="77777777" w:rsidR="00D363A7" w:rsidRPr="006774D3" w:rsidRDefault="00D363A7" w:rsidP="00F77C66">
      <w:pPr>
        <w:outlineLvl w:val="0"/>
        <w:rPr>
          <w:color w:val="000000"/>
          <w:sz w:val="22"/>
          <w:szCs w:val="22"/>
        </w:rPr>
      </w:pPr>
      <w:r w:rsidRPr="006774D3">
        <w:rPr>
          <w:color w:val="000000"/>
          <w:sz w:val="22"/>
          <w:szCs w:val="22"/>
        </w:rPr>
        <w:t>Lotunr.</w:t>
      </w:r>
    </w:p>
    <w:p w14:paraId="05B8BD15" w14:textId="77777777" w:rsidR="00D363A7" w:rsidRPr="006774D3" w:rsidRDefault="00D363A7" w:rsidP="00F77C66">
      <w:pPr>
        <w:outlineLvl w:val="0"/>
        <w:rPr>
          <w:color w:val="000000"/>
          <w:sz w:val="22"/>
          <w:szCs w:val="22"/>
        </w:rPr>
      </w:pPr>
    </w:p>
    <w:p w14:paraId="05B8BD16" w14:textId="77777777" w:rsidR="00D363A7" w:rsidRPr="006774D3" w:rsidRDefault="00D363A7" w:rsidP="00F77C66">
      <w:pPr>
        <w:rPr>
          <w:color w:val="000000"/>
          <w:sz w:val="22"/>
          <w:szCs w:val="22"/>
        </w:rPr>
      </w:pPr>
    </w:p>
    <w:p w14:paraId="05B8BD17"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14.</w:t>
      </w:r>
      <w:r w:rsidRPr="006774D3">
        <w:rPr>
          <w:b/>
          <w:color w:val="000000"/>
          <w:sz w:val="22"/>
          <w:szCs w:val="22"/>
        </w:rPr>
        <w:tab/>
        <w:t>AFGREIÐSLUTILHÖGUN</w:t>
      </w:r>
    </w:p>
    <w:p w14:paraId="05B8BD18" w14:textId="77777777" w:rsidR="00D363A7" w:rsidRPr="006774D3" w:rsidRDefault="00D363A7" w:rsidP="00F77C66">
      <w:pPr>
        <w:rPr>
          <w:color w:val="000000"/>
          <w:sz w:val="22"/>
          <w:szCs w:val="22"/>
        </w:rPr>
      </w:pPr>
    </w:p>
    <w:p w14:paraId="05B8BD19" w14:textId="77777777" w:rsidR="00D363A7" w:rsidRPr="006774D3" w:rsidRDefault="00D363A7" w:rsidP="00F77C66">
      <w:pPr>
        <w:rPr>
          <w:color w:val="000000"/>
          <w:sz w:val="22"/>
          <w:szCs w:val="22"/>
        </w:rPr>
      </w:pPr>
    </w:p>
    <w:p w14:paraId="05B8BD1A"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15.</w:t>
      </w:r>
      <w:r w:rsidRPr="006774D3">
        <w:rPr>
          <w:b/>
          <w:color w:val="000000"/>
          <w:sz w:val="22"/>
          <w:szCs w:val="22"/>
        </w:rPr>
        <w:tab/>
        <w:t>NOTKUNARLEIÐBEININGAR</w:t>
      </w:r>
    </w:p>
    <w:p w14:paraId="05B8BD1B" w14:textId="77777777" w:rsidR="00D363A7" w:rsidRPr="006774D3" w:rsidRDefault="00D363A7" w:rsidP="00F77C66">
      <w:pPr>
        <w:shd w:val="clear" w:color="auto" w:fill="FFFFFF"/>
        <w:rPr>
          <w:color w:val="000000"/>
          <w:sz w:val="22"/>
          <w:szCs w:val="22"/>
        </w:rPr>
      </w:pPr>
    </w:p>
    <w:p w14:paraId="05B8BD1C" w14:textId="77777777" w:rsidR="00D363A7" w:rsidRPr="006774D3" w:rsidRDefault="00D363A7" w:rsidP="00F77C66">
      <w:pPr>
        <w:shd w:val="clear" w:color="auto" w:fill="FFFFFF"/>
        <w:rPr>
          <w:color w:val="000000"/>
          <w:sz w:val="22"/>
          <w:szCs w:val="22"/>
        </w:rPr>
      </w:pPr>
    </w:p>
    <w:p w14:paraId="05B8BD1D"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16.</w:t>
      </w:r>
      <w:r w:rsidRPr="006774D3">
        <w:rPr>
          <w:b/>
          <w:color w:val="000000"/>
          <w:sz w:val="22"/>
          <w:szCs w:val="22"/>
        </w:rPr>
        <w:tab/>
        <w:t>UPPLÝSINGAR MEÐ BLINDRALETRI</w:t>
      </w:r>
    </w:p>
    <w:p w14:paraId="05B8BD1E" w14:textId="77777777" w:rsidR="00D363A7" w:rsidRPr="006774D3" w:rsidRDefault="00D363A7" w:rsidP="00F77C66">
      <w:pPr>
        <w:shd w:val="clear" w:color="auto" w:fill="FFFFFF"/>
        <w:rPr>
          <w:color w:val="000000"/>
          <w:sz w:val="22"/>
          <w:szCs w:val="22"/>
        </w:rPr>
      </w:pPr>
    </w:p>
    <w:p w14:paraId="05B8BD1F" w14:textId="77777777" w:rsidR="00D363A7" w:rsidRPr="006774D3" w:rsidRDefault="00D363A7" w:rsidP="00F77C66">
      <w:pPr>
        <w:shd w:val="clear" w:color="auto" w:fill="FFFFFF"/>
        <w:rPr>
          <w:color w:val="000000"/>
          <w:sz w:val="22"/>
          <w:szCs w:val="22"/>
        </w:rPr>
      </w:pPr>
      <w:r w:rsidRPr="006774D3">
        <w:rPr>
          <w:color w:val="000000"/>
          <w:sz w:val="22"/>
          <w:szCs w:val="22"/>
        </w:rPr>
        <w:t>Glivec 100 mg</w:t>
      </w:r>
    </w:p>
    <w:p w14:paraId="05B8BD20" w14:textId="77777777" w:rsidR="00B47A54" w:rsidRPr="006774D3" w:rsidRDefault="00B47A54" w:rsidP="00F77C66">
      <w:pPr>
        <w:tabs>
          <w:tab w:val="left" w:pos="567"/>
        </w:tabs>
        <w:rPr>
          <w:color w:val="000000"/>
          <w:sz w:val="22"/>
          <w:szCs w:val="22"/>
        </w:rPr>
      </w:pPr>
    </w:p>
    <w:p w14:paraId="05B8BD21"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D23" w14:textId="77777777" w:rsidTr="00552F50">
        <w:tc>
          <w:tcPr>
            <w:tcW w:w="9287" w:type="dxa"/>
          </w:tcPr>
          <w:p w14:paraId="05B8BD22" w14:textId="77777777" w:rsidR="00B47A54" w:rsidRPr="006774D3" w:rsidRDefault="00B47A54" w:rsidP="00F77C66">
            <w:pPr>
              <w:rPr>
                <w:b/>
                <w:sz w:val="22"/>
                <w:szCs w:val="22"/>
              </w:rPr>
            </w:pPr>
            <w:r w:rsidRPr="006774D3">
              <w:rPr>
                <w:b/>
                <w:sz w:val="22"/>
                <w:szCs w:val="22"/>
              </w:rPr>
              <w:t>17.</w:t>
            </w:r>
            <w:r w:rsidRPr="006774D3">
              <w:rPr>
                <w:b/>
                <w:sz w:val="22"/>
                <w:szCs w:val="22"/>
              </w:rPr>
              <w:tab/>
              <w:t>EINKVÆMT AUÐKENNI – TVÍVÍTT STRIKAMERKI</w:t>
            </w:r>
          </w:p>
        </w:tc>
      </w:tr>
    </w:tbl>
    <w:p w14:paraId="05B8BD24" w14:textId="77777777" w:rsidR="00B47A54" w:rsidRPr="006774D3" w:rsidRDefault="00B47A54" w:rsidP="00F77C66">
      <w:pPr>
        <w:rPr>
          <w:sz w:val="22"/>
          <w:szCs w:val="22"/>
        </w:rPr>
      </w:pPr>
    </w:p>
    <w:p w14:paraId="05B8BD25" w14:textId="77777777" w:rsidR="00B47A54" w:rsidRPr="006774D3" w:rsidRDefault="00B47A54" w:rsidP="00F77C66">
      <w:pPr>
        <w:rPr>
          <w:sz w:val="22"/>
          <w:szCs w:val="22"/>
        </w:rPr>
      </w:pPr>
      <w:r w:rsidRPr="006774D3">
        <w:rPr>
          <w:sz w:val="22"/>
          <w:szCs w:val="22"/>
          <w:shd w:val="pct15" w:color="auto" w:fill="auto"/>
        </w:rPr>
        <w:t>Á pakkningunni er tvívítt strikamerki með einkvæmu auðkenni.</w:t>
      </w:r>
    </w:p>
    <w:p w14:paraId="05B8BD26" w14:textId="77777777" w:rsidR="00B47A54" w:rsidRPr="006774D3" w:rsidRDefault="00B47A54" w:rsidP="00F77C66">
      <w:pPr>
        <w:rPr>
          <w:sz w:val="22"/>
          <w:szCs w:val="22"/>
        </w:rPr>
      </w:pPr>
    </w:p>
    <w:p w14:paraId="05B8BD27"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D29" w14:textId="77777777" w:rsidTr="00552F50">
        <w:tc>
          <w:tcPr>
            <w:tcW w:w="9287" w:type="dxa"/>
          </w:tcPr>
          <w:p w14:paraId="05B8BD28" w14:textId="77777777" w:rsidR="00B47A54" w:rsidRPr="006774D3" w:rsidRDefault="00B47A54" w:rsidP="00F77C66">
            <w:pPr>
              <w:rPr>
                <w:b/>
                <w:sz w:val="22"/>
                <w:szCs w:val="22"/>
              </w:rPr>
            </w:pPr>
            <w:r w:rsidRPr="006774D3">
              <w:rPr>
                <w:b/>
                <w:sz w:val="22"/>
                <w:szCs w:val="22"/>
              </w:rPr>
              <w:t>18.</w:t>
            </w:r>
            <w:r w:rsidRPr="006774D3">
              <w:rPr>
                <w:b/>
                <w:sz w:val="22"/>
                <w:szCs w:val="22"/>
              </w:rPr>
              <w:tab/>
              <w:t>EINKVÆMT AUÐKENNI – UPPLÝSINGAR SEM FÓLK GETUR LESIÐ</w:t>
            </w:r>
          </w:p>
        </w:tc>
      </w:tr>
    </w:tbl>
    <w:p w14:paraId="05B8BD2A" w14:textId="77777777" w:rsidR="00B47A54" w:rsidRPr="006774D3" w:rsidRDefault="00B47A54" w:rsidP="00F77C66">
      <w:pPr>
        <w:rPr>
          <w:sz w:val="22"/>
          <w:szCs w:val="22"/>
        </w:rPr>
      </w:pPr>
    </w:p>
    <w:p w14:paraId="05B8BD2B" w14:textId="77777777" w:rsidR="00B47A54" w:rsidRPr="006774D3" w:rsidRDefault="00B47A54" w:rsidP="00F77C66">
      <w:pPr>
        <w:rPr>
          <w:sz w:val="22"/>
          <w:szCs w:val="22"/>
        </w:rPr>
      </w:pPr>
      <w:r w:rsidRPr="006774D3">
        <w:rPr>
          <w:sz w:val="22"/>
          <w:szCs w:val="22"/>
        </w:rPr>
        <w:t>PC:</w:t>
      </w:r>
    </w:p>
    <w:p w14:paraId="05B8BD2C" w14:textId="77777777" w:rsidR="00B47A54" w:rsidRPr="006774D3" w:rsidRDefault="00B47A54" w:rsidP="00F77C66">
      <w:pPr>
        <w:rPr>
          <w:sz w:val="22"/>
          <w:szCs w:val="22"/>
        </w:rPr>
      </w:pPr>
      <w:r w:rsidRPr="006774D3">
        <w:rPr>
          <w:sz w:val="22"/>
          <w:szCs w:val="22"/>
        </w:rPr>
        <w:t>SN:</w:t>
      </w:r>
    </w:p>
    <w:p w14:paraId="05B8BD2D" w14:textId="77777777" w:rsidR="00B47A54" w:rsidRPr="006774D3" w:rsidRDefault="00B47A54" w:rsidP="00F77C66">
      <w:pPr>
        <w:rPr>
          <w:sz w:val="22"/>
          <w:szCs w:val="22"/>
        </w:rPr>
      </w:pPr>
      <w:r w:rsidRPr="006774D3">
        <w:rPr>
          <w:sz w:val="22"/>
          <w:szCs w:val="22"/>
        </w:rPr>
        <w:t>NN:</w:t>
      </w:r>
    </w:p>
    <w:p w14:paraId="05B8BD2E" w14:textId="77777777" w:rsidR="00D363A7" w:rsidRPr="006774D3" w:rsidRDefault="00D363A7" w:rsidP="00F77C66">
      <w:pPr>
        <w:shd w:val="clear" w:color="auto" w:fill="FFFFFF"/>
        <w:rPr>
          <w:color w:val="000000"/>
          <w:sz w:val="22"/>
          <w:szCs w:val="22"/>
        </w:rPr>
      </w:pPr>
    </w:p>
    <w:p w14:paraId="05B8BD2F" w14:textId="77777777" w:rsidR="00D363A7" w:rsidRPr="006774D3" w:rsidRDefault="00D363A7" w:rsidP="00F77C66">
      <w:pPr>
        <w:rPr>
          <w:bCs/>
          <w:color w:val="000000"/>
          <w:sz w:val="22"/>
          <w:szCs w:val="22"/>
        </w:rPr>
      </w:pPr>
      <w:r w:rsidRPr="006774D3">
        <w:rPr>
          <w:color w:val="000000"/>
          <w:sz w:val="22"/>
          <w:szCs w:val="22"/>
        </w:rPr>
        <w:br w:type="page"/>
      </w:r>
    </w:p>
    <w:p w14:paraId="05B8BD30" w14:textId="77777777" w:rsidR="00FA5D6F" w:rsidRPr="006774D3" w:rsidRDefault="00FA5D6F" w:rsidP="00FA5D6F">
      <w:pPr>
        <w:rPr>
          <w:color w:val="000000"/>
          <w:sz w:val="22"/>
          <w:szCs w:val="22"/>
        </w:rPr>
      </w:pPr>
    </w:p>
    <w:p w14:paraId="05B8BD31"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LÁGMARKS UPPLÝSINGAR SEM SKULU KOMA FRAM Á ÞYNNUM EÐA STRIMLUM</w:t>
      </w:r>
    </w:p>
    <w:p w14:paraId="05B8BD32"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D33"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ÞYNNUR</w:t>
      </w:r>
    </w:p>
    <w:p w14:paraId="05B8BD34" w14:textId="77777777" w:rsidR="00D363A7" w:rsidRPr="006774D3" w:rsidRDefault="00D363A7" w:rsidP="00F77C66">
      <w:pPr>
        <w:rPr>
          <w:color w:val="000000"/>
          <w:sz w:val="22"/>
          <w:szCs w:val="22"/>
        </w:rPr>
      </w:pPr>
    </w:p>
    <w:p w14:paraId="05B8BD35" w14:textId="77777777" w:rsidR="00D363A7" w:rsidRPr="006774D3" w:rsidRDefault="00D363A7" w:rsidP="00F77C66">
      <w:pPr>
        <w:rPr>
          <w:color w:val="000000"/>
          <w:sz w:val="22"/>
          <w:szCs w:val="22"/>
        </w:rPr>
      </w:pPr>
    </w:p>
    <w:p w14:paraId="05B8BD3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D37" w14:textId="77777777" w:rsidR="00D363A7" w:rsidRPr="006774D3" w:rsidRDefault="00D363A7" w:rsidP="00F77C66">
      <w:pPr>
        <w:rPr>
          <w:color w:val="000000"/>
          <w:sz w:val="22"/>
          <w:szCs w:val="22"/>
        </w:rPr>
      </w:pPr>
    </w:p>
    <w:p w14:paraId="05B8BD38" w14:textId="77777777" w:rsidR="00D363A7" w:rsidRPr="006774D3" w:rsidRDefault="00D363A7" w:rsidP="00F77C66">
      <w:pPr>
        <w:rPr>
          <w:color w:val="000000"/>
          <w:sz w:val="22"/>
          <w:szCs w:val="22"/>
        </w:rPr>
      </w:pPr>
      <w:r w:rsidRPr="006774D3">
        <w:rPr>
          <w:color w:val="000000"/>
          <w:sz w:val="22"/>
          <w:szCs w:val="22"/>
        </w:rPr>
        <w:t>Glivec 100 mg hylki</w:t>
      </w:r>
    </w:p>
    <w:p w14:paraId="05B8BD39" w14:textId="77777777" w:rsidR="00D363A7" w:rsidRPr="006774D3" w:rsidRDefault="003A7308" w:rsidP="00F77C66">
      <w:pPr>
        <w:rPr>
          <w:color w:val="000000"/>
          <w:sz w:val="22"/>
          <w:szCs w:val="22"/>
        </w:rPr>
      </w:pPr>
      <w:r w:rsidRPr="006774D3">
        <w:rPr>
          <w:color w:val="000000"/>
          <w:sz w:val="22"/>
          <w:szCs w:val="22"/>
        </w:rPr>
        <w:t>i</w:t>
      </w:r>
      <w:r w:rsidR="00D363A7" w:rsidRPr="006774D3">
        <w:rPr>
          <w:color w:val="000000"/>
          <w:sz w:val="22"/>
          <w:szCs w:val="22"/>
        </w:rPr>
        <w:t>matinib</w:t>
      </w:r>
    </w:p>
    <w:p w14:paraId="05B8BD3A" w14:textId="77777777" w:rsidR="00D363A7" w:rsidRPr="006774D3" w:rsidRDefault="00D363A7" w:rsidP="00F77C66">
      <w:pPr>
        <w:rPr>
          <w:color w:val="000000"/>
          <w:sz w:val="22"/>
          <w:szCs w:val="22"/>
        </w:rPr>
      </w:pPr>
    </w:p>
    <w:p w14:paraId="05B8BD3B" w14:textId="77777777" w:rsidR="00D363A7" w:rsidRPr="006774D3" w:rsidRDefault="00D363A7" w:rsidP="00F77C66">
      <w:pPr>
        <w:rPr>
          <w:color w:val="000000"/>
          <w:sz w:val="22"/>
          <w:szCs w:val="22"/>
        </w:rPr>
      </w:pPr>
    </w:p>
    <w:p w14:paraId="05B8BD3C"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NAFN MARKAÐSLEYFISHAFA</w:t>
      </w:r>
    </w:p>
    <w:p w14:paraId="05B8BD3D" w14:textId="77777777" w:rsidR="00D363A7" w:rsidRPr="006774D3" w:rsidRDefault="00D363A7" w:rsidP="00F77C66">
      <w:pPr>
        <w:rPr>
          <w:color w:val="000000"/>
          <w:sz w:val="22"/>
          <w:szCs w:val="22"/>
        </w:rPr>
      </w:pPr>
    </w:p>
    <w:p w14:paraId="05B8BD3E" w14:textId="77777777" w:rsidR="00D363A7" w:rsidRPr="006774D3" w:rsidRDefault="00D363A7" w:rsidP="00F77C66">
      <w:pPr>
        <w:rPr>
          <w:color w:val="000000"/>
          <w:sz w:val="22"/>
          <w:szCs w:val="22"/>
        </w:rPr>
      </w:pPr>
      <w:r w:rsidRPr="006774D3">
        <w:rPr>
          <w:color w:val="000000"/>
          <w:sz w:val="22"/>
          <w:szCs w:val="22"/>
        </w:rPr>
        <w:t>Novartis Europharm Limited</w:t>
      </w:r>
    </w:p>
    <w:p w14:paraId="05B8BD3F" w14:textId="77777777" w:rsidR="00D363A7" w:rsidRPr="006774D3" w:rsidRDefault="00D363A7" w:rsidP="00F77C66">
      <w:pPr>
        <w:rPr>
          <w:color w:val="000000"/>
          <w:sz w:val="22"/>
          <w:szCs w:val="22"/>
        </w:rPr>
      </w:pPr>
    </w:p>
    <w:p w14:paraId="05B8BD40" w14:textId="77777777" w:rsidR="00D363A7" w:rsidRPr="006774D3" w:rsidRDefault="00D363A7" w:rsidP="00F77C66">
      <w:pPr>
        <w:rPr>
          <w:color w:val="000000"/>
          <w:sz w:val="22"/>
          <w:szCs w:val="22"/>
        </w:rPr>
      </w:pPr>
    </w:p>
    <w:p w14:paraId="05B8BD41"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FYRNINGARDAGSETNING</w:t>
      </w:r>
    </w:p>
    <w:p w14:paraId="05B8BD42" w14:textId="77777777" w:rsidR="00D363A7" w:rsidRPr="006774D3" w:rsidRDefault="00D363A7" w:rsidP="00F77C66">
      <w:pPr>
        <w:rPr>
          <w:color w:val="000000"/>
          <w:sz w:val="22"/>
          <w:szCs w:val="22"/>
        </w:rPr>
      </w:pPr>
    </w:p>
    <w:p w14:paraId="05B8BD43" w14:textId="77777777" w:rsidR="00D363A7" w:rsidRPr="006774D3" w:rsidRDefault="00D363A7" w:rsidP="00F77C66">
      <w:pPr>
        <w:outlineLvl w:val="0"/>
        <w:rPr>
          <w:color w:val="000000"/>
          <w:sz w:val="22"/>
          <w:szCs w:val="22"/>
        </w:rPr>
      </w:pPr>
      <w:r w:rsidRPr="006774D3">
        <w:rPr>
          <w:color w:val="000000"/>
          <w:sz w:val="22"/>
          <w:szCs w:val="22"/>
        </w:rPr>
        <w:t>EXP</w:t>
      </w:r>
    </w:p>
    <w:p w14:paraId="05B8BD44" w14:textId="77777777" w:rsidR="00D363A7" w:rsidRPr="006774D3" w:rsidRDefault="00D363A7" w:rsidP="00F77C66">
      <w:pPr>
        <w:outlineLvl w:val="0"/>
        <w:rPr>
          <w:color w:val="000000"/>
          <w:sz w:val="22"/>
          <w:szCs w:val="22"/>
        </w:rPr>
      </w:pPr>
    </w:p>
    <w:p w14:paraId="05B8BD45" w14:textId="77777777" w:rsidR="00D363A7" w:rsidRPr="006774D3" w:rsidRDefault="00D363A7" w:rsidP="00F77C66">
      <w:pPr>
        <w:rPr>
          <w:color w:val="000000"/>
          <w:sz w:val="22"/>
          <w:szCs w:val="22"/>
        </w:rPr>
      </w:pPr>
    </w:p>
    <w:p w14:paraId="05B8BD4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LOTUNÚMER</w:t>
      </w:r>
    </w:p>
    <w:p w14:paraId="05B8BD47" w14:textId="77777777" w:rsidR="00D363A7" w:rsidRPr="006774D3" w:rsidRDefault="00D363A7" w:rsidP="00F77C66">
      <w:pPr>
        <w:rPr>
          <w:color w:val="000000"/>
          <w:sz w:val="22"/>
          <w:szCs w:val="22"/>
        </w:rPr>
      </w:pPr>
    </w:p>
    <w:p w14:paraId="05B8BD48" w14:textId="77777777" w:rsidR="00D363A7" w:rsidRPr="006774D3" w:rsidRDefault="00D363A7" w:rsidP="00F77C66">
      <w:pPr>
        <w:outlineLvl w:val="0"/>
        <w:rPr>
          <w:color w:val="000000"/>
          <w:sz w:val="22"/>
          <w:szCs w:val="22"/>
        </w:rPr>
      </w:pPr>
      <w:r w:rsidRPr="006774D3">
        <w:rPr>
          <w:color w:val="000000"/>
          <w:sz w:val="22"/>
          <w:szCs w:val="22"/>
        </w:rPr>
        <w:t>Lot</w:t>
      </w:r>
    </w:p>
    <w:p w14:paraId="05B8BD49" w14:textId="77777777" w:rsidR="00D363A7" w:rsidRPr="006774D3" w:rsidRDefault="00D363A7" w:rsidP="00F77C66">
      <w:pPr>
        <w:rPr>
          <w:color w:val="000000"/>
          <w:sz w:val="22"/>
          <w:szCs w:val="22"/>
        </w:rPr>
      </w:pPr>
    </w:p>
    <w:p w14:paraId="05B8BD4A" w14:textId="77777777" w:rsidR="00D363A7" w:rsidRPr="006774D3" w:rsidRDefault="00D363A7" w:rsidP="00F77C66">
      <w:pPr>
        <w:rPr>
          <w:color w:val="000000"/>
          <w:sz w:val="22"/>
          <w:szCs w:val="22"/>
        </w:rPr>
      </w:pPr>
    </w:p>
    <w:p w14:paraId="05B8BD4B"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ANNAÐ</w:t>
      </w:r>
    </w:p>
    <w:p w14:paraId="05B8BD4C" w14:textId="77777777" w:rsidR="00D363A7" w:rsidRPr="006774D3" w:rsidRDefault="00D363A7" w:rsidP="00F77C66">
      <w:pPr>
        <w:shd w:val="clear" w:color="auto" w:fill="FFFFFF"/>
        <w:rPr>
          <w:color w:val="000000"/>
          <w:sz w:val="22"/>
          <w:szCs w:val="22"/>
        </w:rPr>
      </w:pPr>
    </w:p>
    <w:p w14:paraId="05B8BD4D" w14:textId="77777777" w:rsidR="00D363A7" w:rsidRPr="006774D3" w:rsidRDefault="00D363A7" w:rsidP="00F77C66">
      <w:pPr>
        <w:shd w:val="clear" w:color="auto" w:fill="FFFFFF"/>
        <w:rPr>
          <w:color w:val="000000"/>
          <w:sz w:val="22"/>
          <w:szCs w:val="22"/>
        </w:rPr>
      </w:pPr>
      <w:r w:rsidRPr="006774D3">
        <w:rPr>
          <w:color w:val="000000"/>
          <w:sz w:val="22"/>
          <w:szCs w:val="22"/>
        </w:rPr>
        <w:br w:type="page"/>
      </w:r>
    </w:p>
    <w:p w14:paraId="05B8BD4E" w14:textId="77777777" w:rsidR="00FA5D6F" w:rsidRPr="006774D3" w:rsidRDefault="00FA5D6F" w:rsidP="00FA5D6F">
      <w:pPr>
        <w:rPr>
          <w:color w:val="000000"/>
          <w:sz w:val="22"/>
          <w:szCs w:val="22"/>
        </w:rPr>
      </w:pPr>
    </w:p>
    <w:p w14:paraId="05B8BD4F"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UPPLÝSINGAR SEM EIGA AÐ KOMA FRAM Á YTRI UMBÚÐUM</w:t>
      </w:r>
    </w:p>
    <w:p w14:paraId="05B8BD50"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D51"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aps/>
          <w:color w:val="000000"/>
          <w:sz w:val="22"/>
          <w:szCs w:val="22"/>
        </w:rPr>
      </w:pPr>
      <w:r w:rsidRPr="006774D3">
        <w:rPr>
          <w:b/>
          <w:caps/>
          <w:color w:val="000000"/>
          <w:sz w:val="22"/>
          <w:szCs w:val="22"/>
        </w:rPr>
        <w:t>askja</w:t>
      </w:r>
    </w:p>
    <w:p w14:paraId="05B8BD52" w14:textId="77777777" w:rsidR="00D363A7" w:rsidRPr="006774D3" w:rsidRDefault="00D363A7" w:rsidP="00F77C66">
      <w:pPr>
        <w:rPr>
          <w:color w:val="000000"/>
          <w:sz w:val="22"/>
          <w:szCs w:val="22"/>
        </w:rPr>
      </w:pPr>
    </w:p>
    <w:p w14:paraId="05B8BD53" w14:textId="77777777" w:rsidR="00D363A7" w:rsidRPr="006774D3" w:rsidRDefault="00D363A7" w:rsidP="00F77C66">
      <w:pPr>
        <w:rPr>
          <w:color w:val="000000"/>
          <w:sz w:val="22"/>
          <w:szCs w:val="22"/>
        </w:rPr>
      </w:pPr>
    </w:p>
    <w:p w14:paraId="05B8BD54"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D55" w14:textId="77777777" w:rsidR="00D363A7" w:rsidRPr="006774D3" w:rsidRDefault="00D363A7" w:rsidP="00F77C66">
      <w:pPr>
        <w:rPr>
          <w:color w:val="000000"/>
          <w:sz w:val="22"/>
          <w:szCs w:val="22"/>
        </w:rPr>
      </w:pPr>
    </w:p>
    <w:p w14:paraId="05B8BD56" w14:textId="77777777" w:rsidR="00D363A7" w:rsidRPr="006774D3" w:rsidRDefault="00D363A7" w:rsidP="00F77C66">
      <w:pPr>
        <w:pStyle w:val="EndnoteText"/>
        <w:spacing w:before="0" w:after="0"/>
        <w:rPr>
          <w:color w:val="000000"/>
          <w:sz w:val="22"/>
          <w:szCs w:val="22"/>
          <w:lang w:val="is-IS"/>
        </w:rPr>
      </w:pPr>
      <w:r w:rsidRPr="006774D3">
        <w:rPr>
          <w:color w:val="000000"/>
          <w:sz w:val="22"/>
          <w:szCs w:val="22"/>
          <w:lang w:val="is-IS"/>
        </w:rPr>
        <w:t>Glivec 100 mg filmuhúðaðar töflur</w:t>
      </w:r>
    </w:p>
    <w:p w14:paraId="05B8BD57" w14:textId="77777777" w:rsidR="00D363A7" w:rsidRPr="006774D3" w:rsidRDefault="003A7308" w:rsidP="00F77C66">
      <w:pPr>
        <w:pStyle w:val="EndnoteText"/>
        <w:spacing w:before="0" w:after="0"/>
        <w:rPr>
          <w:color w:val="000000"/>
          <w:sz w:val="22"/>
          <w:szCs w:val="22"/>
          <w:lang w:val="is-IS"/>
        </w:rPr>
      </w:pPr>
      <w:r w:rsidRPr="006774D3">
        <w:rPr>
          <w:color w:val="000000"/>
          <w:sz w:val="22"/>
          <w:szCs w:val="22"/>
          <w:lang w:val="is-IS"/>
        </w:rPr>
        <w:t>i</w:t>
      </w:r>
      <w:r w:rsidR="00D363A7" w:rsidRPr="006774D3">
        <w:rPr>
          <w:color w:val="000000"/>
          <w:sz w:val="22"/>
          <w:szCs w:val="22"/>
          <w:lang w:val="is-IS"/>
        </w:rPr>
        <w:t>matinib</w:t>
      </w:r>
    </w:p>
    <w:p w14:paraId="05B8BD58" w14:textId="77777777" w:rsidR="00D363A7" w:rsidRPr="006774D3" w:rsidRDefault="00D363A7" w:rsidP="00F77C66">
      <w:pPr>
        <w:pStyle w:val="EndnoteText"/>
        <w:spacing w:before="0" w:after="0"/>
        <w:rPr>
          <w:color w:val="000000"/>
          <w:sz w:val="22"/>
          <w:szCs w:val="22"/>
          <w:lang w:val="is-IS"/>
        </w:rPr>
      </w:pPr>
    </w:p>
    <w:p w14:paraId="05B8BD59" w14:textId="77777777" w:rsidR="00D363A7" w:rsidRPr="006774D3" w:rsidRDefault="00D363A7" w:rsidP="00F77C66">
      <w:pPr>
        <w:rPr>
          <w:color w:val="000000"/>
          <w:sz w:val="22"/>
          <w:szCs w:val="22"/>
        </w:rPr>
      </w:pPr>
    </w:p>
    <w:p w14:paraId="05B8BD5A"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VIRK(T) EFNI</w:t>
      </w:r>
    </w:p>
    <w:p w14:paraId="05B8BD5B" w14:textId="77777777" w:rsidR="00D363A7" w:rsidRPr="006774D3" w:rsidRDefault="00D363A7" w:rsidP="00F77C66">
      <w:pPr>
        <w:rPr>
          <w:color w:val="000000"/>
          <w:sz w:val="22"/>
          <w:szCs w:val="22"/>
        </w:rPr>
      </w:pPr>
    </w:p>
    <w:p w14:paraId="05B8BD5C" w14:textId="77777777" w:rsidR="00D363A7" w:rsidRPr="006774D3" w:rsidRDefault="00D363A7" w:rsidP="00F77C66">
      <w:pPr>
        <w:rPr>
          <w:color w:val="000000"/>
          <w:sz w:val="22"/>
          <w:szCs w:val="22"/>
        </w:rPr>
      </w:pPr>
      <w:r w:rsidRPr="006774D3">
        <w:rPr>
          <w:color w:val="000000"/>
          <w:sz w:val="22"/>
          <w:szCs w:val="22"/>
        </w:rPr>
        <w:t>Hver filmuhúðuð tafla inniheldur imatinib 100 mg (sem mesilat).</w:t>
      </w:r>
    </w:p>
    <w:p w14:paraId="05B8BD5D" w14:textId="77777777" w:rsidR="00D363A7" w:rsidRPr="006774D3" w:rsidRDefault="00D363A7" w:rsidP="00F77C66">
      <w:pPr>
        <w:rPr>
          <w:color w:val="000000"/>
          <w:sz w:val="22"/>
          <w:szCs w:val="22"/>
        </w:rPr>
      </w:pPr>
    </w:p>
    <w:p w14:paraId="05B8BD5E" w14:textId="77777777" w:rsidR="00D363A7" w:rsidRPr="006774D3" w:rsidRDefault="00D363A7" w:rsidP="00F77C66">
      <w:pPr>
        <w:rPr>
          <w:color w:val="000000"/>
          <w:sz w:val="22"/>
          <w:szCs w:val="22"/>
        </w:rPr>
      </w:pPr>
    </w:p>
    <w:p w14:paraId="05B8BD5F"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HJÁLPAREFNI</w:t>
      </w:r>
    </w:p>
    <w:p w14:paraId="05B8BD60" w14:textId="77777777" w:rsidR="00D363A7" w:rsidRPr="006774D3" w:rsidRDefault="00D363A7" w:rsidP="00F77C66">
      <w:pPr>
        <w:rPr>
          <w:color w:val="000000"/>
          <w:sz w:val="22"/>
          <w:szCs w:val="22"/>
        </w:rPr>
      </w:pPr>
    </w:p>
    <w:p w14:paraId="05B8BD61" w14:textId="77777777" w:rsidR="00D363A7" w:rsidRPr="006774D3" w:rsidRDefault="00D363A7" w:rsidP="00F77C66">
      <w:pPr>
        <w:rPr>
          <w:color w:val="000000"/>
          <w:sz w:val="22"/>
          <w:szCs w:val="22"/>
        </w:rPr>
      </w:pPr>
    </w:p>
    <w:p w14:paraId="05B8BD62"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LYFJAFORM OG INNIHALD</w:t>
      </w:r>
    </w:p>
    <w:p w14:paraId="05B8BD63" w14:textId="77777777" w:rsidR="00D363A7" w:rsidRPr="006774D3" w:rsidRDefault="00D363A7" w:rsidP="00F77C66">
      <w:pPr>
        <w:rPr>
          <w:color w:val="000000"/>
          <w:sz w:val="22"/>
          <w:szCs w:val="22"/>
        </w:rPr>
      </w:pPr>
    </w:p>
    <w:p w14:paraId="05B8BD64" w14:textId="77777777" w:rsidR="00D363A7" w:rsidRPr="006774D3" w:rsidRDefault="00D363A7" w:rsidP="00F77C66">
      <w:pPr>
        <w:rPr>
          <w:color w:val="000000"/>
          <w:sz w:val="22"/>
          <w:szCs w:val="22"/>
        </w:rPr>
      </w:pPr>
      <w:r w:rsidRPr="006774D3">
        <w:rPr>
          <w:color w:val="000000"/>
          <w:sz w:val="22"/>
          <w:szCs w:val="22"/>
        </w:rPr>
        <w:t>20 filmuhúðaðar töflur</w:t>
      </w:r>
    </w:p>
    <w:p w14:paraId="05B8BD65"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60 filmuhúðaðar töflur</w:t>
      </w:r>
    </w:p>
    <w:p w14:paraId="05B8BD66"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120 filmuhúðaðar töflur</w:t>
      </w:r>
    </w:p>
    <w:p w14:paraId="05B8BD67"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180 filmuhúðaðar töflur</w:t>
      </w:r>
    </w:p>
    <w:p w14:paraId="05B8BD68" w14:textId="77777777" w:rsidR="00D363A7" w:rsidRPr="006774D3" w:rsidRDefault="00D363A7" w:rsidP="00F77C66">
      <w:pPr>
        <w:rPr>
          <w:color w:val="000000"/>
          <w:sz w:val="22"/>
          <w:szCs w:val="22"/>
        </w:rPr>
      </w:pPr>
    </w:p>
    <w:p w14:paraId="05B8BD69" w14:textId="77777777" w:rsidR="00D363A7" w:rsidRPr="006774D3" w:rsidRDefault="00D363A7" w:rsidP="00F77C66">
      <w:pPr>
        <w:rPr>
          <w:color w:val="000000"/>
          <w:sz w:val="22"/>
          <w:szCs w:val="22"/>
        </w:rPr>
      </w:pPr>
    </w:p>
    <w:p w14:paraId="05B8BD6A"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AÐFERÐ VIÐ LYFJAGJÖF OG ÍKOMULEIÐ(IR)</w:t>
      </w:r>
    </w:p>
    <w:p w14:paraId="05B8BD6B" w14:textId="77777777" w:rsidR="00D363A7" w:rsidRPr="006774D3" w:rsidRDefault="00D363A7" w:rsidP="00F77C66">
      <w:pPr>
        <w:rPr>
          <w:color w:val="000000"/>
          <w:sz w:val="22"/>
          <w:szCs w:val="22"/>
        </w:rPr>
      </w:pPr>
    </w:p>
    <w:p w14:paraId="05B8BD6C" w14:textId="77777777" w:rsidR="00D363A7" w:rsidRPr="006774D3" w:rsidRDefault="00D363A7" w:rsidP="00F77C66">
      <w:pPr>
        <w:rPr>
          <w:color w:val="000000"/>
          <w:sz w:val="22"/>
          <w:szCs w:val="22"/>
        </w:rPr>
      </w:pPr>
      <w:r w:rsidRPr="006774D3">
        <w:rPr>
          <w:color w:val="000000"/>
          <w:sz w:val="22"/>
          <w:szCs w:val="22"/>
        </w:rPr>
        <w:t>Til inntöku. Lesið fylgiseðilinn fyrir notkun.</w:t>
      </w:r>
    </w:p>
    <w:p w14:paraId="05B8BD6D" w14:textId="77777777" w:rsidR="00D363A7" w:rsidRPr="006774D3" w:rsidRDefault="00D363A7" w:rsidP="00F77C66">
      <w:pPr>
        <w:rPr>
          <w:color w:val="000000"/>
          <w:sz w:val="22"/>
          <w:szCs w:val="22"/>
        </w:rPr>
      </w:pPr>
    </w:p>
    <w:p w14:paraId="05B8BD6E" w14:textId="77777777" w:rsidR="00D363A7" w:rsidRPr="006774D3" w:rsidRDefault="00D363A7" w:rsidP="00F77C66">
      <w:pPr>
        <w:rPr>
          <w:color w:val="000000"/>
          <w:sz w:val="22"/>
          <w:szCs w:val="22"/>
        </w:rPr>
      </w:pPr>
    </w:p>
    <w:p w14:paraId="05B8BD6F"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6.</w:t>
      </w:r>
      <w:r w:rsidRPr="006774D3">
        <w:rPr>
          <w:b/>
          <w:color w:val="000000"/>
          <w:sz w:val="22"/>
          <w:szCs w:val="22"/>
        </w:rPr>
        <w:tab/>
        <w:t>SÉRSTÖK VARNAÐARORÐ UM AÐ LYFIÐ SKULI GEYMT ÞAR SEM BÖRN HVORKI NÁ TIL NÉ SJÁ</w:t>
      </w:r>
    </w:p>
    <w:p w14:paraId="05B8BD70" w14:textId="77777777" w:rsidR="00D363A7" w:rsidRPr="006774D3" w:rsidRDefault="00D363A7" w:rsidP="00F77C66">
      <w:pPr>
        <w:rPr>
          <w:color w:val="000000"/>
          <w:sz w:val="22"/>
          <w:szCs w:val="22"/>
        </w:rPr>
      </w:pPr>
    </w:p>
    <w:p w14:paraId="05B8BD71" w14:textId="77777777" w:rsidR="00D363A7" w:rsidRPr="006774D3" w:rsidRDefault="00D363A7" w:rsidP="00F77C66">
      <w:pPr>
        <w:outlineLvl w:val="0"/>
        <w:rPr>
          <w:color w:val="000000"/>
          <w:sz w:val="22"/>
          <w:szCs w:val="22"/>
        </w:rPr>
      </w:pPr>
      <w:r w:rsidRPr="006774D3">
        <w:rPr>
          <w:color w:val="000000"/>
          <w:sz w:val="22"/>
          <w:szCs w:val="22"/>
        </w:rPr>
        <w:t>Geymið þar sem börn hvorki ná til né sjá.</w:t>
      </w:r>
    </w:p>
    <w:p w14:paraId="05B8BD72" w14:textId="77777777" w:rsidR="00D363A7" w:rsidRPr="006774D3" w:rsidRDefault="00D363A7" w:rsidP="00F77C66">
      <w:pPr>
        <w:outlineLvl w:val="0"/>
        <w:rPr>
          <w:color w:val="000000"/>
          <w:sz w:val="22"/>
          <w:szCs w:val="22"/>
        </w:rPr>
      </w:pPr>
    </w:p>
    <w:p w14:paraId="05B8BD73" w14:textId="77777777" w:rsidR="00D363A7" w:rsidRPr="006774D3" w:rsidRDefault="00D363A7" w:rsidP="00F77C66">
      <w:pPr>
        <w:rPr>
          <w:color w:val="000000"/>
          <w:sz w:val="22"/>
          <w:szCs w:val="22"/>
        </w:rPr>
      </w:pPr>
    </w:p>
    <w:p w14:paraId="05B8BD74"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7.</w:t>
      </w:r>
      <w:r w:rsidRPr="006774D3">
        <w:rPr>
          <w:b/>
          <w:color w:val="000000"/>
          <w:sz w:val="22"/>
          <w:szCs w:val="22"/>
        </w:rPr>
        <w:tab/>
        <w:t>ÖNNUR SÉRSTÖK VARNAÐARORÐ, EF MEÐ ÞARF</w:t>
      </w:r>
    </w:p>
    <w:p w14:paraId="05B8BD75" w14:textId="77777777" w:rsidR="00D363A7" w:rsidRPr="006774D3" w:rsidRDefault="00D363A7" w:rsidP="00F77C66">
      <w:pPr>
        <w:rPr>
          <w:color w:val="000000"/>
          <w:sz w:val="22"/>
          <w:szCs w:val="22"/>
        </w:rPr>
      </w:pPr>
    </w:p>
    <w:p w14:paraId="05B8BD76" w14:textId="77777777" w:rsidR="00D363A7" w:rsidRPr="006774D3" w:rsidRDefault="00D363A7" w:rsidP="00F77C66">
      <w:pPr>
        <w:rPr>
          <w:color w:val="000000"/>
          <w:sz w:val="22"/>
          <w:szCs w:val="22"/>
        </w:rPr>
      </w:pPr>
      <w:r w:rsidRPr="006774D3">
        <w:rPr>
          <w:color w:val="000000"/>
          <w:sz w:val="22"/>
          <w:szCs w:val="22"/>
        </w:rPr>
        <w:t>Notið einungis samkvæmt fyrirmælum læknis.</w:t>
      </w:r>
    </w:p>
    <w:p w14:paraId="05B8BD77" w14:textId="77777777" w:rsidR="00D363A7" w:rsidRPr="006774D3" w:rsidRDefault="00D363A7" w:rsidP="00F77C66">
      <w:pPr>
        <w:rPr>
          <w:color w:val="000000"/>
          <w:sz w:val="22"/>
          <w:szCs w:val="22"/>
        </w:rPr>
      </w:pPr>
    </w:p>
    <w:p w14:paraId="05B8BD78" w14:textId="77777777" w:rsidR="00D363A7" w:rsidRPr="006774D3" w:rsidRDefault="00D363A7" w:rsidP="00F77C66">
      <w:pPr>
        <w:rPr>
          <w:color w:val="000000"/>
          <w:sz w:val="22"/>
          <w:szCs w:val="22"/>
        </w:rPr>
      </w:pPr>
    </w:p>
    <w:p w14:paraId="05B8BD79"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8.</w:t>
      </w:r>
      <w:r w:rsidRPr="006774D3">
        <w:rPr>
          <w:b/>
          <w:color w:val="000000"/>
          <w:sz w:val="22"/>
          <w:szCs w:val="22"/>
        </w:rPr>
        <w:tab/>
        <w:t>FYRNINGARDAGSETNING</w:t>
      </w:r>
    </w:p>
    <w:p w14:paraId="05B8BD7A" w14:textId="77777777" w:rsidR="00D363A7" w:rsidRPr="006774D3" w:rsidRDefault="00D363A7" w:rsidP="00F77C66">
      <w:pPr>
        <w:rPr>
          <w:color w:val="000000"/>
          <w:sz w:val="22"/>
          <w:szCs w:val="22"/>
        </w:rPr>
      </w:pPr>
    </w:p>
    <w:p w14:paraId="05B8BD7B" w14:textId="77777777" w:rsidR="00D363A7" w:rsidRPr="006774D3" w:rsidRDefault="00B467B3" w:rsidP="00F77C66">
      <w:pPr>
        <w:pStyle w:val="Authors"/>
        <w:keepNext w:val="0"/>
        <w:spacing w:before="0"/>
        <w:outlineLvl w:val="0"/>
        <w:rPr>
          <w:rFonts w:ascii="Times New Roman" w:hAnsi="Times New Roman"/>
          <w:color w:val="000000"/>
          <w:szCs w:val="22"/>
          <w:lang w:val="is-IS"/>
        </w:rPr>
      </w:pPr>
      <w:r w:rsidRPr="006774D3">
        <w:rPr>
          <w:rFonts w:ascii="Times New Roman" w:hAnsi="Times New Roman"/>
          <w:color w:val="000000"/>
          <w:szCs w:val="22"/>
          <w:lang w:val="is-IS"/>
        </w:rPr>
        <w:t>EXP</w:t>
      </w:r>
    </w:p>
    <w:p w14:paraId="05B8BD7C" w14:textId="77777777" w:rsidR="00D363A7" w:rsidRPr="006774D3" w:rsidRDefault="00D363A7" w:rsidP="00F77C66">
      <w:pPr>
        <w:pStyle w:val="Authors"/>
        <w:keepNext w:val="0"/>
        <w:spacing w:before="0"/>
        <w:outlineLvl w:val="0"/>
        <w:rPr>
          <w:rFonts w:ascii="Times New Roman" w:hAnsi="Times New Roman"/>
          <w:color w:val="000000"/>
          <w:szCs w:val="22"/>
          <w:lang w:val="is-IS"/>
        </w:rPr>
      </w:pPr>
    </w:p>
    <w:p w14:paraId="05B8BD7D" w14:textId="77777777" w:rsidR="00D363A7" w:rsidRPr="006774D3" w:rsidRDefault="00D363A7" w:rsidP="00F77C66">
      <w:pPr>
        <w:rPr>
          <w:color w:val="000000"/>
          <w:sz w:val="22"/>
          <w:szCs w:val="22"/>
        </w:rPr>
      </w:pPr>
    </w:p>
    <w:p w14:paraId="05B8BD7E"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9.</w:t>
      </w:r>
      <w:r w:rsidRPr="006774D3">
        <w:rPr>
          <w:b/>
          <w:color w:val="000000"/>
          <w:sz w:val="22"/>
          <w:szCs w:val="22"/>
        </w:rPr>
        <w:tab/>
        <w:t>SÉRSTÖK GEYMSLUSKILYRÐI</w:t>
      </w:r>
    </w:p>
    <w:p w14:paraId="05B8BD7F" w14:textId="77777777" w:rsidR="00D363A7" w:rsidRPr="006774D3" w:rsidRDefault="00D363A7" w:rsidP="00F77C66">
      <w:pPr>
        <w:keepNext/>
        <w:rPr>
          <w:color w:val="000000"/>
          <w:sz w:val="22"/>
          <w:szCs w:val="22"/>
        </w:rPr>
      </w:pPr>
    </w:p>
    <w:p w14:paraId="05B8BD80" w14:textId="77777777" w:rsidR="00D363A7" w:rsidRPr="006774D3" w:rsidRDefault="00D363A7" w:rsidP="00F77C66">
      <w:pPr>
        <w:keepNext/>
        <w:rPr>
          <w:color w:val="000000"/>
          <w:sz w:val="22"/>
          <w:szCs w:val="22"/>
        </w:rPr>
      </w:pPr>
      <w:r w:rsidRPr="006774D3">
        <w:rPr>
          <w:color w:val="000000"/>
          <w:sz w:val="22"/>
          <w:szCs w:val="22"/>
        </w:rPr>
        <w:t xml:space="preserve">Geymið við </w:t>
      </w:r>
      <w:r w:rsidR="00B47A54" w:rsidRPr="006774D3">
        <w:rPr>
          <w:color w:val="000000"/>
          <w:sz w:val="22"/>
          <w:szCs w:val="22"/>
        </w:rPr>
        <w:t xml:space="preserve">lægri </w:t>
      </w:r>
      <w:r w:rsidRPr="006774D3">
        <w:rPr>
          <w:color w:val="000000"/>
          <w:sz w:val="22"/>
          <w:szCs w:val="22"/>
        </w:rPr>
        <w:t>hita en 30</w:t>
      </w:r>
      <w:r w:rsidRPr="006774D3">
        <w:rPr>
          <w:color w:val="000000"/>
          <w:sz w:val="22"/>
          <w:szCs w:val="22"/>
        </w:rPr>
        <w:sym w:font="Symbol" w:char="00B0"/>
      </w:r>
      <w:r w:rsidRPr="006774D3">
        <w:rPr>
          <w:color w:val="000000"/>
          <w:sz w:val="22"/>
          <w:szCs w:val="22"/>
        </w:rPr>
        <w:t>C. Geymið í upprunalegum umbúðum til varnar gegn raka.</w:t>
      </w:r>
    </w:p>
    <w:p w14:paraId="05B8BD81" w14:textId="77777777" w:rsidR="00D363A7" w:rsidRPr="006774D3" w:rsidRDefault="00D363A7" w:rsidP="00F77C66">
      <w:pPr>
        <w:rPr>
          <w:color w:val="000000"/>
          <w:sz w:val="22"/>
          <w:szCs w:val="22"/>
        </w:rPr>
      </w:pPr>
    </w:p>
    <w:p w14:paraId="05B8BD82" w14:textId="77777777" w:rsidR="00D363A7" w:rsidRPr="006774D3" w:rsidRDefault="00D363A7" w:rsidP="00F77C66">
      <w:pPr>
        <w:rPr>
          <w:color w:val="000000"/>
          <w:sz w:val="22"/>
          <w:szCs w:val="22"/>
        </w:rPr>
      </w:pPr>
    </w:p>
    <w:p w14:paraId="05B8BD83"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lastRenderedPageBreak/>
        <w:t>10.</w:t>
      </w:r>
      <w:r w:rsidRPr="006774D3">
        <w:rPr>
          <w:b/>
          <w:color w:val="000000"/>
          <w:sz w:val="22"/>
          <w:szCs w:val="22"/>
        </w:rPr>
        <w:tab/>
        <w:t>SÉRSTAKAR VARÚÐARRÁÐSTAFANIR VIÐ FÖRGUN LYFJALEIFA EÐA ÚRGANGS VEGNA LYFSINS ÞAR SEM VIÐ Á</w:t>
      </w:r>
    </w:p>
    <w:p w14:paraId="05B8BD84" w14:textId="77777777" w:rsidR="00D363A7" w:rsidRPr="006774D3" w:rsidRDefault="00D363A7" w:rsidP="00F77C66">
      <w:pPr>
        <w:keepNext/>
        <w:rPr>
          <w:color w:val="000000"/>
          <w:sz w:val="22"/>
          <w:szCs w:val="22"/>
        </w:rPr>
      </w:pPr>
    </w:p>
    <w:p w14:paraId="05B8BD85" w14:textId="77777777" w:rsidR="00D363A7" w:rsidRPr="006774D3" w:rsidRDefault="00D363A7" w:rsidP="00F77C66">
      <w:pPr>
        <w:rPr>
          <w:color w:val="000000"/>
          <w:sz w:val="22"/>
          <w:szCs w:val="22"/>
        </w:rPr>
      </w:pPr>
    </w:p>
    <w:p w14:paraId="05B8BD8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11.</w:t>
      </w:r>
      <w:r w:rsidRPr="006774D3">
        <w:rPr>
          <w:b/>
          <w:color w:val="000000"/>
          <w:sz w:val="22"/>
          <w:szCs w:val="22"/>
        </w:rPr>
        <w:tab/>
        <w:t>NAFN OG HEIMILISFANG MARKAÐSLEYFISHAFA</w:t>
      </w:r>
    </w:p>
    <w:p w14:paraId="05B8BD87" w14:textId="77777777" w:rsidR="00D363A7" w:rsidRPr="006774D3" w:rsidRDefault="00D363A7" w:rsidP="00F77C66">
      <w:pPr>
        <w:rPr>
          <w:color w:val="000000"/>
          <w:sz w:val="22"/>
          <w:szCs w:val="22"/>
        </w:rPr>
      </w:pPr>
    </w:p>
    <w:p w14:paraId="05B8BD88" w14:textId="77777777" w:rsidR="00D363A7" w:rsidRPr="006774D3" w:rsidRDefault="00D363A7" w:rsidP="00F77C66">
      <w:pPr>
        <w:rPr>
          <w:color w:val="000000"/>
          <w:sz w:val="22"/>
          <w:szCs w:val="22"/>
        </w:rPr>
      </w:pPr>
      <w:r w:rsidRPr="006774D3">
        <w:rPr>
          <w:color w:val="000000"/>
          <w:sz w:val="22"/>
          <w:szCs w:val="22"/>
        </w:rPr>
        <w:t>Novartis Europharm Limited</w:t>
      </w:r>
    </w:p>
    <w:p w14:paraId="05B8BD89"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BD8A"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BD8B"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BD8C" w14:textId="77777777" w:rsidR="00D363A7" w:rsidRPr="006774D3" w:rsidRDefault="00B3755B" w:rsidP="00F77C66">
      <w:pPr>
        <w:rPr>
          <w:color w:val="000000"/>
          <w:sz w:val="22"/>
          <w:szCs w:val="22"/>
        </w:rPr>
      </w:pPr>
      <w:r w:rsidRPr="006774D3">
        <w:rPr>
          <w:color w:val="000000"/>
          <w:sz w:val="22"/>
          <w:szCs w:val="22"/>
        </w:rPr>
        <w:t>Írland</w:t>
      </w:r>
    </w:p>
    <w:p w14:paraId="05B8BD8D" w14:textId="77777777" w:rsidR="00D363A7" w:rsidRPr="006774D3" w:rsidRDefault="00D363A7" w:rsidP="00F77C66">
      <w:pPr>
        <w:rPr>
          <w:color w:val="000000"/>
          <w:sz w:val="22"/>
          <w:szCs w:val="22"/>
        </w:rPr>
      </w:pPr>
    </w:p>
    <w:p w14:paraId="05B8BD8E" w14:textId="77777777" w:rsidR="00D363A7" w:rsidRPr="006774D3" w:rsidRDefault="00D363A7" w:rsidP="00F77C66">
      <w:pPr>
        <w:rPr>
          <w:color w:val="000000"/>
          <w:sz w:val="22"/>
          <w:szCs w:val="22"/>
        </w:rPr>
      </w:pPr>
    </w:p>
    <w:p w14:paraId="05B8BD8F"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12.</w:t>
      </w:r>
      <w:r w:rsidRPr="006774D3">
        <w:rPr>
          <w:b/>
          <w:color w:val="000000"/>
          <w:sz w:val="22"/>
          <w:szCs w:val="22"/>
        </w:rPr>
        <w:tab/>
        <w:t>MARKAÐSLEYFISNÚMER</w:t>
      </w:r>
    </w:p>
    <w:p w14:paraId="05B8BD90" w14:textId="77777777" w:rsidR="00D363A7" w:rsidRPr="006774D3" w:rsidRDefault="00D363A7" w:rsidP="00F77C66">
      <w:pPr>
        <w:rPr>
          <w:color w:val="000000"/>
          <w:sz w:val="22"/>
          <w:szCs w:val="22"/>
        </w:rPr>
      </w:pPr>
    </w:p>
    <w:p w14:paraId="05B8BD91" w14:textId="77777777" w:rsidR="00D363A7" w:rsidRPr="006774D3" w:rsidRDefault="00D363A7" w:rsidP="00F77C66">
      <w:pPr>
        <w:tabs>
          <w:tab w:val="left" w:pos="2268"/>
        </w:tabs>
        <w:rPr>
          <w:color w:val="000000"/>
          <w:sz w:val="22"/>
          <w:szCs w:val="22"/>
          <w:shd w:val="clear" w:color="auto" w:fill="D9D9D9"/>
        </w:rPr>
      </w:pPr>
      <w:r w:rsidRPr="006774D3">
        <w:rPr>
          <w:color w:val="000000"/>
          <w:sz w:val="22"/>
          <w:szCs w:val="22"/>
        </w:rPr>
        <w:t>EU/1/01/198/007</w:t>
      </w:r>
      <w:r w:rsidRPr="006774D3">
        <w:rPr>
          <w:color w:val="000000"/>
          <w:sz w:val="22"/>
          <w:szCs w:val="22"/>
        </w:rPr>
        <w:tab/>
      </w:r>
      <w:r w:rsidRPr="006774D3">
        <w:rPr>
          <w:color w:val="000000"/>
          <w:sz w:val="22"/>
          <w:szCs w:val="22"/>
          <w:shd w:val="clear" w:color="auto" w:fill="D9D9D9"/>
        </w:rPr>
        <w:t>20 töflur</w:t>
      </w:r>
      <w:r w:rsidR="002F3A62" w:rsidRPr="006774D3">
        <w:rPr>
          <w:color w:val="000000"/>
          <w:sz w:val="22"/>
          <w:szCs w:val="22"/>
          <w:shd w:val="pct15" w:color="auto" w:fill="auto"/>
        </w:rPr>
        <w:t xml:space="preserve"> (PVC/álþynnur)</w:t>
      </w:r>
    </w:p>
    <w:p w14:paraId="05B8BD92" w14:textId="77777777" w:rsidR="00D363A7" w:rsidRPr="006774D3" w:rsidRDefault="00D363A7" w:rsidP="00F77C66">
      <w:pPr>
        <w:tabs>
          <w:tab w:val="left" w:pos="2268"/>
        </w:tabs>
        <w:rPr>
          <w:color w:val="000000"/>
          <w:sz w:val="22"/>
          <w:szCs w:val="22"/>
          <w:shd w:val="clear" w:color="auto" w:fill="D9D9D9"/>
        </w:rPr>
      </w:pPr>
      <w:r w:rsidRPr="006774D3">
        <w:rPr>
          <w:color w:val="000000"/>
          <w:sz w:val="22"/>
          <w:szCs w:val="22"/>
          <w:shd w:val="clear" w:color="auto" w:fill="D9D9D9"/>
        </w:rPr>
        <w:t>EU/1/01/198/008</w:t>
      </w:r>
      <w:r w:rsidRPr="006774D3">
        <w:rPr>
          <w:color w:val="000000"/>
          <w:sz w:val="22"/>
          <w:szCs w:val="22"/>
          <w:shd w:val="clear" w:color="auto" w:fill="D9D9D9"/>
        </w:rPr>
        <w:tab/>
        <w:t>60 töflur</w:t>
      </w:r>
      <w:r w:rsidR="002F3A62" w:rsidRPr="006774D3">
        <w:rPr>
          <w:color w:val="000000"/>
          <w:sz w:val="22"/>
          <w:szCs w:val="22"/>
          <w:shd w:val="pct15" w:color="auto" w:fill="auto"/>
        </w:rPr>
        <w:t xml:space="preserve"> (PVC/álþynnur)</w:t>
      </w:r>
    </w:p>
    <w:p w14:paraId="05B8BD93" w14:textId="77777777" w:rsidR="00D363A7" w:rsidRPr="006774D3" w:rsidRDefault="00D363A7" w:rsidP="00F77C66">
      <w:pPr>
        <w:tabs>
          <w:tab w:val="left" w:pos="2268"/>
        </w:tabs>
        <w:rPr>
          <w:color w:val="000000"/>
          <w:sz w:val="22"/>
          <w:szCs w:val="22"/>
          <w:shd w:val="clear" w:color="auto" w:fill="D9D9D9"/>
        </w:rPr>
      </w:pPr>
      <w:r w:rsidRPr="006774D3">
        <w:rPr>
          <w:color w:val="000000"/>
          <w:sz w:val="22"/>
          <w:szCs w:val="22"/>
          <w:shd w:val="clear" w:color="auto" w:fill="D9D9D9"/>
        </w:rPr>
        <w:t>EU/1/01/198/011</w:t>
      </w:r>
      <w:r w:rsidRPr="006774D3">
        <w:rPr>
          <w:color w:val="000000"/>
          <w:sz w:val="22"/>
          <w:szCs w:val="22"/>
          <w:shd w:val="clear" w:color="auto" w:fill="D9D9D9"/>
        </w:rPr>
        <w:tab/>
        <w:t>120 töflur</w:t>
      </w:r>
      <w:r w:rsidR="002F3A62" w:rsidRPr="006774D3">
        <w:rPr>
          <w:color w:val="000000"/>
          <w:sz w:val="22"/>
          <w:szCs w:val="22"/>
          <w:shd w:val="pct15" w:color="auto" w:fill="auto"/>
        </w:rPr>
        <w:t xml:space="preserve"> (PVC/álþynnur)</w:t>
      </w:r>
    </w:p>
    <w:p w14:paraId="05B8BD94" w14:textId="77777777" w:rsidR="00D363A7" w:rsidRPr="006774D3" w:rsidRDefault="00D363A7" w:rsidP="00F77C66">
      <w:pPr>
        <w:tabs>
          <w:tab w:val="left" w:pos="2268"/>
        </w:tabs>
        <w:rPr>
          <w:color w:val="000000"/>
          <w:sz w:val="22"/>
          <w:szCs w:val="22"/>
          <w:shd w:val="clear" w:color="auto" w:fill="D9D9D9"/>
        </w:rPr>
      </w:pPr>
      <w:r w:rsidRPr="006774D3">
        <w:rPr>
          <w:color w:val="000000"/>
          <w:sz w:val="22"/>
          <w:szCs w:val="22"/>
          <w:shd w:val="clear" w:color="auto" w:fill="D9D9D9"/>
        </w:rPr>
        <w:t>EU/1/01/198/012</w:t>
      </w:r>
      <w:r w:rsidRPr="006774D3">
        <w:rPr>
          <w:color w:val="000000"/>
          <w:sz w:val="22"/>
          <w:szCs w:val="22"/>
          <w:shd w:val="clear" w:color="auto" w:fill="D9D9D9"/>
        </w:rPr>
        <w:tab/>
        <w:t>180 töflur</w:t>
      </w:r>
      <w:r w:rsidR="002F3A62" w:rsidRPr="006774D3">
        <w:rPr>
          <w:color w:val="000000"/>
          <w:sz w:val="22"/>
          <w:szCs w:val="22"/>
          <w:shd w:val="pct15" w:color="auto" w:fill="auto"/>
        </w:rPr>
        <w:t xml:space="preserve"> (PVC/álþynnur)</w:t>
      </w:r>
    </w:p>
    <w:p w14:paraId="05B8BD95" w14:textId="77777777" w:rsidR="002F3A62" w:rsidRPr="006774D3" w:rsidRDefault="002F3A62" w:rsidP="00F77C66">
      <w:pPr>
        <w:ind w:left="2268" w:hanging="2268"/>
        <w:rPr>
          <w:color w:val="000000"/>
          <w:sz w:val="22"/>
          <w:szCs w:val="22"/>
          <w:shd w:val="pct15" w:color="auto" w:fill="auto"/>
        </w:rPr>
      </w:pPr>
      <w:r w:rsidRPr="006774D3">
        <w:rPr>
          <w:color w:val="000000"/>
          <w:sz w:val="22"/>
          <w:szCs w:val="22"/>
          <w:shd w:val="pct15" w:color="auto" w:fill="auto"/>
        </w:rPr>
        <w:t>EU/1/01/198/01</w:t>
      </w:r>
      <w:r w:rsidR="00CB6A35" w:rsidRPr="006774D3">
        <w:rPr>
          <w:color w:val="000000"/>
          <w:sz w:val="22"/>
          <w:szCs w:val="22"/>
          <w:shd w:val="pct15" w:color="auto" w:fill="auto"/>
        </w:rPr>
        <w:t>4</w:t>
      </w:r>
      <w:r w:rsidRPr="006774D3">
        <w:rPr>
          <w:color w:val="000000"/>
          <w:sz w:val="22"/>
          <w:szCs w:val="22"/>
          <w:shd w:val="pct15" w:color="auto" w:fill="auto"/>
        </w:rPr>
        <w:tab/>
      </w:r>
      <w:r w:rsidR="00CB6A35" w:rsidRPr="006774D3">
        <w:rPr>
          <w:color w:val="000000"/>
          <w:sz w:val="22"/>
          <w:szCs w:val="22"/>
          <w:shd w:val="pct15" w:color="auto" w:fill="auto"/>
        </w:rPr>
        <w:t>6</w:t>
      </w:r>
      <w:r w:rsidRPr="006774D3">
        <w:rPr>
          <w:color w:val="000000"/>
          <w:sz w:val="22"/>
          <w:szCs w:val="22"/>
          <w:shd w:val="pct15" w:color="auto" w:fill="auto"/>
        </w:rPr>
        <w:t>0 töflur (PVDC/álþynnur)</w:t>
      </w:r>
    </w:p>
    <w:p w14:paraId="05B8BD96" w14:textId="77777777" w:rsidR="002F3A62" w:rsidRPr="006774D3" w:rsidRDefault="002F3A62" w:rsidP="00F77C66">
      <w:pPr>
        <w:ind w:left="2268" w:hanging="2268"/>
        <w:rPr>
          <w:color w:val="000000"/>
          <w:sz w:val="22"/>
          <w:szCs w:val="22"/>
          <w:shd w:val="pct15" w:color="auto" w:fill="auto"/>
        </w:rPr>
      </w:pPr>
      <w:r w:rsidRPr="006774D3">
        <w:rPr>
          <w:color w:val="000000"/>
          <w:sz w:val="22"/>
          <w:szCs w:val="22"/>
          <w:shd w:val="pct15" w:color="auto" w:fill="auto"/>
        </w:rPr>
        <w:t>EU/1/01/198/01</w:t>
      </w:r>
      <w:r w:rsidR="00CB6A35" w:rsidRPr="006774D3">
        <w:rPr>
          <w:color w:val="000000"/>
          <w:sz w:val="22"/>
          <w:szCs w:val="22"/>
          <w:shd w:val="pct15" w:color="auto" w:fill="auto"/>
        </w:rPr>
        <w:t>5</w:t>
      </w:r>
      <w:r w:rsidRPr="006774D3">
        <w:rPr>
          <w:color w:val="000000"/>
          <w:sz w:val="22"/>
          <w:szCs w:val="22"/>
          <w:shd w:val="pct15" w:color="auto" w:fill="auto"/>
        </w:rPr>
        <w:tab/>
        <w:t>1</w:t>
      </w:r>
      <w:r w:rsidR="00CB6A35" w:rsidRPr="006774D3">
        <w:rPr>
          <w:color w:val="000000"/>
          <w:sz w:val="22"/>
          <w:szCs w:val="22"/>
          <w:shd w:val="pct15" w:color="auto" w:fill="auto"/>
        </w:rPr>
        <w:t>2</w:t>
      </w:r>
      <w:r w:rsidRPr="006774D3">
        <w:rPr>
          <w:color w:val="000000"/>
          <w:sz w:val="22"/>
          <w:szCs w:val="22"/>
          <w:shd w:val="pct15" w:color="auto" w:fill="auto"/>
        </w:rPr>
        <w:t>0 töflur (PVDC/álþynnur)</w:t>
      </w:r>
    </w:p>
    <w:p w14:paraId="05B8BD97" w14:textId="77777777" w:rsidR="00FD690B" w:rsidRPr="006774D3" w:rsidRDefault="00FD690B" w:rsidP="00F77C66">
      <w:pPr>
        <w:tabs>
          <w:tab w:val="left" w:pos="2340"/>
        </w:tabs>
        <w:rPr>
          <w:color w:val="000000"/>
          <w:sz w:val="22"/>
          <w:szCs w:val="22"/>
          <w:shd w:val="clear" w:color="auto" w:fill="D9D9D9"/>
        </w:rPr>
      </w:pPr>
      <w:r w:rsidRPr="006774D3">
        <w:rPr>
          <w:color w:val="000000"/>
          <w:sz w:val="22"/>
          <w:szCs w:val="22"/>
          <w:shd w:val="clear" w:color="auto" w:fill="D9D9D9"/>
        </w:rPr>
        <w:t>EU/1/01/198/01</w:t>
      </w:r>
      <w:r w:rsidR="00CB6A35" w:rsidRPr="006774D3">
        <w:rPr>
          <w:color w:val="000000"/>
          <w:sz w:val="22"/>
          <w:szCs w:val="22"/>
          <w:shd w:val="clear" w:color="auto" w:fill="D9D9D9"/>
        </w:rPr>
        <w:t>6</w:t>
      </w:r>
      <w:r w:rsidRPr="006774D3">
        <w:rPr>
          <w:color w:val="000000"/>
          <w:sz w:val="22"/>
          <w:szCs w:val="22"/>
          <w:shd w:val="clear" w:color="auto" w:fill="D9D9D9"/>
        </w:rPr>
        <w:tab/>
      </w:r>
      <w:r w:rsidR="00CB6A35" w:rsidRPr="006774D3">
        <w:rPr>
          <w:color w:val="000000"/>
          <w:sz w:val="22"/>
          <w:szCs w:val="22"/>
          <w:shd w:val="clear" w:color="auto" w:fill="D9D9D9"/>
        </w:rPr>
        <w:t>18</w:t>
      </w:r>
      <w:r w:rsidRPr="006774D3">
        <w:rPr>
          <w:color w:val="000000"/>
          <w:sz w:val="22"/>
          <w:szCs w:val="22"/>
          <w:shd w:val="clear" w:color="auto" w:fill="D9D9D9"/>
        </w:rPr>
        <w:t>0 töflur</w:t>
      </w:r>
      <w:r w:rsidRPr="006774D3">
        <w:rPr>
          <w:color w:val="000000"/>
          <w:sz w:val="22"/>
          <w:szCs w:val="22"/>
          <w:shd w:val="pct15" w:color="auto" w:fill="auto"/>
        </w:rPr>
        <w:t xml:space="preserve"> (PVDC/álþynnur)</w:t>
      </w:r>
    </w:p>
    <w:p w14:paraId="05B8BD98" w14:textId="77777777" w:rsidR="00D363A7" w:rsidRPr="006774D3" w:rsidRDefault="00D363A7" w:rsidP="00F77C66">
      <w:pPr>
        <w:rPr>
          <w:color w:val="000000"/>
          <w:sz w:val="22"/>
          <w:szCs w:val="22"/>
        </w:rPr>
      </w:pPr>
    </w:p>
    <w:p w14:paraId="05B8BD99" w14:textId="77777777" w:rsidR="00D363A7" w:rsidRPr="006774D3" w:rsidRDefault="00D363A7" w:rsidP="00F77C66">
      <w:pPr>
        <w:rPr>
          <w:color w:val="000000"/>
          <w:sz w:val="22"/>
          <w:szCs w:val="22"/>
        </w:rPr>
      </w:pPr>
    </w:p>
    <w:p w14:paraId="05B8BD9A"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13.</w:t>
      </w:r>
      <w:r w:rsidRPr="006774D3">
        <w:rPr>
          <w:b/>
          <w:color w:val="000000"/>
          <w:sz w:val="22"/>
          <w:szCs w:val="22"/>
        </w:rPr>
        <w:tab/>
        <w:t>LOTUNÚMER</w:t>
      </w:r>
    </w:p>
    <w:p w14:paraId="05B8BD9B" w14:textId="77777777" w:rsidR="00D363A7" w:rsidRPr="006774D3" w:rsidRDefault="00D363A7" w:rsidP="00F77C66">
      <w:pPr>
        <w:rPr>
          <w:color w:val="000000"/>
          <w:sz w:val="22"/>
          <w:szCs w:val="22"/>
        </w:rPr>
      </w:pPr>
    </w:p>
    <w:p w14:paraId="05B8BD9C" w14:textId="77777777" w:rsidR="00D363A7" w:rsidRPr="006774D3" w:rsidRDefault="00D363A7" w:rsidP="00F77C66">
      <w:pPr>
        <w:outlineLvl w:val="0"/>
        <w:rPr>
          <w:color w:val="000000"/>
          <w:sz w:val="22"/>
          <w:szCs w:val="22"/>
        </w:rPr>
      </w:pPr>
      <w:r w:rsidRPr="006774D3">
        <w:rPr>
          <w:color w:val="000000"/>
          <w:sz w:val="22"/>
          <w:szCs w:val="22"/>
        </w:rPr>
        <w:t>Lotunr.</w:t>
      </w:r>
    </w:p>
    <w:p w14:paraId="05B8BD9D" w14:textId="77777777" w:rsidR="00D363A7" w:rsidRPr="006774D3" w:rsidRDefault="00D363A7" w:rsidP="00F77C66">
      <w:pPr>
        <w:outlineLvl w:val="0"/>
        <w:rPr>
          <w:color w:val="000000"/>
          <w:sz w:val="22"/>
          <w:szCs w:val="22"/>
        </w:rPr>
      </w:pPr>
    </w:p>
    <w:p w14:paraId="05B8BD9E" w14:textId="77777777" w:rsidR="00D363A7" w:rsidRPr="006774D3" w:rsidRDefault="00D363A7" w:rsidP="00F77C66">
      <w:pPr>
        <w:rPr>
          <w:color w:val="000000"/>
          <w:sz w:val="22"/>
          <w:szCs w:val="22"/>
        </w:rPr>
      </w:pPr>
    </w:p>
    <w:p w14:paraId="05B8BD9F"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14.</w:t>
      </w:r>
      <w:r w:rsidRPr="006774D3">
        <w:rPr>
          <w:b/>
          <w:color w:val="000000"/>
          <w:sz w:val="22"/>
          <w:szCs w:val="22"/>
        </w:rPr>
        <w:tab/>
        <w:t>AFGREIÐSLUTILHÖGUN</w:t>
      </w:r>
    </w:p>
    <w:p w14:paraId="05B8BDA0" w14:textId="77777777" w:rsidR="00D363A7" w:rsidRPr="006774D3" w:rsidRDefault="00D363A7" w:rsidP="00F77C66">
      <w:pPr>
        <w:rPr>
          <w:color w:val="000000"/>
          <w:sz w:val="22"/>
          <w:szCs w:val="22"/>
        </w:rPr>
      </w:pPr>
    </w:p>
    <w:p w14:paraId="05B8BDA1" w14:textId="77777777" w:rsidR="00D363A7" w:rsidRPr="006774D3" w:rsidRDefault="00D363A7" w:rsidP="00F77C66">
      <w:pPr>
        <w:rPr>
          <w:color w:val="000000"/>
          <w:sz w:val="22"/>
          <w:szCs w:val="22"/>
        </w:rPr>
      </w:pPr>
    </w:p>
    <w:p w14:paraId="05B8BDA2"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15.</w:t>
      </w:r>
      <w:r w:rsidRPr="006774D3">
        <w:rPr>
          <w:b/>
          <w:color w:val="000000"/>
          <w:sz w:val="22"/>
          <w:szCs w:val="22"/>
        </w:rPr>
        <w:tab/>
        <w:t>NOTKUNARLEIÐBEININGAR</w:t>
      </w:r>
    </w:p>
    <w:p w14:paraId="05B8BDA3" w14:textId="77777777" w:rsidR="00D363A7" w:rsidRPr="006774D3" w:rsidRDefault="00D363A7" w:rsidP="00F77C66">
      <w:pPr>
        <w:shd w:val="clear" w:color="auto" w:fill="FFFFFF"/>
        <w:rPr>
          <w:color w:val="000000"/>
          <w:sz w:val="22"/>
          <w:szCs w:val="22"/>
        </w:rPr>
      </w:pPr>
    </w:p>
    <w:p w14:paraId="05B8BDA4" w14:textId="77777777" w:rsidR="00D363A7" w:rsidRPr="006774D3" w:rsidRDefault="00D363A7" w:rsidP="00F77C66">
      <w:pPr>
        <w:shd w:val="clear" w:color="auto" w:fill="FFFFFF"/>
        <w:rPr>
          <w:color w:val="000000"/>
          <w:sz w:val="22"/>
          <w:szCs w:val="22"/>
        </w:rPr>
      </w:pPr>
    </w:p>
    <w:p w14:paraId="05B8BDA5"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16.</w:t>
      </w:r>
      <w:r w:rsidRPr="006774D3">
        <w:rPr>
          <w:b/>
          <w:color w:val="000000"/>
          <w:sz w:val="22"/>
          <w:szCs w:val="22"/>
        </w:rPr>
        <w:tab/>
        <w:t>UPPLÝSINGAR MEÐ BLINDRALETRI</w:t>
      </w:r>
    </w:p>
    <w:p w14:paraId="05B8BDA6" w14:textId="77777777" w:rsidR="00D363A7" w:rsidRPr="006774D3" w:rsidRDefault="00D363A7" w:rsidP="00F77C66">
      <w:pPr>
        <w:shd w:val="clear" w:color="auto" w:fill="FFFFFF"/>
        <w:rPr>
          <w:color w:val="000000"/>
          <w:sz w:val="22"/>
          <w:szCs w:val="22"/>
        </w:rPr>
      </w:pPr>
    </w:p>
    <w:p w14:paraId="05B8BDA7" w14:textId="77777777" w:rsidR="00D363A7" w:rsidRPr="006774D3" w:rsidRDefault="00D363A7" w:rsidP="00F77C66">
      <w:pPr>
        <w:shd w:val="clear" w:color="auto" w:fill="FFFFFF"/>
        <w:rPr>
          <w:color w:val="000000"/>
          <w:sz w:val="22"/>
          <w:szCs w:val="22"/>
        </w:rPr>
      </w:pPr>
      <w:r w:rsidRPr="006774D3">
        <w:rPr>
          <w:color w:val="000000"/>
          <w:sz w:val="22"/>
          <w:szCs w:val="22"/>
        </w:rPr>
        <w:t>Glivec 100 mg</w:t>
      </w:r>
    </w:p>
    <w:p w14:paraId="05B8BDA8" w14:textId="77777777" w:rsidR="00B47A54" w:rsidRPr="006774D3" w:rsidRDefault="00B47A54" w:rsidP="00F77C66">
      <w:pPr>
        <w:tabs>
          <w:tab w:val="left" w:pos="567"/>
        </w:tabs>
        <w:rPr>
          <w:color w:val="000000"/>
          <w:sz w:val="22"/>
          <w:szCs w:val="22"/>
        </w:rPr>
      </w:pPr>
    </w:p>
    <w:p w14:paraId="05B8BDA9"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DAB" w14:textId="77777777" w:rsidTr="00552F50">
        <w:tc>
          <w:tcPr>
            <w:tcW w:w="9287" w:type="dxa"/>
          </w:tcPr>
          <w:p w14:paraId="05B8BDAA" w14:textId="77777777" w:rsidR="00B47A54" w:rsidRPr="006774D3" w:rsidRDefault="00B47A54" w:rsidP="00F77C66">
            <w:pPr>
              <w:rPr>
                <w:b/>
                <w:sz w:val="22"/>
                <w:szCs w:val="22"/>
              </w:rPr>
            </w:pPr>
            <w:r w:rsidRPr="006774D3">
              <w:rPr>
                <w:b/>
                <w:sz w:val="22"/>
                <w:szCs w:val="22"/>
              </w:rPr>
              <w:t>17.</w:t>
            </w:r>
            <w:r w:rsidRPr="006774D3">
              <w:rPr>
                <w:b/>
                <w:sz w:val="22"/>
                <w:szCs w:val="22"/>
              </w:rPr>
              <w:tab/>
              <w:t>EINKVÆMT AUÐKENNI – TVÍVÍTT STRIKAMERKI</w:t>
            </w:r>
          </w:p>
        </w:tc>
      </w:tr>
    </w:tbl>
    <w:p w14:paraId="05B8BDAC" w14:textId="77777777" w:rsidR="00B47A54" w:rsidRPr="006774D3" w:rsidRDefault="00B47A54" w:rsidP="00F77C66">
      <w:pPr>
        <w:rPr>
          <w:sz w:val="22"/>
          <w:szCs w:val="22"/>
        </w:rPr>
      </w:pPr>
    </w:p>
    <w:p w14:paraId="05B8BDAD" w14:textId="77777777" w:rsidR="00B47A54" w:rsidRPr="006774D3" w:rsidRDefault="00B47A54" w:rsidP="00F77C66">
      <w:pPr>
        <w:rPr>
          <w:sz w:val="22"/>
          <w:szCs w:val="22"/>
        </w:rPr>
      </w:pPr>
      <w:r w:rsidRPr="006774D3">
        <w:rPr>
          <w:sz w:val="22"/>
          <w:szCs w:val="22"/>
          <w:shd w:val="pct15" w:color="auto" w:fill="auto"/>
        </w:rPr>
        <w:t>Á pakkningunni er tvívítt strikamerki með einkvæmu auðkenni.</w:t>
      </w:r>
    </w:p>
    <w:p w14:paraId="05B8BDAE" w14:textId="77777777" w:rsidR="00B47A54" w:rsidRPr="006774D3" w:rsidRDefault="00B47A54" w:rsidP="00F77C66">
      <w:pPr>
        <w:rPr>
          <w:sz w:val="22"/>
          <w:szCs w:val="22"/>
        </w:rPr>
      </w:pPr>
    </w:p>
    <w:p w14:paraId="05B8BDAF"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DB1" w14:textId="77777777" w:rsidTr="00552F50">
        <w:tc>
          <w:tcPr>
            <w:tcW w:w="9287" w:type="dxa"/>
          </w:tcPr>
          <w:p w14:paraId="05B8BDB0" w14:textId="77777777" w:rsidR="00B47A54" w:rsidRPr="006774D3" w:rsidRDefault="00B47A54" w:rsidP="00F77C66">
            <w:pPr>
              <w:rPr>
                <w:b/>
                <w:sz w:val="22"/>
                <w:szCs w:val="22"/>
              </w:rPr>
            </w:pPr>
            <w:r w:rsidRPr="006774D3">
              <w:rPr>
                <w:b/>
                <w:sz w:val="22"/>
                <w:szCs w:val="22"/>
              </w:rPr>
              <w:t>18.</w:t>
            </w:r>
            <w:r w:rsidRPr="006774D3">
              <w:rPr>
                <w:b/>
                <w:sz w:val="22"/>
                <w:szCs w:val="22"/>
              </w:rPr>
              <w:tab/>
              <w:t>EINKVÆMT AUÐKENNI – UPPLÝSINGAR SEM FÓLK GETUR LESIÐ</w:t>
            </w:r>
          </w:p>
        </w:tc>
      </w:tr>
    </w:tbl>
    <w:p w14:paraId="05B8BDB2" w14:textId="77777777" w:rsidR="00B47A54" w:rsidRPr="006774D3" w:rsidRDefault="00B47A54" w:rsidP="00F77C66">
      <w:pPr>
        <w:rPr>
          <w:sz w:val="22"/>
          <w:szCs w:val="22"/>
        </w:rPr>
      </w:pPr>
    </w:p>
    <w:p w14:paraId="05B8BDB3" w14:textId="77777777" w:rsidR="00B47A54" w:rsidRPr="006774D3" w:rsidRDefault="00B47A54" w:rsidP="00F77C66">
      <w:pPr>
        <w:rPr>
          <w:sz w:val="22"/>
          <w:szCs w:val="22"/>
        </w:rPr>
      </w:pPr>
      <w:r w:rsidRPr="006774D3">
        <w:rPr>
          <w:sz w:val="22"/>
          <w:szCs w:val="22"/>
        </w:rPr>
        <w:t>PC:</w:t>
      </w:r>
    </w:p>
    <w:p w14:paraId="05B8BDB4" w14:textId="77777777" w:rsidR="00B47A54" w:rsidRPr="006774D3" w:rsidRDefault="00B47A54" w:rsidP="00F77C66">
      <w:pPr>
        <w:rPr>
          <w:sz w:val="22"/>
          <w:szCs w:val="22"/>
        </w:rPr>
      </w:pPr>
      <w:r w:rsidRPr="006774D3">
        <w:rPr>
          <w:sz w:val="22"/>
          <w:szCs w:val="22"/>
        </w:rPr>
        <w:t>SN:</w:t>
      </w:r>
    </w:p>
    <w:p w14:paraId="05B8BDB5" w14:textId="77777777" w:rsidR="00B47A54" w:rsidRPr="006774D3" w:rsidRDefault="00B47A54" w:rsidP="00F77C66">
      <w:pPr>
        <w:rPr>
          <w:sz w:val="22"/>
          <w:szCs w:val="22"/>
        </w:rPr>
      </w:pPr>
      <w:r w:rsidRPr="006774D3">
        <w:rPr>
          <w:sz w:val="22"/>
          <w:szCs w:val="22"/>
        </w:rPr>
        <w:t>NN:</w:t>
      </w:r>
    </w:p>
    <w:p w14:paraId="05B8BDB6" w14:textId="77777777" w:rsidR="00D363A7" w:rsidRPr="006774D3" w:rsidRDefault="00D363A7" w:rsidP="00F77C66">
      <w:pPr>
        <w:pStyle w:val="Authors"/>
        <w:keepNext w:val="0"/>
        <w:spacing w:before="0"/>
        <w:rPr>
          <w:rFonts w:ascii="Times New Roman" w:hAnsi="Times New Roman"/>
          <w:bCs/>
          <w:color w:val="000000"/>
          <w:szCs w:val="22"/>
          <w:lang w:val="is-IS"/>
        </w:rPr>
      </w:pPr>
    </w:p>
    <w:p w14:paraId="05B8BDB7" w14:textId="77777777" w:rsidR="00D363A7" w:rsidRPr="006774D3" w:rsidRDefault="00D363A7" w:rsidP="00F77C66">
      <w:pPr>
        <w:pStyle w:val="Authors"/>
        <w:keepNext w:val="0"/>
        <w:spacing w:before="0"/>
        <w:rPr>
          <w:rFonts w:ascii="Times New Roman" w:hAnsi="Times New Roman"/>
          <w:color w:val="000000"/>
          <w:szCs w:val="22"/>
          <w:lang w:val="is-IS"/>
        </w:rPr>
      </w:pPr>
      <w:r w:rsidRPr="006774D3">
        <w:rPr>
          <w:rFonts w:ascii="Times New Roman" w:hAnsi="Times New Roman"/>
          <w:b/>
          <w:color w:val="000000"/>
          <w:szCs w:val="22"/>
          <w:u w:val="single"/>
          <w:lang w:val="is-IS"/>
        </w:rPr>
        <w:br w:type="page"/>
      </w:r>
    </w:p>
    <w:p w14:paraId="05B8BDB8" w14:textId="77777777" w:rsidR="00FA5D6F" w:rsidRPr="006774D3" w:rsidRDefault="00FA5D6F" w:rsidP="00FA5D6F">
      <w:pPr>
        <w:rPr>
          <w:color w:val="000000"/>
          <w:sz w:val="22"/>
          <w:szCs w:val="22"/>
        </w:rPr>
      </w:pPr>
    </w:p>
    <w:p w14:paraId="05B8BDB9"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LÁGMARKS UPPLÝSINGAR SEM SKULU KOMA FRAM Á ÞYNNUM EÐA STRIMLUM</w:t>
      </w:r>
    </w:p>
    <w:p w14:paraId="05B8BDBA"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DBB"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ÞYNNUR</w:t>
      </w:r>
    </w:p>
    <w:p w14:paraId="05B8BDBC" w14:textId="77777777" w:rsidR="00D363A7" w:rsidRPr="006774D3" w:rsidRDefault="00D363A7" w:rsidP="00F77C66">
      <w:pPr>
        <w:rPr>
          <w:color w:val="000000"/>
          <w:sz w:val="22"/>
          <w:szCs w:val="22"/>
        </w:rPr>
      </w:pPr>
    </w:p>
    <w:p w14:paraId="05B8BDBD" w14:textId="77777777" w:rsidR="00D363A7" w:rsidRPr="006774D3" w:rsidRDefault="00D363A7" w:rsidP="00F77C66">
      <w:pPr>
        <w:pStyle w:val="Authors"/>
        <w:keepNext w:val="0"/>
        <w:spacing w:before="0"/>
        <w:rPr>
          <w:rFonts w:ascii="Times New Roman" w:hAnsi="Times New Roman"/>
          <w:color w:val="000000"/>
          <w:szCs w:val="22"/>
          <w:lang w:val="is-IS"/>
        </w:rPr>
      </w:pPr>
    </w:p>
    <w:p w14:paraId="05B8BDBE"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DBF" w14:textId="77777777" w:rsidR="00D363A7" w:rsidRPr="006774D3" w:rsidRDefault="00D363A7" w:rsidP="00F77C66">
      <w:pPr>
        <w:rPr>
          <w:color w:val="000000"/>
          <w:sz w:val="22"/>
          <w:szCs w:val="22"/>
        </w:rPr>
      </w:pPr>
    </w:p>
    <w:p w14:paraId="05B8BDC0" w14:textId="77777777" w:rsidR="00D363A7" w:rsidRPr="006774D3" w:rsidRDefault="00D363A7" w:rsidP="00F77C66">
      <w:pPr>
        <w:rPr>
          <w:color w:val="000000"/>
          <w:sz w:val="22"/>
          <w:szCs w:val="22"/>
        </w:rPr>
      </w:pPr>
      <w:r w:rsidRPr="006774D3">
        <w:rPr>
          <w:color w:val="000000"/>
          <w:sz w:val="22"/>
          <w:szCs w:val="22"/>
        </w:rPr>
        <w:t>Glivec 100 mg töflur</w:t>
      </w:r>
    </w:p>
    <w:p w14:paraId="05B8BDC1" w14:textId="77777777" w:rsidR="00D363A7" w:rsidRPr="006774D3" w:rsidRDefault="003A7308" w:rsidP="00F77C66">
      <w:pPr>
        <w:rPr>
          <w:color w:val="000000"/>
          <w:sz w:val="22"/>
          <w:szCs w:val="22"/>
        </w:rPr>
      </w:pPr>
      <w:r w:rsidRPr="006774D3">
        <w:rPr>
          <w:color w:val="000000"/>
          <w:sz w:val="22"/>
          <w:szCs w:val="22"/>
        </w:rPr>
        <w:t>i</w:t>
      </w:r>
      <w:r w:rsidR="00D363A7" w:rsidRPr="006774D3">
        <w:rPr>
          <w:color w:val="000000"/>
          <w:sz w:val="22"/>
          <w:szCs w:val="22"/>
        </w:rPr>
        <w:t>matinib</w:t>
      </w:r>
    </w:p>
    <w:p w14:paraId="05B8BDC2" w14:textId="77777777" w:rsidR="00D363A7" w:rsidRPr="006774D3" w:rsidRDefault="00D363A7" w:rsidP="00F77C66">
      <w:pPr>
        <w:rPr>
          <w:color w:val="000000"/>
          <w:sz w:val="22"/>
          <w:szCs w:val="22"/>
        </w:rPr>
      </w:pPr>
    </w:p>
    <w:p w14:paraId="05B8BDC3" w14:textId="77777777" w:rsidR="00D363A7" w:rsidRPr="006774D3" w:rsidRDefault="00D363A7" w:rsidP="00F77C66">
      <w:pPr>
        <w:rPr>
          <w:color w:val="000000"/>
          <w:sz w:val="22"/>
          <w:szCs w:val="22"/>
        </w:rPr>
      </w:pPr>
    </w:p>
    <w:p w14:paraId="05B8BDC4"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NAFN MARKAÐSLEYFISHAFA</w:t>
      </w:r>
    </w:p>
    <w:p w14:paraId="05B8BDC5" w14:textId="77777777" w:rsidR="00D363A7" w:rsidRPr="006774D3" w:rsidRDefault="00D363A7" w:rsidP="00F77C66">
      <w:pPr>
        <w:rPr>
          <w:color w:val="000000"/>
          <w:sz w:val="22"/>
          <w:szCs w:val="22"/>
        </w:rPr>
      </w:pPr>
    </w:p>
    <w:p w14:paraId="05B8BDC6" w14:textId="77777777" w:rsidR="00D363A7" w:rsidRPr="006774D3" w:rsidRDefault="00D363A7" w:rsidP="00F77C66">
      <w:pPr>
        <w:rPr>
          <w:color w:val="000000"/>
          <w:sz w:val="22"/>
          <w:szCs w:val="22"/>
        </w:rPr>
      </w:pPr>
      <w:r w:rsidRPr="006774D3">
        <w:rPr>
          <w:color w:val="000000"/>
          <w:sz w:val="22"/>
          <w:szCs w:val="22"/>
        </w:rPr>
        <w:t>Novartis Europharm Limited</w:t>
      </w:r>
    </w:p>
    <w:p w14:paraId="05B8BDC7" w14:textId="77777777" w:rsidR="00D363A7" w:rsidRPr="006774D3" w:rsidRDefault="00D363A7" w:rsidP="00F77C66">
      <w:pPr>
        <w:rPr>
          <w:color w:val="000000"/>
          <w:sz w:val="22"/>
          <w:szCs w:val="22"/>
        </w:rPr>
      </w:pPr>
    </w:p>
    <w:p w14:paraId="05B8BDC8" w14:textId="77777777" w:rsidR="00D363A7" w:rsidRPr="006774D3" w:rsidRDefault="00D363A7" w:rsidP="00F77C66">
      <w:pPr>
        <w:rPr>
          <w:color w:val="000000"/>
          <w:sz w:val="22"/>
          <w:szCs w:val="22"/>
        </w:rPr>
      </w:pPr>
    </w:p>
    <w:p w14:paraId="05B8BDC9"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FYRNINGARDAGSETNING</w:t>
      </w:r>
    </w:p>
    <w:p w14:paraId="05B8BDCA" w14:textId="77777777" w:rsidR="00D363A7" w:rsidRPr="006774D3" w:rsidRDefault="00D363A7" w:rsidP="00F77C66">
      <w:pPr>
        <w:rPr>
          <w:color w:val="000000"/>
          <w:sz w:val="22"/>
          <w:szCs w:val="22"/>
        </w:rPr>
      </w:pPr>
    </w:p>
    <w:p w14:paraId="05B8BDCB" w14:textId="77777777" w:rsidR="00D363A7" w:rsidRPr="006774D3" w:rsidRDefault="00D363A7" w:rsidP="00F77C66">
      <w:pPr>
        <w:outlineLvl w:val="0"/>
        <w:rPr>
          <w:color w:val="000000"/>
          <w:sz w:val="22"/>
          <w:szCs w:val="22"/>
        </w:rPr>
      </w:pPr>
      <w:r w:rsidRPr="006774D3">
        <w:rPr>
          <w:color w:val="000000"/>
          <w:sz w:val="22"/>
          <w:szCs w:val="22"/>
        </w:rPr>
        <w:t>EXP</w:t>
      </w:r>
    </w:p>
    <w:p w14:paraId="05B8BDCC" w14:textId="77777777" w:rsidR="00D363A7" w:rsidRPr="006774D3" w:rsidRDefault="00D363A7" w:rsidP="00F77C66">
      <w:pPr>
        <w:outlineLvl w:val="0"/>
        <w:rPr>
          <w:color w:val="000000"/>
          <w:sz w:val="22"/>
          <w:szCs w:val="22"/>
        </w:rPr>
      </w:pPr>
    </w:p>
    <w:p w14:paraId="05B8BDCD" w14:textId="77777777" w:rsidR="00D363A7" w:rsidRPr="006774D3" w:rsidRDefault="00D363A7" w:rsidP="00F77C66">
      <w:pPr>
        <w:rPr>
          <w:color w:val="000000"/>
          <w:sz w:val="22"/>
          <w:szCs w:val="22"/>
        </w:rPr>
      </w:pPr>
    </w:p>
    <w:p w14:paraId="05B8BDCE"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LOTUNÚMER</w:t>
      </w:r>
    </w:p>
    <w:p w14:paraId="05B8BDCF" w14:textId="77777777" w:rsidR="00D363A7" w:rsidRPr="006774D3" w:rsidRDefault="00D363A7" w:rsidP="00F77C66">
      <w:pPr>
        <w:rPr>
          <w:color w:val="000000"/>
          <w:sz w:val="22"/>
          <w:szCs w:val="22"/>
        </w:rPr>
      </w:pPr>
    </w:p>
    <w:p w14:paraId="05B8BDD0" w14:textId="77777777" w:rsidR="00D363A7" w:rsidRPr="006774D3" w:rsidRDefault="00D363A7" w:rsidP="00F77C66">
      <w:pPr>
        <w:outlineLvl w:val="0"/>
        <w:rPr>
          <w:color w:val="000000"/>
          <w:sz w:val="22"/>
          <w:szCs w:val="22"/>
        </w:rPr>
      </w:pPr>
      <w:r w:rsidRPr="006774D3">
        <w:rPr>
          <w:color w:val="000000"/>
          <w:sz w:val="22"/>
          <w:szCs w:val="22"/>
        </w:rPr>
        <w:t>Lot</w:t>
      </w:r>
    </w:p>
    <w:p w14:paraId="05B8BDD1" w14:textId="77777777" w:rsidR="00D363A7" w:rsidRPr="006774D3" w:rsidRDefault="00D363A7" w:rsidP="00F77C66">
      <w:pPr>
        <w:rPr>
          <w:color w:val="000000"/>
          <w:sz w:val="22"/>
          <w:szCs w:val="22"/>
        </w:rPr>
      </w:pPr>
    </w:p>
    <w:p w14:paraId="05B8BDD2" w14:textId="77777777" w:rsidR="00D363A7" w:rsidRPr="006774D3" w:rsidRDefault="00D363A7" w:rsidP="00F77C66">
      <w:pPr>
        <w:rPr>
          <w:color w:val="000000"/>
          <w:sz w:val="22"/>
          <w:szCs w:val="22"/>
        </w:rPr>
      </w:pPr>
    </w:p>
    <w:p w14:paraId="05B8BDD3"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ANNAÐ</w:t>
      </w:r>
    </w:p>
    <w:p w14:paraId="05B8BDD4" w14:textId="77777777" w:rsidR="00D363A7" w:rsidRPr="006774D3" w:rsidRDefault="00D363A7" w:rsidP="00F77C66">
      <w:pPr>
        <w:outlineLvl w:val="0"/>
        <w:rPr>
          <w:color w:val="000000"/>
          <w:sz w:val="22"/>
          <w:szCs w:val="22"/>
        </w:rPr>
      </w:pPr>
    </w:p>
    <w:p w14:paraId="05B8BDD5" w14:textId="77777777" w:rsidR="00D363A7" w:rsidRPr="006774D3" w:rsidRDefault="00D363A7" w:rsidP="00F77C66">
      <w:pPr>
        <w:shd w:val="clear" w:color="auto" w:fill="FFFFFF"/>
        <w:rPr>
          <w:color w:val="000000"/>
          <w:sz w:val="22"/>
          <w:szCs w:val="22"/>
        </w:rPr>
      </w:pPr>
      <w:r w:rsidRPr="006774D3">
        <w:rPr>
          <w:b/>
          <w:color w:val="000000"/>
          <w:sz w:val="22"/>
          <w:szCs w:val="22"/>
        </w:rPr>
        <w:br w:type="page"/>
      </w:r>
    </w:p>
    <w:p w14:paraId="05B8BDD6" w14:textId="77777777" w:rsidR="00FA5D6F" w:rsidRPr="006774D3" w:rsidRDefault="00FA5D6F" w:rsidP="00FA5D6F">
      <w:pPr>
        <w:rPr>
          <w:color w:val="000000"/>
          <w:sz w:val="22"/>
          <w:szCs w:val="22"/>
        </w:rPr>
      </w:pPr>
    </w:p>
    <w:p w14:paraId="05B8BDD7"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UPPLÝSINGAR SEM EIGA AÐ KOMA FRAM Á YTRI UMBÚÐUM</w:t>
      </w:r>
    </w:p>
    <w:p w14:paraId="05B8BDD8"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DD9"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aps/>
          <w:color w:val="000000"/>
          <w:sz w:val="22"/>
          <w:szCs w:val="22"/>
        </w:rPr>
      </w:pPr>
      <w:r w:rsidRPr="006774D3">
        <w:rPr>
          <w:b/>
          <w:caps/>
          <w:color w:val="000000"/>
          <w:sz w:val="22"/>
          <w:szCs w:val="22"/>
        </w:rPr>
        <w:t>askja</w:t>
      </w:r>
    </w:p>
    <w:p w14:paraId="05B8BDDA" w14:textId="77777777" w:rsidR="00D363A7" w:rsidRPr="006774D3" w:rsidRDefault="00D363A7" w:rsidP="00F77C66">
      <w:pPr>
        <w:rPr>
          <w:color w:val="000000"/>
          <w:sz w:val="22"/>
          <w:szCs w:val="22"/>
        </w:rPr>
      </w:pPr>
    </w:p>
    <w:p w14:paraId="05B8BDDB" w14:textId="77777777" w:rsidR="00D363A7" w:rsidRPr="006774D3" w:rsidRDefault="00D363A7" w:rsidP="00F77C66">
      <w:pPr>
        <w:rPr>
          <w:color w:val="000000"/>
          <w:sz w:val="22"/>
          <w:szCs w:val="22"/>
        </w:rPr>
      </w:pPr>
    </w:p>
    <w:p w14:paraId="05B8BDDC"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DDD" w14:textId="77777777" w:rsidR="00D363A7" w:rsidRPr="006774D3" w:rsidRDefault="00D363A7" w:rsidP="00F77C66">
      <w:pPr>
        <w:rPr>
          <w:color w:val="000000"/>
          <w:sz w:val="22"/>
          <w:szCs w:val="22"/>
        </w:rPr>
      </w:pPr>
    </w:p>
    <w:p w14:paraId="05B8BDDE" w14:textId="77777777" w:rsidR="00D363A7" w:rsidRPr="006774D3" w:rsidRDefault="00D363A7" w:rsidP="00F77C66">
      <w:pPr>
        <w:pStyle w:val="EndnoteText"/>
        <w:spacing w:before="0" w:after="0"/>
        <w:rPr>
          <w:color w:val="000000"/>
          <w:sz w:val="22"/>
          <w:szCs w:val="22"/>
          <w:lang w:val="is-IS"/>
        </w:rPr>
      </w:pPr>
      <w:r w:rsidRPr="006774D3">
        <w:rPr>
          <w:color w:val="000000"/>
          <w:sz w:val="22"/>
          <w:szCs w:val="22"/>
          <w:lang w:val="is-IS"/>
        </w:rPr>
        <w:t>Glivec 400 mg filmuhúðaðar töflur</w:t>
      </w:r>
    </w:p>
    <w:p w14:paraId="05B8BDDF" w14:textId="77777777" w:rsidR="00D363A7" w:rsidRPr="006774D3" w:rsidRDefault="003A7308" w:rsidP="00F77C66">
      <w:pPr>
        <w:pStyle w:val="EndnoteText"/>
        <w:spacing w:before="0" w:after="0"/>
        <w:rPr>
          <w:color w:val="000000"/>
          <w:sz w:val="22"/>
          <w:szCs w:val="22"/>
          <w:lang w:val="is-IS"/>
        </w:rPr>
      </w:pPr>
      <w:r w:rsidRPr="006774D3">
        <w:rPr>
          <w:color w:val="000000"/>
          <w:sz w:val="22"/>
          <w:szCs w:val="22"/>
          <w:lang w:val="is-IS"/>
        </w:rPr>
        <w:t>i</w:t>
      </w:r>
      <w:r w:rsidR="00D363A7" w:rsidRPr="006774D3">
        <w:rPr>
          <w:color w:val="000000"/>
          <w:sz w:val="22"/>
          <w:szCs w:val="22"/>
          <w:lang w:val="is-IS"/>
        </w:rPr>
        <w:t>matinib</w:t>
      </w:r>
    </w:p>
    <w:p w14:paraId="05B8BDE0" w14:textId="77777777" w:rsidR="00D363A7" w:rsidRPr="006774D3" w:rsidRDefault="00D363A7" w:rsidP="00F77C66">
      <w:pPr>
        <w:pStyle w:val="EndnoteText"/>
        <w:spacing w:before="0" w:after="0"/>
        <w:rPr>
          <w:color w:val="000000"/>
          <w:sz w:val="22"/>
          <w:szCs w:val="22"/>
          <w:lang w:val="is-IS"/>
        </w:rPr>
      </w:pPr>
    </w:p>
    <w:p w14:paraId="05B8BDE1" w14:textId="77777777" w:rsidR="00D363A7" w:rsidRPr="006774D3" w:rsidRDefault="00D363A7" w:rsidP="00F77C66">
      <w:pPr>
        <w:rPr>
          <w:color w:val="000000"/>
          <w:sz w:val="22"/>
          <w:szCs w:val="22"/>
        </w:rPr>
      </w:pPr>
    </w:p>
    <w:p w14:paraId="05B8BDE2"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VIRK(T) EFNI</w:t>
      </w:r>
    </w:p>
    <w:p w14:paraId="05B8BDE3" w14:textId="77777777" w:rsidR="00D363A7" w:rsidRPr="006774D3" w:rsidRDefault="00D363A7" w:rsidP="00F77C66">
      <w:pPr>
        <w:rPr>
          <w:color w:val="000000"/>
          <w:sz w:val="22"/>
          <w:szCs w:val="22"/>
        </w:rPr>
      </w:pPr>
    </w:p>
    <w:p w14:paraId="05B8BDE4" w14:textId="77777777" w:rsidR="00D363A7" w:rsidRPr="006774D3" w:rsidRDefault="00D363A7" w:rsidP="00F77C66">
      <w:pPr>
        <w:rPr>
          <w:color w:val="000000"/>
          <w:sz w:val="22"/>
          <w:szCs w:val="22"/>
        </w:rPr>
      </w:pPr>
      <w:r w:rsidRPr="006774D3">
        <w:rPr>
          <w:color w:val="000000"/>
          <w:sz w:val="22"/>
          <w:szCs w:val="22"/>
        </w:rPr>
        <w:t>Hver filmuhúðuð tafla inniheldur imatinib 400 mg (sem mesilat).</w:t>
      </w:r>
    </w:p>
    <w:p w14:paraId="05B8BDE5" w14:textId="77777777" w:rsidR="00D363A7" w:rsidRPr="006774D3" w:rsidRDefault="00D363A7" w:rsidP="00F77C66">
      <w:pPr>
        <w:rPr>
          <w:color w:val="000000"/>
          <w:sz w:val="22"/>
          <w:szCs w:val="22"/>
        </w:rPr>
      </w:pPr>
    </w:p>
    <w:p w14:paraId="05B8BDE6" w14:textId="77777777" w:rsidR="00D363A7" w:rsidRPr="006774D3" w:rsidRDefault="00D363A7" w:rsidP="00F77C66">
      <w:pPr>
        <w:rPr>
          <w:color w:val="000000"/>
          <w:sz w:val="22"/>
          <w:szCs w:val="22"/>
        </w:rPr>
      </w:pPr>
    </w:p>
    <w:p w14:paraId="05B8BDE7"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HJÁLPAREFNI</w:t>
      </w:r>
    </w:p>
    <w:p w14:paraId="05B8BDE8" w14:textId="77777777" w:rsidR="00D363A7" w:rsidRPr="006774D3" w:rsidRDefault="00D363A7" w:rsidP="00F77C66">
      <w:pPr>
        <w:rPr>
          <w:color w:val="000000"/>
          <w:sz w:val="22"/>
          <w:szCs w:val="22"/>
        </w:rPr>
      </w:pPr>
    </w:p>
    <w:p w14:paraId="05B8BDE9" w14:textId="77777777" w:rsidR="00D363A7" w:rsidRPr="006774D3" w:rsidRDefault="00D363A7" w:rsidP="00F77C66">
      <w:pPr>
        <w:rPr>
          <w:color w:val="000000"/>
          <w:sz w:val="22"/>
          <w:szCs w:val="22"/>
        </w:rPr>
      </w:pPr>
    </w:p>
    <w:p w14:paraId="05B8BDEA"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LYFJAFORM OG INNIHALD</w:t>
      </w:r>
    </w:p>
    <w:p w14:paraId="05B8BDEB" w14:textId="77777777" w:rsidR="00D363A7" w:rsidRPr="006774D3" w:rsidRDefault="00D363A7" w:rsidP="00F77C66">
      <w:pPr>
        <w:rPr>
          <w:color w:val="000000"/>
          <w:sz w:val="22"/>
          <w:szCs w:val="22"/>
        </w:rPr>
      </w:pPr>
    </w:p>
    <w:p w14:paraId="05B8BDEC" w14:textId="77777777" w:rsidR="00D363A7" w:rsidRPr="006774D3" w:rsidRDefault="00D363A7" w:rsidP="00F77C66">
      <w:pPr>
        <w:rPr>
          <w:color w:val="000000"/>
          <w:sz w:val="22"/>
          <w:szCs w:val="22"/>
        </w:rPr>
      </w:pPr>
      <w:r w:rsidRPr="006774D3">
        <w:rPr>
          <w:color w:val="000000"/>
          <w:sz w:val="22"/>
          <w:szCs w:val="22"/>
        </w:rPr>
        <w:t>10 filmuhúðaðar töflur</w:t>
      </w:r>
    </w:p>
    <w:p w14:paraId="05B8BDED"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30 filmuhúðaðar töflur</w:t>
      </w:r>
    </w:p>
    <w:p w14:paraId="05B8BDEE" w14:textId="77777777" w:rsidR="00D363A7" w:rsidRPr="006774D3" w:rsidRDefault="00D363A7" w:rsidP="00F77C66">
      <w:pPr>
        <w:rPr>
          <w:color w:val="000000"/>
          <w:sz w:val="22"/>
          <w:szCs w:val="22"/>
          <w:shd w:val="clear" w:color="auto" w:fill="D9D9D9"/>
        </w:rPr>
      </w:pPr>
      <w:r w:rsidRPr="006774D3">
        <w:rPr>
          <w:color w:val="000000"/>
          <w:sz w:val="22"/>
          <w:szCs w:val="22"/>
          <w:shd w:val="clear" w:color="auto" w:fill="D9D9D9"/>
        </w:rPr>
        <w:t>90 filmuhúðaðar töflur</w:t>
      </w:r>
    </w:p>
    <w:p w14:paraId="05B8BDEF" w14:textId="77777777" w:rsidR="00D363A7" w:rsidRPr="006774D3" w:rsidRDefault="00D363A7" w:rsidP="00F77C66">
      <w:pPr>
        <w:rPr>
          <w:color w:val="000000"/>
          <w:sz w:val="22"/>
          <w:szCs w:val="22"/>
        </w:rPr>
      </w:pPr>
    </w:p>
    <w:p w14:paraId="05B8BDF0" w14:textId="77777777" w:rsidR="00D363A7" w:rsidRPr="006774D3" w:rsidRDefault="00D363A7" w:rsidP="00F77C66">
      <w:pPr>
        <w:rPr>
          <w:color w:val="000000"/>
          <w:sz w:val="22"/>
          <w:szCs w:val="22"/>
        </w:rPr>
      </w:pPr>
    </w:p>
    <w:p w14:paraId="05B8BDF1"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AÐFERÐ VIÐ LYFJAGJÖF OG ÍKOMULEIÐ(IR)</w:t>
      </w:r>
    </w:p>
    <w:p w14:paraId="05B8BDF2" w14:textId="77777777" w:rsidR="00D363A7" w:rsidRPr="006774D3" w:rsidRDefault="00D363A7" w:rsidP="00F77C66">
      <w:pPr>
        <w:rPr>
          <w:color w:val="000000"/>
          <w:sz w:val="22"/>
          <w:szCs w:val="22"/>
        </w:rPr>
      </w:pPr>
    </w:p>
    <w:p w14:paraId="05B8BDF3" w14:textId="77777777" w:rsidR="00D363A7" w:rsidRPr="006774D3" w:rsidRDefault="00D363A7" w:rsidP="00F77C66">
      <w:pPr>
        <w:rPr>
          <w:color w:val="000000"/>
          <w:sz w:val="22"/>
          <w:szCs w:val="22"/>
        </w:rPr>
      </w:pPr>
      <w:r w:rsidRPr="006774D3">
        <w:rPr>
          <w:color w:val="000000"/>
          <w:sz w:val="22"/>
          <w:szCs w:val="22"/>
        </w:rPr>
        <w:t>Til inntöku. Lesið fylgiseðilinn fyrir notkun.</w:t>
      </w:r>
    </w:p>
    <w:p w14:paraId="05B8BDF4" w14:textId="77777777" w:rsidR="00D363A7" w:rsidRPr="006774D3" w:rsidRDefault="00D363A7" w:rsidP="00F77C66">
      <w:pPr>
        <w:rPr>
          <w:color w:val="000000"/>
          <w:sz w:val="22"/>
          <w:szCs w:val="22"/>
        </w:rPr>
      </w:pPr>
    </w:p>
    <w:p w14:paraId="05B8BDF5" w14:textId="77777777" w:rsidR="00D363A7" w:rsidRPr="006774D3" w:rsidRDefault="00D363A7" w:rsidP="00F77C66">
      <w:pPr>
        <w:rPr>
          <w:color w:val="000000"/>
          <w:sz w:val="22"/>
          <w:szCs w:val="22"/>
        </w:rPr>
      </w:pPr>
    </w:p>
    <w:p w14:paraId="05B8BDF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6.</w:t>
      </w:r>
      <w:r w:rsidRPr="006774D3">
        <w:rPr>
          <w:b/>
          <w:color w:val="000000"/>
          <w:sz w:val="22"/>
          <w:szCs w:val="22"/>
        </w:rPr>
        <w:tab/>
        <w:t>SÉRSTÖK VARNAÐARORÐ UM AÐ LYFIÐ SKULI GEYMT ÞAR SEM BÖRN HVORKI NÁ TIL NÉ SJÁ</w:t>
      </w:r>
    </w:p>
    <w:p w14:paraId="05B8BDF7" w14:textId="77777777" w:rsidR="00D363A7" w:rsidRPr="006774D3" w:rsidRDefault="00D363A7" w:rsidP="00F77C66">
      <w:pPr>
        <w:rPr>
          <w:color w:val="000000"/>
          <w:sz w:val="22"/>
          <w:szCs w:val="22"/>
        </w:rPr>
      </w:pPr>
    </w:p>
    <w:p w14:paraId="05B8BDF8" w14:textId="77777777" w:rsidR="00D363A7" w:rsidRPr="006774D3" w:rsidRDefault="00D363A7" w:rsidP="00F77C66">
      <w:pPr>
        <w:outlineLvl w:val="0"/>
        <w:rPr>
          <w:color w:val="000000"/>
          <w:sz w:val="22"/>
          <w:szCs w:val="22"/>
        </w:rPr>
      </w:pPr>
      <w:r w:rsidRPr="006774D3">
        <w:rPr>
          <w:color w:val="000000"/>
          <w:sz w:val="22"/>
          <w:szCs w:val="22"/>
        </w:rPr>
        <w:t>Geymið þar sem börn hvorki ná til né sjá.</w:t>
      </w:r>
    </w:p>
    <w:p w14:paraId="05B8BDF9" w14:textId="77777777" w:rsidR="00D363A7" w:rsidRPr="006774D3" w:rsidRDefault="00D363A7" w:rsidP="00F77C66">
      <w:pPr>
        <w:outlineLvl w:val="0"/>
        <w:rPr>
          <w:color w:val="000000"/>
          <w:sz w:val="22"/>
          <w:szCs w:val="22"/>
        </w:rPr>
      </w:pPr>
    </w:p>
    <w:p w14:paraId="05B8BDFA" w14:textId="77777777" w:rsidR="00D363A7" w:rsidRPr="006774D3" w:rsidRDefault="00D363A7" w:rsidP="00F77C66">
      <w:pPr>
        <w:rPr>
          <w:color w:val="000000"/>
          <w:sz w:val="22"/>
          <w:szCs w:val="22"/>
        </w:rPr>
      </w:pPr>
    </w:p>
    <w:p w14:paraId="05B8BDFB"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7.</w:t>
      </w:r>
      <w:r w:rsidRPr="006774D3">
        <w:rPr>
          <w:b/>
          <w:color w:val="000000"/>
          <w:sz w:val="22"/>
          <w:szCs w:val="22"/>
        </w:rPr>
        <w:tab/>
        <w:t>ÖNNUR SÉRSTÖK VARNAÐARORÐ, EF MEÐ ÞARF</w:t>
      </w:r>
    </w:p>
    <w:p w14:paraId="05B8BDFC" w14:textId="77777777" w:rsidR="00D363A7" w:rsidRPr="006774D3" w:rsidRDefault="00D363A7" w:rsidP="00F77C66">
      <w:pPr>
        <w:rPr>
          <w:color w:val="000000"/>
          <w:sz w:val="22"/>
          <w:szCs w:val="22"/>
        </w:rPr>
      </w:pPr>
    </w:p>
    <w:p w14:paraId="05B8BDFD" w14:textId="77777777" w:rsidR="00D363A7" w:rsidRPr="006774D3" w:rsidRDefault="00D363A7" w:rsidP="00F77C66">
      <w:pPr>
        <w:rPr>
          <w:color w:val="000000"/>
          <w:sz w:val="22"/>
          <w:szCs w:val="22"/>
        </w:rPr>
      </w:pPr>
      <w:r w:rsidRPr="006774D3">
        <w:rPr>
          <w:color w:val="000000"/>
          <w:sz w:val="22"/>
          <w:szCs w:val="22"/>
        </w:rPr>
        <w:t>Notið einungis samkvæmt fyrirmælum læknis.</w:t>
      </w:r>
    </w:p>
    <w:p w14:paraId="05B8BDFE" w14:textId="77777777" w:rsidR="00D363A7" w:rsidRPr="006774D3" w:rsidRDefault="00D363A7" w:rsidP="00F77C66">
      <w:pPr>
        <w:rPr>
          <w:color w:val="000000"/>
          <w:sz w:val="22"/>
          <w:szCs w:val="22"/>
        </w:rPr>
      </w:pPr>
    </w:p>
    <w:p w14:paraId="05B8BDFF" w14:textId="77777777" w:rsidR="00D363A7" w:rsidRPr="006774D3" w:rsidRDefault="00D363A7" w:rsidP="00F77C66">
      <w:pPr>
        <w:rPr>
          <w:color w:val="000000"/>
          <w:sz w:val="22"/>
          <w:szCs w:val="22"/>
        </w:rPr>
      </w:pPr>
    </w:p>
    <w:p w14:paraId="05B8BE00"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8.</w:t>
      </w:r>
      <w:r w:rsidRPr="006774D3">
        <w:rPr>
          <w:b/>
          <w:color w:val="000000"/>
          <w:sz w:val="22"/>
          <w:szCs w:val="22"/>
        </w:rPr>
        <w:tab/>
        <w:t>FYRNINGARDAGSETNING</w:t>
      </w:r>
    </w:p>
    <w:p w14:paraId="05B8BE01" w14:textId="77777777" w:rsidR="00D363A7" w:rsidRPr="006774D3" w:rsidRDefault="00D363A7" w:rsidP="00F77C66">
      <w:pPr>
        <w:rPr>
          <w:color w:val="000000"/>
          <w:sz w:val="22"/>
          <w:szCs w:val="22"/>
        </w:rPr>
      </w:pPr>
    </w:p>
    <w:p w14:paraId="05B8BE02" w14:textId="77777777" w:rsidR="00D363A7" w:rsidRPr="006774D3" w:rsidRDefault="00B467B3" w:rsidP="00F77C66">
      <w:pPr>
        <w:outlineLvl w:val="0"/>
        <w:rPr>
          <w:color w:val="000000"/>
          <w:sz w:val="22"/>
          <w:szCs w:val="22"/>
        </w:rPr>
      </w:pPr>
      <w:r w:rsidRPr="006774D3">
        <w:rPr>
          <w:color w:val="000000"/>
          <w:sz w:val="22"/>
          <w:szCs w:val="22"/>
        </w:rPr>
        <w:t>EXP</w:t>
      </w:r>
    </w:p>
    <w:p w14:paraId="05B8BE03" w14:textId="77777777" w:rsidR="00D363A7" w:rsidRPr="006774D3" w:rsidRDefault="00D363A7" w:rsidP="00F77C66">
      <w:pPr>
        <w:outlineLvl w:val="0"/>
        <w:rPr>
          <w:color w:val="000000"/>
          <w:sz w:val="22"/>
          <w:szCs w:val="22"/>
        </w:rPr>
      </w:pPr>
    </w:p>
    <w:p w14:paraId="05B8BE04" w14:textId="77777777" w:rsidR="00D363A7" w:rsidRPr="006774D3" w:rsidRDefault="00D363A7" w:rsidP="00F77C66">
      <w:pPr>
        <w:rPr>
          <w:color w:val="000000"/>
          <w:sz w:val="22"/>
          <w:szCs w:val="22"/>
        </w:rPr>
      </w:pPr>
    </w:p>
    <w:p w14:paraId="05B8BE05"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9.</w:t>
      </w:r>
      <w:r w:rsidRPr="006774D3">
        <w:rPr>
          <w:b/>
          <w:color w:val="000000"/>
          <w:sz w:val="22"/>
          <w:szCs w:val="22"/>
        </w:rPr>
        <w:tab/>
        <w:t>SÉRSTÖK GEYMSLUSKILYRÐI</w:t>
      </w:r>
    </w:p>
    <w:p w14:paraId="05B8BE06" w14:textId="77777777" w:rsidR="00D363A7" w:rsidRPr="006774D3" w:rsidRDefault="00D363A7" w:rsidP="00F77C66">
      <w:pPr>
        <w:keepNext/>
        <w:rPr>
          <w:color w:val="000000"/>
          <w:sz w:val="22"/>
          <w:szCs w:val="22"/>
        </w:rPr>
      </w:pPr>
    </w:p>
    <w:p w14:paraId="05B8BE07" w14:textId="77777777" w:rsidR="00D363A7" w:rsidRPr="006774D3" w:rsidRDefault="00D363A7" w:rsidP="00F77C66">
      <w:pPr>
        <w:keepNext/>
        <w:rPr>
          <w:color w:val="000000"/>
          <w:sz w:val="22"/>
          <w:szCs w:val="22"/>
        </w:rPr>
      </w:pPr>
      <w:r w:rsidRPr="006774D3">
        <w:rPr>
          <w:color w:val="000000"/>
          <w:sz w:val="22"/>
          <w:szCs w:val="22"/>
        </w:rPr>
        <w:t xml:space="preserve">Geymið við </w:t>
      </w:r>
      <w:r w:rsidR="00B47A54" w:rsidRPr="006774D3">
        <w:rPr>
          <w:color w:val="000000"/>
          <w:sz w:val="22"/>
          <w:szCs w:val="22"/>
        </w:rPr>
        <w:t xml:space="preserve">lægri </w:t>
      </w:r>
      <w:r w:rsidRPr="006774D3">
        <w:rPr>
          <w:color w:val="000000"/>
          <w:sz w:val="22"/>
          <w:szCs w:val="22"/>
        </w:rPr>
        <w:t>hita en 30</w:t>
      </w:r>
      <w:r w:rsidRPr="006774D3">
        <w:rPr>
          <w:color w:val="000000"/>
          <w:sz w:val="22"/>
          <w:szCs w:val="22"/>
        </w:rPr>
        <w:sym w:font="Symbol" w:char="00B0"/>
      </w:r>
      <w:r w:rsidRPr="006774D3">
        <w:rPr>
          <w:color w:val="000000"/>
          <w:sz w:val="22"/>
          <w:szCs w:val="22"/>
        </w:rPr>
        <w:t>C. Geymið í upprunalegum umbúðum til varnar gegn raka.</w:t>
      </w:r>
    </w:p>
    <w:p w14:paraId="05B8BE08" w14:textId="77777777" w:rsidR="00D363A7" w:rsidRPr="006774D3" w:rsidRDefault="00D363A7" w:rsidP="00F77C66">
      <w:pPr>
        <w:rPr>
          <w:color w:val="000000"/>
          <w:sz w:val="22"/>
          <w:szCs w:val="22"/>
        </w:rPr>
      </w:pPr>
    </w:p>
    <w:p w14:paraId="05B8BE09" w14:textId="77777777" w:rsidR="00D363A7" w:rsidRPr="006774D3" w:rsidRDefault="00D363A7" w:rsidP="00F77C66">
      <w:pPr>
        <w:rPr>
          <w:color w:val="000000"/>
          <w:sz w:val="22"/>
          <w:szCs w:val="22"/>
        </w:rPr>
      </w:pPr>
    </w:p>
    <w:p w14:paraId="05B8BE0A" w14:textId="77777777" w:rsidR="00D363A7" w:rsidRPr="006774D3" w:rsidRDefault="00D363A7" w:rsidP="00F77C66">
      <w:pPr>
        <w:keepNext/>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lastRenderedPageBreak/>
        <w:t>10.</w:t>
      </w:r>
      <w:r w:rsidRPr="006774D3">
        <w:rPr>
          <w:b/>
          <w:color w:val="000000"/>
          <w:sz w:val="22"/>
          <w:szCs w:val="22"/>
        </w:rPr>
        <w:tab/>
        <w:t>SÉRSTAKAR VARÚÐARRÁÐSTAFANIR VIÐ FÖRGUN LYFJALEIFA EÐA ÚRGANGS VEGNA LYFSINS ÞAR SEM VIÐ Á</w:t>
      </w:r>
    </w:p>
    <w:p w14:paraId="05B8BE0B" w14:textId="77777777" w:rsidR="00D363A7" w:rsidRPr="006774D3" w:rsidRDefault="00D363A7" w:rsidP="00F77C66">
      <w:pPr>
        <w:keepNext/>
        <w:rPr>
          <w:color w:val="000000"/>
          <w:sz w:val="22"/>
          <w:szCs w:val="22"/>
        </w:rPr>
      </w:pPr>
    </w:p>
    <w:p w14:paraId="05B8BE0C" w14:textId="77777777" w:rsidR="00D363A7" w:rsidRPr="006774D3" w:rsidRDefault="00D363A7" w:rsidP="00F77C66">
      <w:pPr>
        <w:rPr>
          <w:color w:val="000000"/>
          <w:sz w:val="22"/>
          <w:szCs w:val="22"/>
        </w:rPr>
      </w:pPr>
    </w:p>
    <w:p w14:paraId="05B8BE0D"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11.</w:t>
      </w:r>
      <w:r w:rsidRPr="006774D3">
        <w:rPr>
          <w:b/>
          <w:color w:val="000000"/>
          <w:sz w:val="22"/>
          <w:szCs w:val="22"/>
        </w:rPr>
        <w:tab/>
        <w:t>NAFN OG HEIMILISFANG MARKAÐSLEYFISHAFA</w:t>
      </w:r>
    </w:p>
    <w:p w14:paraId="05B8BE0E" w14:textId="77777777" w:rsidR="00D363A7" w:rsidRPr="006774D3" w:rsidRDefault="00D363A7" w:rsidP="00F77C66">
      <w:pPr>
        <w:rPr>
          <w:color w:val="000000"/>
          <w:sz w:val="22"/>
          <w:szCs w:val="22"/>
        </w:rPr>
      </w:pPr>
    </w:p>
    <w:p w14:paraId="05B8BE0F" w14:textId="77777777" w:rsidR="00D363A7" w:rsidRPr="006774D3" w:rsidRDefault="00D363A7" w:rsidP="00F77C66">
      <w:pPr>
        <w:rPr>
          <w:color w:val="000000"/>
          <w:sz w:val="22"/>
          <w:szCs w:val="22"/>
        </w:rPr>
      </w:pPr>
      <w:r w:rsidRPr="006774D3">
        <w:rPr>
          <w:color w:val="000000"/>
          <w:sz w:val="22"/>
          <w:szCs w:val="22"/>
        </w:rPr>
        <w:t>Novartis Europharm Limited</w:t>
      </w:r>
    </w:p>
    <w:p w14:paraId="05B8BE10"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BE11"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BE12"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BE13" w14:textId="77777777" w:rsidR="00D363A7" w:rsidRPr="006774D3" w:rsidRDefault="00B3755B" w:rsidP="00F77C66">
      <w:pPr>
        <w:rPr>
          <w:color w:val="000000"/>
          <w:sz w:val="22"/>
          <w:szCs w:val="22"/>
        </w:rPr>
      </w:pPr>
      <w:r w:rsidRPr="006774D3">
        <w:rPr>
          <w:color w:val="000000"/>
          <w:sz w:val="22"/>
          <w:szCs w:val="22"/>
        </w:rPr>
        <w:t>Írland</w:t>
      </w:r>
    </w:p>
    <w:p w14:paraId="05B8BE14" w14:textId="77777777" w:rsidR="00D363A7" w:rsidRPr="006774D3" w:rsidRDefault="00D363A7" w:rsidP="00F77C66">
      <w:pPr>
        <w:rPr>
          <w:color w:val="000000"/>
          <w:sz w:val="22"/>
          <w:szCs w:val="22"/>
        </w:rPr>
      </w:pPr>
    </w:p>
    <w:p w14:paraId="05B8BE15" w14:textId="77777777" w:rsidR="00D363A7" w:rsidRPr="006774D3" w:rsidRDefault="00D363A7" w:rsidP="00F77C66">
      <w:pPr>
        <w:rPr>
          <w:color w:val="000000"/>
          <w:sz w:val="22"/>
          <w:szCs w:val="22"/>
        </w:rPr>
      </w:pPr>
    </w:p>
    <w:p w14:paraId="05B8BE1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12.</w:t>
      </w:r>
      <w:r w:rsidRPr="006774D3">
        <w:rPr>
          <w:b/>
          <w:color w:val="000000"/>
          <w:sz w:val="22"/>
          <w:szCs w:val="22"/>
        </w:rPr>
        <w:tab/>
        <w:t>MARKAÐSLEYFISNÚMER</w:t>
      </w:r>
    </w:p>
    <w:p w14:paraId="05B8BE17" w14:textId="77777777" w:rsidR="00D363A7" w:rsidRPr="006774D3" w:rsidRDefault="00D363A7" w:rsidP="00F77C66">
      <w:pPr>
        <w:rPr>
          <w:color w:val="000000"/>
          <w:sz w:val="22"/>
          <w:szCs w:val="22"/>
        </w:rPr>
      </w:pPr>
    </w:p>
    <w:p w14:paraId="05B8BE18"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rPr>
        <w:t>EU/1/01/198/009</w:t>
      </w:r>
      <w:r w:rsidRPr="006774D3">
        <w:rPr>
          <w:color w:val="000000"/>
          <w:sz w:val="22"/>
          <w:szCs w:val="22"/>
        </w:rPr>
        <w:tab/>
      </w:r>
      <w:r w:rsidRPr="006774D3">
        <w:rPr>
          <w:color w:val="000000"/>
          <w:sz w:val="22"/>
          <w:szCs w:val="22"/>
          <w:shd w:val="clear" w:color="auto" w:fill="D9D9D9"/>
        </w:rPr>
        <w:t>10 töflur</w:t>
      </w:r>
    </w:p>
    <w:p w14:paraId="05B8BE19"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shd w:val="clear" w:color="auto" w:fill="D9D9D9"/>
        </w:rPr>
        <w:t>EU/1/01/198/010</w:t>
      </w:r>
      <w:r w:rsidRPr="006774D3">
        <w:rPr>
          <w:color w:val="000000"/>
          <w:sz w:val="22"/>
          <w:szCs w:val="22"/>
          <w:shd w:val="clear" w:color="auto" w:fill="D9D9D9"/>
        </w:rPr>
        <w:tab/>
        <w:t>30 töflur</w:t>
      </w:r>
    </w:p>
    <w:p w14:paraId="05B8BE1A" w14:textId="77777777" w:rsidR="00D363A7" w:rsidRPr="006774D3" w:rsidRDefault="00D363A7" w:rsidP="00F77C66">
      <w:pPr>
        <w:tabs>
          <w:tab w:val="left" w:pos="2340"/>
        </w:tabs>
        <w:rPr>
          <w:color w:val="000000"/>
          <w:sz w:val="22"/>
          <w:szCs w:val="22"/>
          <w:shd w:val="clear" w:color="auto" w:fill="D9D9D9"/>
        </w:rPr>
      </w:pPr>
      <w:r w:rsidRPr="006774D3">
        <w:rPr>
          <w:color w:val="000000"/>
          <w:sz w:val="22"/>
          <w:szCs w:val="22"/>
          <w:shd w:val="clear" w:color="auto" w:fill="D9D9D9"/>
        </w:rPr>
        <w:t>EU/1/01/198/013</w:t>
      </w:r>
      <w:r w:rsidRPr="006774D3">
        <w:rPr>
          <w:color w:val="000000"/>
          <w:sz w:val="22"/>
          <w:szCs w:val="22"/>
          <w:shd w:val="clear" w:color="auto" w:fill="D9D9D9"/>
        </w:rPr>
        <w:tab/>
        <w:t>90 töflur</w:t>
      </w:r>
    </w:p>
    <w:p w14:paraId="05B8BE1B" w14:textId="77777777" w:rsidR="00D363A7" w:rsidRPr="006774D3" w:rsidRDefault="00D363A7" w:rsidP="00F77C66">
      <w:pPr>
        <w:outlineLvl w:val="0"/>
        <w:rPr>
          <w:color w:val="000000"/>
          <w:sz w:val="22"/>
          <w:szCs w:val="22"/>
        </w:rPr>
      </w:pPr>
    </w:p>
    <w:p w14:paraId="05B8BE1C" w14:textId="77777777" w:rsidR="00D363A7" w:rsidRPr="006774D3" w:rsidRDefault="00D363A7" w:rsidP="00F77C66">
      <w:pPr>
        <w:rPr>
          <w:color w:val="000000"/>
          <w:sz w:val="22"/>
          <w:szCs w:val="22"/>
        </w:rPr>
      </w:pPr>
    </w:p>
    <w:p w14:paraId="05B8BE1D"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13.</w:t>
      </w:r>
      <w:r w:rsidRPr="006774D3">
        <w:rPr>
          <w:b/>
          <w:color w:val="000000"/>
          <w:sz w:val="22"/>
          <w:szCs w:val="22"/>
        </w:rPr>
        <w:tab/>
        <w:t>LOTUNÚMER</w:t>
      </w:r>
    </w:p>
    <w:p w14:paraId="05B8BE1E" w14:textId="77777777" w:rsidR="00D363A7" w:rsidRPr="006774D3" w:rsidRDefault="00D363A7" w:rsidP="00F77C66">
      <w:pPr>
        <w:rPr>
          <w:color w:val="000000"/>
          <w:sz w:val="22"/>
          <w:szCs w:val="22"/>
        </w:rPr>
      </w:pPr>
    </w:p>
    <w:p w14:paraId="05B8BE1F" w14:textId="77777777" w:rsidR="00D363A7" w:rsidRPr="006774D3" w:rsidRDefault="00D363A7" w:rsidP="00F77C66">
      <w:pPr>
        <w:outlineLvl w:val="0"/>
        <w:rPr>
          <w:color w:val="000000"/>
          <w:sz w:val="22"/>
          <w:szCs w:val="22"/>
        </w:rPr>
      </w:pPr>
      <w:r w:rsidRPr="006774D3">
        <w:rPr>
          <w:color w:val="000000"/>
          <w:sz w:val="22"/>
          <w:szCs w:val="22"/>
        </w:rPr>
        <w:t>Lotunr.</w:t>
      </w:r>
    </w:p>
    <w:p w14:paraId="05B8BE20" w14:textId="77777777" w:rsidR="00D363A7" w:rsidRPr="006774D3" w:rsidRDefault="00D363A7" w:rsidP="00F77C66">
      <w:pPr>
        <w:outlineLvl w:val="0"/>
        <w:rPr>
          <w:color w:val="000000"/>
          <w:sz w:val="22"/>
          <w:szCs w:val="22"/>
        </w:rPr>
      </w:pPr>
    </w:p>
    <w:p w14:paraId="05B8BE21" w14:textId="77777777" w:rsidR="00D363A7" w:rsidRPr="006774D3" w:rsidRDefault="00D363A7" w:rsidP="00F77C66">
      <w:pPr>
        <w:rPr>
          <w:color w:val="000000"/>
          <w:sz w:val="22"/>
          <w:szCs w:val="22"/>
        </w:rPr>
      </w:pPr>
    </w:p>
    <w:p w14:paraId="05B8BE22"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14.</w:t>
      </w:r>
      <w:r w:rsidRPr="006774D3">
        <w:rPr>
          <w:b/>
          <w:color w:val="000000"/>
          <w:sz w:val="22"/>
          <w:szCs w:val="22"/>
        </w:rPr>
        <w:tab/>
        <w:t>AFGREIÐSLUTILHÖGUN</w:t>
      </w:r>
    </w:p>
    <w:p w14:paraId="05B8BE23" w14:textId="77777777" w:rsidR="00D363A7" w:rsidRPr="006774D3" w:rsidRDefault="00D363A7" w:rsidP="00F77C66">
      <w:pPr>
        <w:rPr>
          <w:color w:val="000000"/>
          <w:sz w:val="22"/>
          <w:szCs w:val="22"/>
        </w:rPr>
      </w:pPr>
    </w:p>
    <w:p w14:paraId="05B8BE24" w14:textId="77777777" w:rsidR="00D363A7" w:rsidRPr="006774D3" w:rsidRDefault="00D363A7" w:rsidP="00F77C66">
      <w:pPr>
        <w:rPr>
          <w:color w:val="000000"/>
          <w:sz w:val="22"/>
          <w:szCs w:val="22"/>
        </w:rPr>
      </w:pPr>
    </w:p>
    <w:p w14:paraId="05B8BE25"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15.</w:t>
      </w:r>
      <w:r w:rsidRPr="006774D3">
        <w:rPr>
          <w:b/>
          <w:color w:val="000000"/>
          <w:sz w:val="22"/>
          <w:szCs w:val="22"/>
        </w:rPr>
        <w:tab/>
        <w:t>NOTKUNARLEIÐBEININGAR</w:t>
      </w:r>
    </w:p>
    <w:p w14:paraId="05B8BE26" w14:textId="77777777" w:rsidR="00D363A7" w:rsidRPr="006774D3" w:rsidRDefault="00D363A7" w:rsidP="00F77C66">
      <w:pPr>
        <w:shd w:val="clear" w:color="auto" w:fill="FFFFFF"/>
        <w:rPr>
          <w:color w:val="000000"/>
          <w:sz w:val="22"/>
          <w:szCs w:val="22"/>
        </w:rPr>
      </w:pPr>
    </w:p>
    <w:p w14:paraId="05B8BE27" w14:textId="77777777" w:rsidR="00D363A7" w:rsidRPr="006774D3" w:rsidRDefault="00D363A7" w:rsidP="00F77C66">
      <w:pPr>
        <w:shd w:val="clear" w:color="auto" w:fill="FFFFFF"/>
        <w:rPr>
          <w:color w:val="000000"/>
          <w:sz w:val="22"/>
          <w:szCs w:val="22"/>
        </w:rPr>
      </w:pPr>
    </w:p>
    <w:p w14:paraId="05B8BE28"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16.</w:t>
      </w:r>
      <w:r w:rsidRPr="006774D3">
        <w:rPr>
          <w:b/>
          <w:color w:val="000000"/>
          <w:sz w:val="22"/>
          <w:szCs w:val="22"/>
        </w:rPr>
        <w:tab/>
        <w:t>UPPLÝSINGAR MEÐ BLINDRALETRI</w:t>
      </w:r>
    </w:p>
    <w:p w14:paraId="05B8BE29" w14:textId="77777777" w:rsidR="00D363A7" w:rsidRPr="006774D3" w:rsidRDefault="00D363A7" w:rsidP="00F77C66">
      <w:pPr>
        <w:shd w:val="clear" w:color="auto" w:fill="FFFFFF"/>
        <w:rPr>
          <w:color w:val="000000"/>
          <w:sz w:val="22"/>
          <w:szCs w:val="22"/>
        </w:rPr>
      </w:pPr>
    </w:p>
    <w:p w14:paraId="05B8BE2A" w14:textId="77777777" w:rsidR="00D363A7" w:rsidRPr="006774D3" w:rsidRDefault="00D363A7" w:rsidP="00F77C66">
      <w:pPr>
        <w:shd w:val="clear" w:color="auto" w:fill="FFFFFF"/>
        <w:rPr>
          <w:color w:val="000000"/>
          <w:sz w:val="22"/>
          <w:szCs w:val="22"/>
        </w:rPr>
      </w:pPr>
      <w:r w:rsidRPr="006774D3">
        <w:rPr>
          <w:color w:val="000000"/>
          <w:sz w:val="22"/>
          <w:szCs w:val="22"/>
        </w:rPr>
        <w:t>Glivec 400 mg</w:t>
      </w:r>
    </w:p>
    <w:p w14:paraId="05B8BE2B" w14:textId="77777777" w:rsidR="00B47A54" w:rsidRPr="006774D3" w:rsidRDefault="00B47A54" w:rsidP="00F77C66">
      <w:pPr>
        <w:tabs>
          <w:tab w:val="left" w:pos="567"/>
        </w:tabs>
        <w:rPr>
          <w:color w:val="000000"/>
          <w:sz w:val="22"/>
          <w:szCs w:val="22"/>
        </w:rPr>
      </w:pPr>
    </w:p>
    <w:p w14:paraId="05B8BE2C"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E2E" w14:textId="77777777" w:rsidTr="00552F50">
        <w:tc>
          <w:tcPr>
            <w:tcW w:w="9287" w:type="dxa"/>
          </w:tcPr>
          <w:p w14:paraId="05B8BE2D" w14:textId="77777777" w:rsidR="00B47A54" w:rsidRPr="006774D3" w:rsidRDefault="00B47A54" w:rsidP="00F77C66">
            <w:pPr>
              <w:rPr>
                <w:b/>
                <w:sz w:val="22"/>
                <w:szCs w:val="22"/>
              </w:rPr>
            </w:pPr>
            <w:r w:rsidRPr="006774D3">
              <w:rPr>
                <w:b/>
                <w:sz w:val="22"/>
                <w:szCs w:val="22"/>
              </w:rPr>
              <w:t>17.</w:t>
            </w:r>
            <w:r w:rsidRPr="006774D3">
              <w:rPr>
                <w:b/>
                <w:sz w:val="22"/>
                <w:szCs w:val="22"/>
              </w:rPr>
              <w:tab/>
              <w:t>EINKVÆMT AUÐKENNI – TVÍVÍTT STRIKAMERKI</w:t>
            </w:r>
          </w:p>
        </w:tc>
      </w:tr>
    </w:tbl>
    <w:p w14:paraId="05B8BE2F" w14:textId="77777777" w:rsidR="00B47A54" w:rsidRPr="006774D3" w:rsidRDefault="00B47A54" w:rsidP="00F77C66">
      <w:pPr>
        <w:rPr>
          <w:sz w:val="22"/>
          <w:szCs w:val="22"/>
        </w:rPr>
      </w:pPr>
    </w:p>
    <w:p w14:paraId="05B8BE30" w14:textId="77777777" w:rsidR="00B47A54" w:rsidRPr="006774D3" w:rsidRDefault="00B47A54" w:rsidP="00F77C66">
      <w:pPr>
        <w:rPr>
          <w:sz w:val="22"/>
          <w:szCs w:val="22"/>
        </w:rPr>
      </w:pPr>
      <w:r w:rsidRPr="006774D3">
        <w:rPr>
          <w:sz w:val="22"/>
          <w:szCs w:val="22"/>
          <w:shd w:val="pct15" w:color="auto" w:fill="auto"/>
        </w:rPr>
        <w:t>Á pakkningunni er tvívítt strikamerki með einkvæmu auðkenni.</w:t>
      </w:r>
    </w:p>
    <w:p w14:paraId="05B8BE31" w14:textId="77777777" w:rsidR="00B47A54" w:rsidRPr="006774D3" w:rsidRDefault="00B47A54" w:rsidP="00F77C66">
      <w:pPr>
        <w:rPr>
          <w:sz w:val="22"/>
          <w:szCs w:val="22"/>
        </w:rPr>
      </w:pPr>
    </w:p>
    <w:p w14:paraId="05B8BE32" w14:textId="77777777" w:rsidR="00B47A54" w:rsidRPr="006774D3" w:rsidRDefault="00B47A54" w:rsidP="00F77C6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47A54" w:rsidRPr="006774D3" w14:paraId="05B8BE34" w14:textId="77777777" w:rsidTr="00552F50">
        <w:tc>
          <w:tcPr>
            <w:tcW w:w="9287" w:type="dxa"/>
          </w:tcPr>
          <w:p w14:paraId="05B8BE33" w14:textId="77777777" w:rsidR="00B47A54" w:rsidRPr="006774D3" w:rsidRDefault="00B47A54" w:rsidP="00F77C66">
            <w:pPr>
              <w:rPr>
                <w:b/>
                <w:sz w:val="22"/>
                <w:szCs w:val="22"/>
              </w:rPr>
            </w:pPr>
            <w:r w:rsidRPr="006774D3">
              <w:rPr>
                <w:b/>
                <w:sz w:val="22"/>
                <w:szCs w:val="22"/>
              </w:rPr>
              <w:t>18.</w:t>
            </w:r>
            <w:r w:rsidRPr="006774D3">
              <w:rPr>
                <w:b/>
                <w:sz w:val="22"/>
                <w:szCs w:val="22"/>
              </w:rPr>
              <w:tab/>
              <w:t>EINKVÆMT AUÐKENNI – UPPLÝSINGAR SEM FÓLK GETUR LESIÐ</w:t>
            </w:r>
          </w:p>
        </w:tc>
      </w:tr>
    </w:tbl>
    <w:p w14:paraId="05B8BE35" w14:textId="77777777" w:rsidR="00B47A54" w:rsidRPr="006774D3" w:rsidRDefault="00B47A54" w:rsidP="00F77C66">
      <w:pPr>
        <w:rPr>
          <w:sz w:val="22"/>
          <w:szCs w:val="22"/>
        </w:rPr>
      </w:pPr>
    </w:p>
    <w:p w14:paraId="05B8BE36" w14:textId="77777777" w:rsidR="00B47A54" w:rsidRPr="006774D3" w:rsidRDefault="00B47A54" w:rsidP="00F77C66">
      <w:pPr>
        <w:rPr>
          <w:sz w:val="22"/>
          <w:szCs w:val="22"/>
        </w:rPr>
      </w:pPr>
      <w:r w:rsidRPr="006774D3">
        <w:rPr>
          <w:sz w:val="22"/>
          <w:szCs w:val="22"/>
        </w:rPr>
        <w:t>PC:</w:t>
      </w:r>
    </w:p>
    <w:p w14:paraId="05B8BE37" w14:textId="77777777" w:rsidR="00B47A54" w:rsidRPr="006774D3" w:rsidRDefault="00B47A54" w:rsidP="00F77C66">
      <w:pPr>
        <w:rPr>
          <w:sz w:val="22"/>
          <w:szCs w:val="22"/>
        </w:rPr>
      </w:pPr>
      <w:r w:rsidRPr="006774D3">
        <w:rPr>
          <w:sz w:val="22"/>
          <w:szCs w:val="22"/>
        </w:rPr>
        <w:t>SN:</w:t>
      </w:r>
    </w:p>
    <w:p w14:paraId="05B8BE38" w14:textId="77777777" w:rsidR="00B47A54" w:rsidRPr="006774D3" w:rsidRDefault="00B47A54" w:rsidP="00F77C66">
      <w:pPr>
        <w:rPr>
          <w:sz w:val="22"/>
          <w:szCs w:val="22"/>
        </w:rPr>
      </w:pPr>
      <w:r w:rsidRPr="006774D3">
        <w:rPr>
          <w:sz w:val="22"/>
          <w:szCs w:val="22"/>
        </w:rPr>
        <w:t>NN:</w:t>
      </w:r>
    </w:p>
    <w:p w14:paraId="05B8BE39" w14:textId="77777777" w:rsidR="00D363A7" w:rsidRPr="006774D3" w:rsidRDefault="00D363A7" w:rsidP="00F77C66">
      <w:pPr>
        <w:shd w:val="clear" w:color="auto" w:fill="FFFFFF"/>
        <w:rPr>
          <w:bCs/>
          <w:color w:val="000000"/>
          <w:sz w:val="22"/>
          <w:szCs w:val="22"/>
        </w:rPr>
      </w:pPr>
    </w:p>
    <w:p w14:paraId="05B8BE3A" w14:textId="77777777" w:rsidR="00D363A7" w:rsidRPr="006774D3" w:rsidRDefault="00D363A7" w:rsidP="00F77C66">
      <w:pPr>
        <w:rPr>
          <w:bCs/>
          <w:color w:val="000000"/>
          <w:sz w:val="22"/>
          <w:szCs w:val="22"/>
        </w:rPr>
      </w:pPr>
      <w:r w:rsidRPr="006774D3">
        <w:rPr>
          <w:b/>
          <w:color w:val="000000"/>
          <w:sz w:val="22"/>
          <w:szCs w:val="22"/>
          <w:u w:val="single"/>
        </w:rPr>
        <w:br w:type="page"/>
      </w:r>
    </w:p>
    <w:p w14:paraId="05B8BE3B" w14:textId="77777777" w:rsidR="00FA5D6F" w:rsidRPr="006774D3" w:rsidRDefault="00FA5D6F" w:rsidP="00FA5D6F">
      <w:pPr>
        <w:rPr>
          <w:color w:val="000000"/>
          <w:sz w:val="22"/>
          <w:szCs w:val="22"/>
        </w:rPr>
      </w:pPr>
    </w:p>
    <w:p w14:paraId="05B8BE3C"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LÁGMARKS UPPLÝSINGAR SEM SKULU KOMA FRAM Á ÞYNNUM EÐA STRIMLUM</w:t>
      </w:r>
    </w:p>
    <w:p w14:paraId="05B8BE3D" w14:textId="77777777" w:rsidR="00D363A7" w:rsidRPr="006774D3" w:rsidRDefault="00D363A7" w:rsidP="00F77C66">
      <w:pPr>
        <w:pBdr>
          <w:top w:val="single" w:sz="4" w:space="1" w:color="auto"/>
          <w:left w:val="single" w:sz="4" w:space="4" w:color="auto"/>
          <w:bottom w:val="single" w:sz="4" w:space="1" w:color="auto"/>
          <w:right w:val="single" w:sz="4" w:space="4" w:color="auto"/>
        </w:pBdr>
        <w:rPr>
          <w:color w:val="000000"/>
          <w:sz w:val="22"/>
          <w:szCs w:val="22"/>
        </w:rPr>
      </w:pPr>
    </w:p>
    <w:p w14:paraId="05B8BE3E" w14:textId="77777777" w:rsidR="00D363A7" w:rsidRPr="006774D3" w:rsidRDefault="00D363A7" w:rsidP="00F77C66">
      <w:pPr>
        <w:pBdr>
          <w:top w:val="single" w:sz="4" w:space="1" w:color="auto"/>
          <w:left w:val="single" w:sz="4" w:space="4" w:color="auto"/>
          <w:bottom w:val="single" w:sz="4" w:space="1" w:color="auto"/>
          <w:right w:val="single" w:sz="4" w:space="4" w:color="auto"/>
        </w:pBdr>
        <w:rPr>
          <w:b/>
          <w:color w:val="000000"/>
          <w:sz w:val="22"/>
          <w:szCs w:val="22"/>
        </w:rPr>
      </w:pPr>
      <w:r w:rsidRPr="006774D3">
        <w:rPr>
          <w:b/>
          <w:color w:val="000000"/>
          <w:sz w:val="22"/>
          <w:szCs w:val="22"/>
        </w:rPr>
        <w:t>ÞYNNUR</w:t>
      </w:r>
    </w:p>
    <w:p w14:paraId="05B8BE3F" w14:textId="77777777" w:rsidR="00D363A7" w:rsidRPr="006774D3" w:rsidRDefault="00D363A7" w:rsidP="00F77C66">
      <w:pPr>
        <w:rPr>
          <w:color w:val="000000"/>
          <w:sz w:val="22"/>
          <w:szCs w:val="22"/>
        </w:rPr>
      </w:pPr>
    </w:p>
    <w:p w14:paraId="05B8BE40" w14:textId="77777777" w:rsidR="00D363A7" w:rsidRPr="006774D3" w:rsidRDefault="00D363A7" w:rsidP="00F77C66">
      <w:pPr>
        <w:rPr>
          <w:color w:val="000000"/>
          <w:sz w:val="22"/>
          <w:szCs w:val="22"/>
        </w:rPr>
      </w:pPr>
    </w:p>
    <w:p w14:paraId="05B8BE41"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1.</w:t>
      </w:r>
      <w:r w:rsidRPr="006774D3">
        <w:rPr>
          <w:b/>
          <w:color w:val="000000"/>
          <w:sz w:val="22"/>
          <w:szCs w:val="22"/>
        </w:rPr>
        <w:tab/>
        <w:t>HEITI LYFS</w:t>
      </w:r>
    </w:p>
    <w:p w14:paraId="05B8BE42" w14:textId="77777777" w:rsidR="00D363A7" w:rsidRPr="006774D3" w:rsidRDefault="00D363A7" w:rsidP="00F77C66">
      <w:pPr>
        <w:rPr>
          <w:color w:val="000000"/>
          <w:sz w:val="22"/>
          <w:szCs w:val="22"/>
        </w:rPr>
      </w:pPr>
    </w:p>
    <w:p w14:paraId="05B8BE43" w14:textId="77777777" w:rsidR="00D363A7" w:rsidRPr="006774D3" w:rsidRDefault="00D363A7" w:rsidP="00F77C66">
      <w:pPr>
        <w:rPr>
          <w:color w:val="000000"/>
          <w:sz w:val="22"/>
          <w:szCs w:val="22"/>
        </w:rPr>
      </w:pPr>
      <w:r w:rsidRPr="006774D3">
        <w:rPr>
          <w:color w:val="000000"/>
          <w:sz w:val="22"/>
          <w:szCs w:val="22"/>
        </w:rPr>
        <w:t>Glivec 400 mg töflur</w:t>
      </w:r>
    </w:p>
    <w:p w14:paraId="05B8BE44" w14:textId="77777777" w:rsidR="00D363A7" w:rsidRPr="006774D3" w:rsidRDefault="003A7308" w:rsidP="00F77C66">
      <w:pPr>
        <w:rPr>
          <w:color w:val="000000"/>
          <w:sz w:val="22"/>
          <w:szCs w:val="22"/>
        </w:rPr>
      </w:pPr>
      <w:r w:rsidRPr="006774D3">
        <w:rPr>
          <w:color w:val="000000"/>
          <w:sz w:val="22"/>
          <w:szCs w:val="22"/>
        </w:rPr>
        <w:t>i</w:t>
      </w:r>
      <w:r w:rsidR="00D363A7" w:rsidRPr="006774D3">
        <w:rPr>
          <w:color w:val="000000"/>
          <w:sz w:val="22"/>
          <w:szCs w:val="22"/>
        </w:rPr>
        <w:t>matinib</w:t>
      </w:r>
    </w:p>
    <w:p w14:paraId="05B8BE45" w14:textId="77777777" w:rsidR="00D363A7" w:rsidRPr="006774D3" w:rsidRDefault="00D363A7" w:rsidP="00F77C66">
      <w:pPr>
        <w:rPr>
          <w:color w:val="000000"/>
          <w:sz w:val="22"/>
          <w:szCs w:val="22"/>
        </w:rPr>
      </w:pPr>
    </w:p>
    <w:p w14:paraId="05B8BE46" w14:textId="77777777" w:rsidR="00D363A7" w:rsidRPr="006774D3" w:rsidRDefault="00D363A7" w:rsidP="00F77C66">
      <w:pPr>
        <w:rPr>
          <w:color w:val="000000"/>
          <w:sz w:val="22"/>
          <w:szCs w:val="22"/>
        </w:rPr>
      </w:pPr>
    </w:p>
    <w:p w14:paraId="05B8BE47"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2.</w:t>
      </w:r>
      <w:r w:rsidRPr="006774D3">
        <w:rPr>
          <w:b/>
          <w:color w:val="000000"/>
          <w:sz w:val="22"/>
          <w:szCs w:val="22"/>
        </w:rPr>
        <w:tab/>
        <w:t>NAFN MARKAÐSLEYFISHAFA</w:t>
      </w:r>
    </w:p>
    <w:p w14:paraId="05B8BE48" w14:textId="77777777" w:rsidR="00D363A7" w:rsidRPr="006774D3" w:rsidRDefault="00D363A7" w:rsidP="00F77C66">
      <w:pPr>
        <w:rPr>
          <w:color w:val="000000"/>
          <w:sz w:val="22"/>
          <w:szCs w:val="22"/>
        </w:rPr>
      </w:pPr>
    </w:p>
    <w:p w14:paraId="05B8BE49" w14:textId="77777777" w:rsidR="00D363A7" w:rsidRPr="006774D3" w:rsidRDefault="00D363A7" w:rsidP="00F77C66">
      <w:pPr>
        <w:rPr>
          <w:color w:val="000000"/>
          <w:sz w:val="22"/>
          <w:szCs w:val="22"/>
        </w:rPr>
      </w:pPr>
      <w:r w:rsidRPr="006774D3">
        <w:rPr>
          <w:color w:val="000000"/>
          <w:sz w:val="22"/>
          <w:szCs w:val="22"/>
        </w:rPr>
        <w:t>Novartis Europharm Limited</w:t>
      </w:r>
    </w:p>
    <w:p w14:paraId="05B8BE4A" w14:textId="77777777" w:rsidR="00D363A7" w:rsidRPr="006774D3" w:rsidRDefault="00D363A7" w:rsidP="00F77C66">
      <w:pPr>
        <w:rPr>
          <w:color w:val="000000"/>
          <w:sz w:val="22"/>
          <w:szCs w:val="22"/>
        </w:rPr>
      </w:pPr>
    </w:p>
    <w:p w14:paraId="05B8BE4B" w14:textId="77777777" w:rsidR="00D363A7" w:rsidRPr="006774D3" w:rsidRDefault="00D363A7" w:rsidP="00F77C66">
      <w:pPr>
        <w:rPr>
          <w:color w:val="000000"/>
          <w:sz w:val="22"/>
          <w:szCs w:val="22"/>
        </w:rPr>
      </w:pPr>
    </w:p>
    <w:p w14:paraId="05B8BE4C"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3.</w:t>
      </w:r>
      <w:r w:rsidRPr="006774D3">
        <w:rPr>
          <w:b/>
          <w:color w:val="000000"/>
          <w:sz w:val="22"/>
          <w:szCs w:val="22"/>
        </w:rPr>
        <w:tab/>
        <w:t>FYRNINGARDAGSETNING</w:t>
      </w:r>
    </w:p>
    <w:p w14:paraId="05B8BE4D" w14:textId="77777777" w:rsidR="00D363A7" w:rsidRPr="006774D3" w:rsidRDefault="00D363A7" w:rsidP="00F77C66">
      <w:pPr>
        <w:rPr>
          <w:color w:val="000000"/>
          <w:sz w:val="22"/>
          <w:szCs w:val="22"/>
        </w:rPr>
      </w:pPr>
    </w:p>
    <w:p w14:paraId="05B8BE4E" w14:textId="77777777" w:rsidR="00D363A7" w:rsidRPr="006774D3" w:rsidRDefault="00D363A7" w:rsidP="00F77C66">
      <w:pPr>
        <w:outlineLvl w:val="0"/>
        <w:rPr>
          <w:color w:val="000000"/>
          <w:sz w:val="22"/>
          <w:szCs w:val="22"/>
        </w:rPr>
      </w:pPr>
      <w:r w:rsidRPr="006774D3">
        <w:rPr>
          <w:color w:val="000000"/>
          <w:sz w:val="22"/>
          <w:szCs w:val="22"/>
        </w:rPr>
        <w:t>EXP</w:t>
      </w:r>
    </w:p>
    <w:p w14:paraId="05B8BE4F" w14:textId="77777777" w:rsidR="00D363A7" w:rsidRPr="006774D3" w:rsidRDefault="00D363A7" w:rsidP="00F77C66">
      <w:pPr>
        <w:outlineLvl w:val="0"/>
        <w:rPr>
          <w:color w:val="000000"/>
          <w:sz w:val="22"/>
          <w:szCs w:val="22"/>
        </w:rPr>
      </w:pPr>
    </w:p>
    <w:p w14:paraId="05B8BE50" w14:textId="77777777" w:rsidR="00D363A7" w:rsidRPr="006774D3" w:rsidRDefault="00D363A7" w:rsidP="00F77C66">
      <w:pPr>
        <w:rPr>
          <w:color w:val="000000"/>
          <w:sz w:val="22"/>
          <w:szCs w:val="22"/>
        </w:rPr>
      </w:pPr>
    </w:p>
    <w:p w14:paraId="05B8BE51"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4.</w:t>
      </w:r>
      <w:r w:rsidRPr="006774D3">
        <w:rPr>
          <w:b/>
          <w:color w:val="000000"/>
          <w:sz w:val="22"/>
          <w:szCs w:val="22"/>
        </w:rPr>
        <w:tab/>
        <w:t>LOTUNÚMER</w:t>
      </w:r>
    </w:p>
    <w:p w14:paraId="05B8BE52" w14:textId="77777777" w:rsidR="00D363A7" w:rsidRPr="006774D3" w:rsidRDefault="00D363A7" w:rsidP="00F77C66">
      <w:pPr>
        <w:rPr>
          <w:color w:val="000000"/>
          <w:sz w:val="22"/>
          <w:szCs w:val="22"/>
        </w:rPr>
      </w:pPr>
    </w:p>
    <w:p w14:paraId="05B8BE53" w14:textId="77777777" w:rsidR="00D363A7" w:rsidRPr="006774D3" w:rsidRDefault="00D363A7" w:rsidP="00F77C66">
      <w:pPr>
        <w:rPr>
          <w:color w:val="000000"/>
          <w:sz w:val="22"/>
          <w:szCs w:val="22"/>
        </w:rPr>
      </w:pPr>
      <w:r w:rsidRPr="006774D3">
        <w:rPr>
          <w:color w:val="000000"/>
          <w:sz w:val="22"/>
          <w:szCs w:val="22"/>
        </w:rPr>
        <w:t>Lot</w:t>
      </w:r>
    </w:p>
    <w:p w14:paraId="05B8BE54" w14:textId="77777777" w:rsidR="00D363A7" w:rsidRPr="006774D3" w:rsidRDefault="00D363A7" w:rsidP="00F77C66">
      <w:pPr>
        <w:rPr>
          <w:color w:val="000000"/>
          <w:sz w:val="22"/>
          <w:szCs w:val="22"/>
        </w:rPr>
      </w:pPr>
    </w:p>
    <w:p w14:paraId="05B8BE55" w14:textId="77777777" w:rsidR="00D363A7" w:rsidRPr="006774D3" w:rsidRDefault="00D363A7" w:rsidP="00F77C66">
      <w:pPr>
        <w:rPr>
          <w:color w:val="000000"/>
          <w:sz w:val="22"/>
          <w:szCs w:val="22"/>
        </w:rPr>
      </w:pPr>
    </w:p>
    <w:p w14:paraId="05B8BE56" w14:textId="77777777" w:rsidR="00D363A7" w:rsidRPr="006774D3" w:rsidRDefault="00D363A7" w:rsidP="00F77C66">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6774D3">
        <w:rPr>
          <w:b/>
          <w:color w:val="000000"/>
          <w:sz w:val="22"/>
          <w:szCs w:val="22"/>
        </w:rPr>
        <w:t>5.</w:t>
      </w:r>
      <w:r w:rsidRPr="006774D3">
        <w:rPr>
          <w:b/>
          <w:color w:val="000000"/>
          <w:sz w:val="22"/>
          <w:szCs w:val="22"/>
        </w:rPr>
        <w:tab/>
        <w:t>ANNAÐ</w:t>
      </w:r>
    </w:p>
    <w:p w14:paraId="05B8BE57" w14:textId="77777777" w:rsidR="00D363A7" w:rsidRPr="006774D3" w:rsidRDefault="00D363A7" w:rsidP="00F77C66">
      <w:pPr>
        <w:rPr>
          <w:color w:val="000000"/>
          <w:sz w:val="22"/>
          <w:szCs w:val="22"/>
        </w:rPr>
      </w:pPr>
    </w:p>
    <w:p w14:paraId="05B8BE58" w14:textId="77777777" w:rsidR="00D363A7" w:rsidRPr="006774D3" w:rsidRDefault="00D363A7" w:rsidP="00F77C66">
      <w:pPr>
        <w:rPr>
          <w:color w:val="000000"/>
          <w:sz w:val="22"/>
          <w:szCs w:val="22"/>
        </w:rPr>
      </w:pPr>
      <w:r w:rsidRPr="006774D3">
        <w:rPr>
          <w:color w:val="000000"/>
          <w:sz w:val="22"/>
          <w:szCs w:val="22"/>
        </w:rPr>
        <w:br w:type="page"/>
      </w:r>
    </w:p>
    <w:p w14:paraId="05B8BE59" w14:textId="77777777" w:rsidR="00D363A7" w:rsidRPr="006774D3" w:rsidRDefault="00D363A7" w:rsidP="00F77C66">
      <w:pPr>
        <w:rPr>
          <w:color w:val="000000"/>
          <w:sz w:val="22"/>
          <w:szCs w:val="22"/>
        </w:rPr>
      </w:pPr>
    </w:p>
    <w:p w14:paraId="05B8BE5A" w14:textId="77777777" w:rsidR="00D363A7" w:rsidRPr="006774D3" w:rsidRDefault="00D363A7" w:rsidP="00F77C66">
      <w:pPr>
        <w:pStyle w:val="EndnoteText"/>
        <w:spacing w:before="0" w:after="0"/>
        <w:rPr>
          <w:color w:val="000000"/>
          <w:sz w:val="22"/>
          <w:szCs w:val="22"/>
          <w:lang w:val="is-IS"/>
        </w:rPr>
      </w:pPr>
    </w:p>
    <w:p w14:paraId="05B8BE5B" w14:textId="77777777" w:rsidR="00D363A7" w:rsidRPr="006774D3" w:rsidRDefault="00D363A7" w:rsidP="00F77C66">
      <w:pPr>
        <w:rPr>
          <w:color w:val="000000"/>
          <w:sz w:val="22"/>
          <w:szCs w:val="22"/>
        </w:rPr>
      </w:pPr>
    </w:p>
    <w:p w14:paraId="05B8BE5C" w14:textId="77777777" w:rsidR="00D363A7" w:rsidRPr="006774D3" w:rsidRDefault="00D363A7" w:rsidP="00F77C66">
      <w:pPr>
        <w:rPr>
          <w:color w:val="000000"/>
          <w:sz w:val="22"/>
          <w:szCs w:val="22"/>
        </w:rPr>
      </w:pPr>
    </w:p>
    <w:p w14:paraId="05B8BE5D" w14:textId="77777777" w:rsidR="00D363A7" w:rsidRPr="006774D3" w:rsidRDefault="00D363A7" w:rsidP="00F77C66">
      <w:pPr>
        <w:rPr>
          <w:color w:val="000000"/>
          <w:sz w:val="22"/>
          <w:szCs w:val="22"/>
        </w:rPr>
      </w:pPr>
    </w:p>
    <w:p w14:paraId="05B8BE5E" w14:textId="77777777" w:rsidR="00D363A7" w:rsidRPr="006774D3" w:rsidRDefault="00D363A7" w:rsidP="00F77C66">
      <w:pPr>
        <w:rPr>
          <w:color w:val="000000"/>
          <w:sz w:val="22"/>
          <w:szCs w:val="22"/>
        </w:rPr>
      </w:pPr>
    </w:p>
    <w:p w14:paraId="05B8BE5F" w14:textId="77777777" w:rsidR="00D363A7" w:rsidRPr="006774D3" w:rsidRDefault="00D363A7" w:rsidP="00F77C66">
      <w:pPr>
        <w:rPr>
          <w:color w:val="000000"/>
          <w:sz w:val="22"/>
          <w:szCs w:val="22"/>
        </w:rPr>
      </w:pPr>
    </w:p>
    <w:p w14:paraId="05B8BE60" w14:textId="77777777" w:rsidR="00D363A7" w:rsidRPr="006774D3" w:rsidRDefault="00D363A7" w:rsidP="00F77C66">
      <w:pPr>
        <w:rPr>
          <w:color w:val="000000"/>
          <w:sz w:val="22"/>
          <w:szCs w:val="22"/>
        </w:rPr>
      </w:pPr>
    </w:p>
    <w:p w14:paraId="05B8BE61" w14:textId="77777777" w:rsidR="00D363A7" w:rsidRPr="006774D3" w:rsidRDefault="00D363A7" w:rsidP="00F77C66">
      <w:pPr>
        <w:rPr>
          <w:color w:val="000000"/>
          <w:sz w:val="22"/>
          <w:szCs w:val="22"/>
        </w:rPr>
      </w:pPr>
    </w:p>
    <w:p w14:paraId="05B8BE62" w14:textId="77777777" w:rsidR="00D363A7" w:rsidRPr="006774D3" w:rsidRDefault="00D363A7" w:rsidP="00F77C66">
      <w:pPr>
        <w:rPr>
          <w:color w:val="000000"/>
          <w:sz w:val="22"/>
          <w:szCs w:val="22"/>
        </w:rPr>
      </w:pPr>
    </w:p>
    <w:p w14:paraId="05B8BE63" w14:textId="77777777" w:rsidR="00D363A7" w:rsidRPr="006774D3" w:rsidRDefault="00D363A7" w:rsidP="00F77C66">
      <w:pPr>
        <w:rPr>
          <w:color w:val="000000"/>
          <w:sz w:val="22"/>
          <w:szCs w:val="22"/>
        </w:rPr>
      </w:pPr>
    </w:p>
    <w:p w14:paraId="05B8BE64" w14:textId="77777777" w:rsidR="00D363A7" w:rsidRPr="006774D3" w:rsidRDefault="00D363A7" w:rsidP="00F77C66">
      <w:pPr>
        <w:rPr>
          <w:color w:val="000000"/>
          <w:sz w:val="22"/>
          <w:szCs w:val="22"/>
        </w:rPr>
      </w:pPr>
    </w:p>
    <w:p w14:paraId="05B8BE65" w14:textId="77777777" w:rsidR="00D363A7" w:rsidRPr="006774D3" w:rsidRDefault="00D363A7" w:rsidP="00F77C66">
      <w:pPr>
        <w:rPr>
          <w:color w:val="000000"/>
          <w:sz w:val="22"/>
          <w:szCs w:val="22"/>
        </w:rPr>
      </w:pPr>
    </w:p>
    <w:p w14:paraId="05B8BE66" w14:textId="77777777" w:rsidR="00D363A7" w:rsidRPr="006774D3" w:rsidRDefault="00D363A7" w:rsidP="00F77C66">
      <w:pPr>
        <w:rPr>
          <w:color w:val="000000"/>
          <w:sz w:val="22"/>
          <w:szCs w:val="22"/>
        </w:rPr>
      </w:pPr>
    </w:p>
    <w:p w14:paraId="05B8BE67" w14:textId="77777777" w:rsidR="00D363A7" w:rsidRPr="006774D3" w:rsidRDefault="00D363A7" w:rsidP="00F77C66">
      <w:pPr>
        <w:rPr>
          <w:color w:val="000000"/>
          <w:sz w:val="22"/>
          <w:szCs w:val="22"/>
        </w:rPr>
      </w:pPr>
    </w:p>
    <w:p w14:paraId="05B8BE68" w14:textId="77777777" w:rsidR="00D363A7" w:rsidRPr="006774D3" w:rsidRDefault="00D363A7" w:rsidP="00F77C66">
      <w:pPr>
        <w:rPr>
          <w:color w:val="000000"/>
          <w:sz w:val="22"/>
          <w:szCs w:val="22"/>
        </w:rPr>
      </w:pPr>
    </w:p>
    <w:p w14:paraId="05B8BE69" w14:textId="77777777" w:rsidR="00D363A7" w:rsidRPr="006774D3" w:rsidRDefault="00D363A7" w:rsidP="00F77C66">
      <w:pPr>
        <w:rPr>
          <w:color w:val="000000"/>
          <w:sz w:val="22"/>
          <w:szCs w:val="22"/>
        </w:rPr>
      </w:pPr>
    </w:p>
    <w:p w14:paraId="05B8BE6A" w14:textId="77777777" w:rsidR="00D363A7" w:rsidRPr="006774D3" w:rsidRDefault="00D363A7" w:rsidP="00F77C66">
      <w:pPr>
        <w:rPr>
          <w:color w:val="000000"/>
          <w:sz w:val="22"/>
          <w:szCs w:val="22"/>
        </w:rPr>
      </w:pPr>
    </w:p>
    <w:p w14:paraId="05B8BE6B" w14:textId="77777777" w:rsidR="00D363A7" w:rsidRPr="006774D3" w:rsidRDefault="00D363A7" w:rsidP="00F77C66">
      <w:pPr>
        <w:rPr>
          <w:color w:val="000000"/>
          <w:sz w:val="22"/>
          <w:szCs w:val="22"/>
        </w:rPr>
      </w:pPr>
    </w:p>
    <w:p w14:paraId="05B8BE6C" w14:textId="77777777" w:rsidR="00D363A7" w:rsidRPr="006774D3" w:rsidRDefault="00D363A7" w:rsidP="00F77C66">
      <w:pPr>
        <w:rPr>
          <w:color w:val="000000"/>
          <w:sz w:val="22"/>
          <w:szCs w:val="22"/>
        </w:rPr>
      </w:pPr>
    </w:p>
    <w:p w14:paraId="05B8BE6D" w14:textId="77777777" w:rsidR="00D363A7" w:rsidRPr="006774D3" w:rsidRDefault="00D363A7" w:rsidP="00F77C66">
      <w:pPr>
        <w:rPr>
          <w:color w:val="000000"/>
          <w:sz w:val="22"/>
          <w:szCs w:val="22"/>
        </w:rPr>
      </w:pPr>
    </w:p>
    <w:p w14:paraId="05B8BE6E" w14:textId="77777777" w:rsidR="00D363A7" w:rsidRPr="006774D3" w:rsidRDefault="00D363A7" w:rsidP="00F77C66">
      <w:pPr>
        <w:rPr>
          <w:color w:val="000000"/>
          <w:sz w:val="22"/>
          <w:szCs w:val="22"/>
        </w:rPr>
      </w:pPr>
    </w:p>
    <w:p w14:paraId="05B8BE6F" w14:textId="77777777" w:rsidR="00FA5D6F" w:rsidRPr="006774D3" w:rsidRDefault="00FA5D6F" w:rsidP="00F77C66">
      <w:pPr>
        <w:rPr>
          <w:color w:val="000000"/>
          <w:sz w:val="22"/>
          <w:szCs w:val="22"/>
        </w:rPr>
      </w:pPr>
    </w:p>
    <w:p w14:paraId="05B8BE70" w14:textId="77777777" w:rsidR="00D363A7" w:rsidRPr="006774D3" w:rsidRDefault="00D363A7" w:rsidP="00F77C66">
      <w:pPr>
        <w:jc w:val="center"/>
        <w:outlineLvl w:val="0"/>
        <w:rPr>
          <w:color w:val="000000"/>
          <w:sz w:val="22"/>
          <w:szCs w:val="22"/>
        </w:rPr>
      </w:pPr>
      <w:r w:rsidRPr="006774D3">
        <w:rPr>
          <w:b/>
          <w:color w:val="000000"/>
          <w:sz w:val="22"/>
          <w:szCs w:val="22"/>
        </w:rPr>
        <w:t>B. FYLGISEÐILL</w:t>
      </w:r>
    </w:p>
    <w:p w14:paraId="05B8BFFB" w14:textId="77777777" w:rsidR="00D363A7" w:rsidRPr="006774D3" w:rsidRDefault="00D363A7" w:rsidP="00F77C66">
      <w:pPr>
        <w:pStyle w:val="Authors"/>
        <w:keepNext w:val="0"/>
        <w:spacing w:before="0"/>
        <w:jc w:val="center"/>
        <w:rPr>
          <w:rFonts w:ascii="Times New Roman" w:hAnsi="Times New Roman"/>
          <w:b/>
          <w:color w:val="000000"/>
          <w:szCs w:val="22"/>
          <w:lang w:val="is-IS"/>
        </w:rPr>
      </w:pPr>
      <w:r w:rsidRPr="006774D3">
        <w:rPr>
          <w:rFonts w:ascii="Times New Roman" w:hAnsi="Times New Roman"/>
          <w:color w:val="000000"/>
          <w:szCs w:val="22"/>
          <w:lang w:val="is-IS"/>
        </w:rPr>
        <w:br w:type="page"/>
      </w:r>
      <w:r w:rsidR="00635B44" w:rsidRPr="006774D3">
        <w:rPr>
          <w:rFonts w:ascii="Times New Roman" w:hAnsi="Times New Roman"/>
          <w:b/>
          <w:color w:val="000000"/>
          <w:szCs w:val="22"/>
          <w:lang w:val="is-IS"/>
        </w:rPr>
        <w:lastRenderedPageBreak/>
        <w:t>Fylgiseðill: Upplýsingar fyrir notanda lyfsins</w:t>
      </w:r>
    </w:p>
    <w:p w14:paraId="05B8BFFC" w14:textId="77777777" w:rsidR="00D363A7" w:rsidRPr="006774D3" w:rsidRDefault="00D363A7" w:rsidP="00F77C66">
      <w:pPr>
        <w:outlineLvl w:val="0"/>
        <w:rPr>
          <w:color w:val="000000"/>
          <w:sz w:val="22"/>
          <w:szCs w:val="22"/>
        </w:rPr>
      </w:pPr>
    </w:p>
    <w:p w14:paraId="05B8BFFD" w14:textId="77777777" w:rsidR="00D363A7" w:rsidRPr="006774D3" w:rsidRDefault="00D363A7" w:rsidP="00F77C66">
      <w:pPr>
        <w:jc w:val="center"/>
        <w:outlineLvl w:val="0"/>
        <w:rPr>
          <w:b/>
          <w:color w:val="000000"/>
          <w:sz w:val="22"/>
          <w:szCs w:val="22"/>
        </w:rPr>
      </w:pPr>
      <w:r w:rsidRPr="006774D3">
        <w:rPr>
          <w:b/>
          <w:color w:val="000000"/>
          <w:sz w:val="22"/>
          <w:szCs w:val="22"/>
        </w:rPr>
        <w:t>Glivec 100 mg hörð hylki</w:t>
      </w:r>
    </w:p>
    <w:p w14:paraId="05B8BFFE" w14:textId="77777777" w:rsidR="00D363A7" w:rsidRPr="006774D3" w:rsidRDefault="003A7308" w:rsidP="00F77C66">
      <w:pPr>
        <w:jc w:val="center"/>
        <w:outlineLvl w:val="0"/>
        <w:rPr>
          <w:color w:val="000000"/>
          <w:sz w:val="22"/>
          <w:szCs w:val="22"/>
        </w:rPr>
      </w:pPr>
      <w:r w:rsidRPr="006774D3">
        <w:rPr>
          <w:color w:val="000000"/>
          <w:sz w:val="22"/>
          <w:szCs w:val="22"/>
        </w:rPr>
        <w:t>i</w:t>
      </w:r>
      <w:r w:rsidR="00D363A7" w:rsidRPr="006774D3">
        <w:rPr>
          <w:color w:val="000000"/>
          <w:sz w:val="22"/>
          <w:szCs w:val="22"/>
        </w:rPr>
        <w:t>matinib</w:t>
      </w:r>
    </w:p>
    <w:p w14:paraId="05B8BFFF" w14:textId="77777777" w:rsidR="00D363A7" w:rsidRPr="006774D3" w:rsidRDefault="00D363A7" w:rsidP="00F77C66">
      <w:pPr>
        <w:outlineLvl w:val="0"/>
        <w:rPr>
          <w:color w:val="000000"/>
          <w:sz w:val="22"/>
          <w:szCs w:val="22"/>
        </w:rPr>
      </w:pPr>
    </w:p>
    <w:p w14:paraId="05B8C000" w14:textId="77777777" w:rsidR="002578B2" w:rsidRPr="006774D3" w:rsidRDefault="00EA2A58" w:rsidP="00F77C66">
      <w:pPr>
        <w:rPr>
          <w:sz w:val="22"/>
          <w:szCs w:val="22"/>
        </w:rPr>
      </w:pPr>
      <w:r w:rsidRPr="006774D3">
        <w:rPr>
          <w:noProof/>
          <w:sz w:val="22"/>
          <w:szCs w:val="20"/>
          <w:lang w:eastAsia="en-GB"/>
        </w:rPr>
        <w:drawing>
          <wp:inline distT="0" distB="0" distL="0" distR="0" wp14:anchorId="05B8C4D2" wp14:editId="05B8C4D3">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578B2" w:rsidRPr="006774D3">
        <w:rPr>
          <w:sz w:val="22"/>
          <w:szCs w:val="22"/>
        </w:rPr>
        <w:t>Þetta lyf er undir sérstöku eftirliti til að nýjar upplýsingar um öryggi lyfsins komist fljótt og örugglega til skila. Allir geta hjálpað til við þetta með því að tilkynna aukaverkanir sem koma fram. Aftast í kafla 4 eru upplýsingar um hvernig tilkynna á aukaverkanir.</w:t>
      </w:r>
    </w:p>
    <w:p w14:paraId="05B8C001" w14:textId="77777777" w:rsidR="00D363A7" w:rsidRPr="006774D3" w:rsidRDefault="00D363A7" w:rsidP="00F77C66">
      <w:pPr>
        <w:outlineLvl w:val="0"/>
        <w:rPr>
          <w:color w:val="000000"/>
          <w:sz w:val="22"/>
          <w:szCs w:val="22"/>
        </w:rPr>
      </w:pPr>
    </w:p>
    <w:p w14:paraId="05B8C002" w14:textId="77777777" w:rsidR="004A6901" w:rsidRPr="006774D3" w:rsidRDefault="004A6901" w:rsidP="00F77C66">
      <w:pPr>
        <w:ind w:right="-2"/>
        <w:rPr>
          <w:b/>
          <w:color w:val="000000"/>
          <w:sz w:val="22"/>
          <w:szCs w:val="22"/>
        </w:rPr>
      </w:pPr>
      <w:r w:rsidRPr="006774D3">
        <w:rPr>
          <w:b/>
          <w:color w:val="000000"/>
          <w:sz w:val="22"/>
          <w:szCs w:val="22"/>
        </w:rPr>
        <w:t>Lesið allan fylgiseðilinn vandlega áður en byrjað er að nota lyfið. Í honum eru mikilvægar upplýsingar.</w:t>
      </w:r>
    </w:p>
    <w:p w14:paraId="05B8C003"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Geymið fylgiseðilinn. Nauðsynlegt getur verið að lesa hann síðar.</w:t>
      </w:r>
    </w:p>
    <w:p w14:paraId="05B8C004"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Leitið til læknisins, lyfjafræðings eða hjúkrunarfræðingsins ef þörf er á frekari upplýsingum.</w:t>
      </w:r>
    </w:p>
    <w:p w14:paraId="05B8C005"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Þessu lyfi hefur verið ávísað til persónulegra nota. Ekki má gefa það öðrum. Það getur valdið þeim skaða, jafnvel þótt um sömu sjúkdómseinkenni sé að ræða.</w:t>
      </w:r>
    </w:p>
    <w:p w14:paraId="05B8C006"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Látið lækninn, lyfjafræðing eða hjúkrunarfræðinginn vita um allar aukaverkanir. Þetta gildir einnig um aukaverkanir sem ekki er minnst á í þessum fylgiseðli.</w:t>
      </w:r>
      <w:r w:rsidR="00084587" w:rsidRPr="006774D3">
        <w:rPr>
          <w:color w:val="000000"/>
          <w:sz w:val="22"/>
          <w:szCs w:val="22"/>
        </w:rPr>
        <w:t xml:space="preserve"> Sjá kafla 4.</w:t>
      </w:r>
    </w:p>
    <w:p w14:paraId="05B8C007" w14:textId="77777777" w:rsidR="004A6901" w:rsidRPr="006774D3" w:rsidRDefault="004A6901" w:rsidP="00F77C66">
      <w:pPr>
        <w:pStyle w:val="EndnoteText"/>
        <w:spacing w:before="0" w:after="0"/>
        <w:ind w:left="0" w:firstLine="0"/>
        <w:rPr>
          <w:color w:val="000000"/>
          <w:sz w:val="22"/>
          <w:szCs w:val="22"/>
          <w:lang w:val="is-IS"/>
        </w:rPr>
      </w:pPr>
    </w:p>
    <w:p w14:paraId="05B8C008" w14:textId="77777777" w:rsidR="004A6901" w:rsidRPr="006774D3" w:rsidRDefault="004A6901" w:rsidP="00F77C66">
      <w:pPr>
        <w:pStyle w:val="EndnoteText"/>
        <w:spacing w:before="0" w:after="0"/>
        <w:ind w:left="0" w:firstLine="0"/>
        <w:rPr>
          <w:color w:val="000000"/>
          <w:sz w:val="22"/>
          <w:szCs w:val="22"/>
          <w:lang w:val="is-IS"/>
        </w:rPr>
      </w:pPr>
    </w:p>
    <w:p w14:paraId="05B8C009" w14:textId="77777777" w:rsidR="004A6901" w:rsidRPr="006774D3" w:rsidRDefault="004A6901" w:rsidP="00F77C66">
      <w:pPr>
        <w:numPr>
          <w:ilvl w:val="12"/>
          <w:numId w:val="0"/>
        </w:numPr>
        <w:ind w:right="-2"/>
        <w:rPr>
          <w:color w:val="000000"/>
          <w:sz w:val="22"/>
          <w:szCs w:val="22"/>
        </w:rPr>
      </w:pPr>
      <w:r w:rsidRPr="006774D3">
        <w:rPr>
          <w:b/>
          <w:color w:val="000000"/>
          <w:sz w:val="22"/>
          <w:szCs w:val="22"/>
        </w:rPr>
        <w:t>Í fylgiseðlinum eru eftirfarandi kaflar</w:t>
      </w:r>
      <w:r w:rsidRPr="006774D3">
        <w:rPr>
          <w:color w:val="000000"/>
          <w:sz w:val="22"/>
          <w:szCs w:val="22"/>
        </w:rPr>
        <w:t>:</w:t>
      </w:r>
    </w:p>
    <w:p w14:paraId="05B8C00A" w14:textId="77777777" w:rsidR="004A6901" w:rsidRPr="006774D3" w:rsidRDefault="004A6901" w:rsidP="00F77C66">
      <w:pPr>
        <w:numPr>
          <w:ilvl w:val="12"/>
          <w:numId w:val="0"/>
        </w:numPr>
        <w:ind w:right="-29"/>
        <w:rPr>
          <w:color w:val="000000"/>
          <w:sz w:val="22"/>
          <w:szCs w:val="22"/>
        </w:rPr>
      </w:pPr>
      <w:r w:rsidRPr="006774D3">
        <w:rPr>
          <w:color w:val="000000"/>
          <w:sz w:val="22"/>
          <w:szCs w:val="22"/>
        </w:rPr>
        <w:t>1.</w:t>
      </w:r>
      <w:r w:rsidRPr="006774D3">
        <w:rPr>
          <w:color w:val="000000"/>
          <w:sz w:val="22"/>
          <w:szCs w:val="22"/>
        </w:rPr>
        <w:tab/>
        <w:t>Upplýsingar um Glivec og við hverju það er notað</w:t>
      </w:r>
    </w:p>
    <w:p w14:paraId="05B8C00B" w14:textId="77777777" w:rsidR="004A6901" w:rsidRPr="006774D3" w:rsidRDefault="004A6901" w:rsidP="00F77C66">
      <w:pPr>
        <w:numPr>
          <w:ilvl w:val="12"/>
          <w:numId w:val="0"/>
        </w:numPr>
        <w:ind w:right="-29"/>
        <w:rPr>
          <w:color w:val="000000"/>
          <w:sz w:val="22"/>
          <w:szCs w:val="22"/>
        </w:rPr>
      </w:pPr>
      <w:r w:rsidRPr="006774D3">
        <w:rPr>
          <w:color w:val="000000"/>
          <w:sz w:val="22"/>
          <w:szCs w:val="22"/>
        </w:rPr>
        <w:t>2.</w:t>
      </w:r>
      <w:r w:rsidRPr="006774D3">
        <w:rPr>
          <w:color w:val="000000"/>
          <w:sz w:val="22"/>
          <w:szCs w:val="22"/>
        </w:rPr>
        <w:tab/>
        <w:t>Áður en byrjað er að nota Glivec</w:t>
      </w:r>
    </w:p>
    <w:p w14:paraId="05B8C00C" w14:textId="77777777" w:rsidR="004A6901" w:rsidRPr="006774D3" w:rsidRDefault="004A6901" w:rsidP="00F77C66">
      <w:pPr>
        <w:numPr>
          <w:ilvl w:val="12"/>
          <w:numId w:val="0"/>
        </w:numPr>
        <w:ind w:right="-29"/>
        <w:rPr>
          <w:color w:val="000000"/>
          <w:sz w:val="22"/>
          <w:szCs w:val="22"/>
        </w:rPr>
      </w:pPr>
      <w:r w:rsidRPr="006774D3">
        <w:rPr>
          <w:color w:val="000000"/>
          <w:sz w:val="22"/>
          <w:szCs w:val="22"/>
        </w:rPr>
        <w:t>3.</w:t>
      </w:r>
      <w:r w:rsidRPr="006774D3">
        <w:rPr>
          <w:color w:val="000000"/>
          <w:sz w:val="22"/>
          <w:szCs w:val="22"/>
        </w:rPr>
        <w:tab/>
        <w:t>Hvernig nota á Glivec</w:t>
      </w:r>
    </w:p>
    <w:p w14:paraId="05B8C00D" w14:textId="77777777" w:rsidR="004A6901" w:rsidRPr="006774D3" w:rsidRDefault="004A6901" w:rsidP="00F77C66">
      <w:pPr>
        <w:numPr>
          <w:ilvl w:val="12"/>
          <w:numId w:val="0"/>
        </w:numPr>
        <w:ind w:right="-29"/>
        <w:rPr>
          <w:color w:val="000000"/>
          <w:sz w:val="22"/>
          <w:szCs w:val="22"/>
        </w:rPr>
      </w:pPr>
      <w:r w:rsidRPr="006774D3">
        <w:rPr>
          <w:color w:val="000000"/>
          <w:sz w:val="22"/>
          <w:szCs w:val="22"/>
        </w:rPr>
        <w:t>4.</w:t>
      </w:r>
      <w:r w:rsidRPr="006774D3">
        <w:rPr>
          <w:color w:val="000000"/>
          <w:sz w:val="22"/>
          <w:szCs w:val="22"/>
        </w:rPr>
        <w:tab/>
        <w:t>Hugsanlegar aukaverkanir</w:t>
      </w:r>
    </w:p>
    <w:p w14:paraId="05B8C00E" w14:textId="77777777" w:rsidR="004A6901" w:rsidRPr="006774D3" w:rsidRDefault="004A6901" w:rsidP="00F77C66">
      <w:pPr>
        <w:numPr>
          <w:ilvl w:val="12"/>
          <w:numId w:val="0"/>
        </w:numPr>
        <w:ind w:right="-29"/>
        <w:rPr>
          <w:color w:val="000000"/>
          <w:sz w:val="22"/>
          <w:szCs w:val="22"/>
        </w:rPr>
      </w:pPr>
      <w:r w:rsidRPr="006774D3">
        <w:rPr>
          <w:color w:val="000000"/>
          <w:sz w:val="22"/>
          <w:szCs w:val="22"/>
        </w:rPr>
        <w:t>5.</w:t>
      </w:r>
      <w:r w:rsidRPr="006774D3">
        <w:rPr>
          <w:color w:val="000000"/>
          <w:sz w:val="22"/>
          <w:szCs w:val="22"/>
        </w:rPr>
        <w:tab/>
        <w:t>Hvernig geyma á Glivec</w:t>
      </w:r>
    </w:p>
    <w:p w14:paraId="05B8C00F" w14:textId="77777777" w:rsidR="004A6901" w:rsidRPr="006774D3" w:rsidRDefault="004A6901" w:rsidP="00F77C66">
      <w:pPr>
        <w:numPr>
          <w:ilvl w:val="12"/>
          <w:numId w:val="0"/>
        </w:numPr>
        <w:rPr>
          <w:color w:val="000000"/>
          <w:sz w:val="22"/>
          <w:szCs w:val="22"/>
        </w:rPr>
      </w:pPr>
      <w:r w:rsidRPr="006774D3">
        <w:rPr>
          <w:color w:val="000000"/>
          <w:sz w:val="22"/>
          <w:szCs w:val="22"/>
        </w:rPr>
        <w:t>6.</w:t>
      </w:r>
      <w:r w:rsidRPr="006774D3">
        <w:rPr>
          <w:color w:val="000000"/>
          <w:sz w:val="22"/>
          <w:szCs w:val="22"/>
        </w:rPr>
        <w:tab/>
        <w:t>Pakkningar og aðrar upplýsingar</w:t>
      </w:r>
    </w:p>
    <w:p w14:paraId="05B8C010" w14:textId="77777777" w:rsidR="004A6901" w:rsidRPr="006774D3" w:rsidRDefault="004A6901" w:rsidP="00F77C66">
      <w:pPr>
        <w:rPr>
          <w:color w:val="000000"/>
          <w:sz w:val="22"/>
          <w:szCs w:val="22"/>
        </w:rPr>
      </w:pPr>
    </w:p>
    <w:p w14:paraId="05B8C011" w14:textId="77777777" w:rsidR="004A6901" w:rsidRPr="006774D3" w:rsidRDefault="004A6901" w:rsidP="00F77C66">
      <w:pPr>
        <w:rPr>
          <w:color w:val="000000"/>
          <w:sz w:val="22"/>
          <w:szCs w:val="22"/>
        </w:rPr>
      </w:pPr>
    </w:p>
    <w:p w14:paraId="05B8C012" w14:textId="77777777" w:rsidR="004A6901" w:rsidRPr="006774D3" w:rsidRDefault="004A6901" w:rsidP="00FA5D6F">
      <w:pPr>
        <w:keepNext/>
        <w:ind w:right="-2"/>
        <w:rPr>
          <w:color w:val="000000"/>
          <w:sz w:val="22"/>
          <w:szCs w:val="22"/>
        </w:rPr>
      </w:pPr>
      <w:r w:rsidRPr="006774D3">
        <w:rPr>
          <w:b/>
          <w:color w:val="000000"/>
          <w:sz w:val="22"/>
          <w:szCs w:val="22"/>
        </w:rPr>
        <w:t>1.</w:t>
      </w:r>
      <w:r w:rsidRPr="006774D3">
        <w:rPr>
          <w:b/>
          <w:color w:val="000000"/>
          <w:sz w:val="22"/>
          <w:szCs w:val="22"/>
        </w:rPr>
        <w:tab/>
        <w:t>Upplýsingar um Glivec og við hverju það er notað</w:t>
      </w:r>
    </w:p>
    <w:p w14:paraId="05B8C013" w14:textId="77777777" w:rsidR="004A6901" w:rsidRPr="006774D3" w:rsidRDefault="004A6901" w:rsidP="00FA5D6F">
      <w:pPr>
        <w:keepNext/>
        <w:rPr>
          <w:color w:val="000000"/>
          <w:sz w:val="22"/>
          <w:szCs w:val="22"/>
        </w:rPr>
      </w:pPr>
    </w:p>
    <w:p w14:paraId="05B8C014" w14:textId="77777777" w:rsidR="004A6901" w:rsidRPr="006774D3" w:rsidRDefault="004A6901" w:rsidP="00F77C66">
      <w:pPr>
        <w:rPr>
          <w:color w:val="000000"/>
          <w:sz w:val="22"/>
          <w:szCs w:val="22"/>
        </w:rPr>
      </w:pPr>
      <w:r w:rsidRPr="006774D3">
        <w:rPr>
          <w:color w:val="000000"/>
          <w:sz w:val="22"/>
          <w:szCs w:val="22"/>
        </w:rPr>
        <w:t>Glivec er lyf sem inniheldur virkt efni sem kallast imatinib. Við neðangreinda sjúkdóma hemur þetta lyf vöxt óeðlilegra frumna. Þar á meðal eru nokkrar gerðir af krabbameini.</w:t>
      </w:r>
    </w:p>
    <w:p w14:paraId="05B8C015" w14:textId="77777777" w:rsidR="004A6901" w:rsidRPr="006774D3" w:rsidRDefault="004A6901" w:rsidP="00F77C66">
      <w:pPr>
        <w:rPr>
          <w:color w:val="000000"/>
          <w:sz w:val="22"/>
          <w:szCs w:val="22"/>
        </w:rPr>
      </w:pPr>
    </w:p>
    <w:p w14:paraId="05B8C016" w14:textId="77777777" w:rsidR="004A6901" w:rsidRPr="006774D3" w:rsidRDefault="004A6901" w:rsidP="00FA5D6F">
      <w:pPr>
        <w:keepNext/>
        <w:rPr>
          <w:b/>
          <w:color w:val="000000"/>
          <w:sz w:val="22"/>
          <w:szCs w:val="22"/>
        </w:rPr>
      </w:pPr>
      <w:r w:rsidRPr="006774D3">
        <w:rPr>
          <w:b/>
          <w:color w:val="000000"/>
          <w:sz w:val="22"/>
          <w:szCs w:val="22"/>
        </w:rPr>
        <w:t>Glivec er til meðferðar hjá fullorðnum og börnum við:</w:t>
      </w:r>
    </w:p>
    <w:p w14:paraId="05B8C017" w14:textId="77777777" w:rsidR="004A6901" w:rsidRPr="006774D3" w:rsidRDefault="004A6901" w:rsidP="00FA5D6F">
      <w:pPr>
        <w:keepNext/>
        <w:rPr>
          <w:color w:val="000000"/>
          <w:sz w:val="22"/>
          <w:szCs w:val="22"/>
        </w:rPr>
      </w:pPr>
    </w:p>
    <w:p w14:paraId="05B8C018"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Langvinnu kyrningahvítblæði (CML).</w:t>
      </w:r>
      <w:r w:rsidRPr="006774D3">
        <w:rPr>
          <w:color w:val="000000"/>
          <w:sz w:val="22"/>
          <w:szCs w:val="22"/>
        </w:rPr>
        <w:t xml:space="preserve"> 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14:paraId="05B8C019" w14:textId="77777777" w:rsidR="00124909" w:rsidRPr="006774D3" w:rsidRDefault="00124909" w:rsidP="00F77C66">
      <w:pPr>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Fíladelfíulitnings</w:t>
      </w:r>
      <w:r w:rsidRPr="006774D3">
        <w:rPr>
          <w:b/>
          <w:color w:val="000000"/>
          <w:sz w:val="22"/>
          <w:szCs w:val="22"/>
        </w:rPr>
        <w:noBreakHyphen/>
        <w:t>jákvæðu bráðu eitilfrumuhvítblæði (Ph</w:t>
      </w:r>
      <w:r w:rsidRPr="006774D3">
        <w:rPr>
          <w:b/>
          <w:color w:val="000000"/>
          <w:sz w:val="22"/>
          <w:szCs w:val="22"/>
        </w:rPr>
        <w:noBreakHyphen/>
        <w:t>jákvætt ALL).</w:t>
      </w:r>
      <w:r w:rsidRPr="006774D3">
        <w:rPr>
          <w:color w:val="000000"/>
          <w:sz w:val="22"/>
          <w:szCs w:val="22"/>
        </w:rPr>
        <w:t xml:space="preserve"> 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Glivec hamlar fjölgun þessara frumna.</w:t>
      </w:r>
    </w:p>
    <w:p w14:paraId="05B8C01A" w14:textId="77777777" w:rsidR="004A6901" w:rsidRPr="006774D3" w:rsidRDefault="004A6901" w:rsidP="00F77C66">
      <w:pPr>
        <w:rPr>
          <w:color w:val="000000"/>
          <w:sz w:val="22"/>
          <w:szCs w:val="22"/>
        </w:rPr>
      </w:pPr>
    </w:p>
    <w:p w14:paraId="05B8C01B" w14:textId="77777777" w:rsidR="004A6901" w:rsidRPr="006774D3" w:rsidRDefault="004A6901" w:rsidP="00FA5D6F">
      <w:pPr>
        <w:pStyle w:val="EndnoteText"/>
        <w:keepNext/>
        <w:spacing w:before="0" w:after="0"/>
        <w:ind w:left="0" w:firstLine="0"/>
        <w:rPr>
          <w:b/>
          <w:color w:val="000000"/>
          <w:sz w:val="22"/>
          <w:szCs w:val="22"/>
          <w:lang w:val="is-IS"/>
        </w:rPr>
      </w:pPr>
      <w:r w:rsidRPr="006774D3">
        <w:rPr>
          <w:b/>
          <w:color w:val="000000"/>
          <w:sz w:val="22"/>
          <w:szCs w:val="22"/>
          <w:lang w:val="is-IS"/>
        </w:rPr>
        <w:t>Glivec er einnig til meðferðar hjá fullorðnum við:</w:t>
      </w:r>
    </w:p>
    <w:p w14:paraId="05B8C01C" w14:textId="77777777" w:rsidR="004A6901" w:rsidRPr="006774D3" w:rsidRDefault="004A6901" w:rsidP="00FA5D6F">
      <w:pPr>
        <w:keepNext/>
        <w:rPr>
          <w:color w:val="000000"/>
          <w:sz w:val="22"/>
          <w:szCs w:val="22"/>
        </w:rPr>
      </w:pPr>
    </w:p>
    <w:p w14:paraId="05B8C01D"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r>
      <w:r w:rsidRPr="006774D3">
        <w:rPr>
          <w:b/>
          <w:color w:val="000000"/>
          <w:sz w:val="22"/>
          <w:szCs w:val="22"/>
          <w:lang w:val="is-IS"/>
        </w:rPr>
        <w:t>Mergrangvaxtarsjúkdómum/mergfrumnafjölgunarsjúkdómum (myelo</w:t>
      </w:r>
      <w:r w:rsidRPr="006774D3">
        <w:rPr>
          <w:b/>
          <w:color w:val="000000"/>
          <w:sz w:val="22"/>
          <w:szCs w:val="22"/>
          <w:lang w:val="is-IS"/>
        </w:rPr>
        <w:softHyphen/>
        <w:t>dys</w:t>
      </w:r>
      <w:r w:rsidRPr="006774D3">
        <w:rPr>
          <w:b/>
          <w:color w:val="000000"/>
          <w:sz w:val="22"/>
          <w:szCs w:val="22"/>
          <w:lang w:val="is-IS"/>
        </w:rPr>
        <w:softHyphen/>
        <w:t>plastic/myelo</w:t>
      </w:r>
      <w:r w:rsidRPr="006774D3">
        <w:rPr>
          <w:b/>
          <w:color w:val="000000"/>
          <w:sz w:val="22"/>
          <w:szCs w:val="22"/>
          <w:lang w:val="is-IS"/>
        </w:rPr>
        <w:softHyphen/>
        <w:t>proliferative diseases [MDS/MPD]).</w:t>
      </w:r>
      <w:r w:rsidRPr="006774D3">
        <w:rPr>
          <w:color w:val="000000"/>
          <w:sz w:val="22"/>
          <w:szCs w:val="22"/>
          <w:lang w:val="is-IS"/>
        </w:rPr>
        <w:t xml:space="preserve"> Þetta er hópur blóðsjúkdóma þar sem sumar blóðfrumur byrja að fjölga sér stjórnlaust. Glivec hamlar fjölgun þessara frumna hjá ákveðnum undirhópum sjúkdómanna.</w:t>
      </w:r>
    </w:p>
    <w:p w14:paraId="05B8C01E"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r>
      <w:r w:rsidRPr="006774D3">
        <w:rPr>
          <w:b/>
          <w:color w:val="000000"/>
          <w:sz w:val="22"/>
          <w:szCs w:val="22"/>
          <w:lang w:val="is-IS"/>
        </w:rPr>
        <w:t>Rauðkyrningagersheilkenni (HES) og/eða langvarandi rauðkyrningahvítblæði (CEL).</w:t>
      </w:r>
      <w:r w:rsidRPr="006774D3">
        <w:rPr>
          <w:color w:val="000000"/>
          <w:sz w:val="22"/>
          <w:szCs w:val="22"/>
          <w:lang w:val="is-IS"/>
        </w:rPr>
        <w:t xml:space="preserve"> Þetta eru blóðsjúk</w:t>
      </w:r>
      <w:r w:rsidRPr="006774D3">
        <w:rPr>
          <w:color w:val="000000"/>
          <w:sz w:val="22"/>
          <w:szCs w:val="22"/>
          <w:lang w:val="is-IS"/>
        </w:rPr>
        <w:softHyphen/>
        <w:t>dómar þar sem ákveðnar blóðfrumur (sem kallast rauðkyrningar) byrja að fjölga sér stjórnlaust. Glivec hamlar fjölgun þessara frumna hjá ákveðnum undirhópum sjúkdómanna.</w:t>
      </w:r>
    </w:p>
    <w:p w14:paraId="05B8C01F"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r>
      <w:r w:rsidRPr="006774D3">
        <w:rPr>
          <w:b/>
          <w:color w:val="000000"/>
          <w:sz w:val="22"/>
          <w:szCs w:val="22"/>
          <w:lang w:val="is-IS"/>
        </w:rPr>
        <w:t>Æxli í uppistöðuvef maga og þarma (GIST).</w:t>
      </w:r>
      <w:r w:rsidRPr="006774D3">
        <w:rPr>
          <w:color w:val="000000"/>
          <w:sz w:val="22"/>
          <w:szCs w:val="22"/>
          <w:lang w:val="is-IS"/>
        </w:rPr>
        <w:t xml:space="preserve"> GIST er krabbamein í maga og þörmum. Það kemur upp vegna óhefts frumuvaxtar í stoðvef þessara líffæra.</w:t>
      </w:r>
    </w:p>
    <w:p w14:paraId="05B8C020" w14:textId="77777777" w:rsidR="004A6901" w:rsidRPr="006774D3" w:rsidRDefault="004A6901" w:rsidP="00FA5D6F">
      <w:pPr>
        <w:keepNext/>
        <w:keepLines/>
        <w:ind w:left="567" w:hanging="567"/>
        <w:rPr>
          <w:color w:val="000000"/>
          <w:sz w:val="22"/>
          <w:szCs w:val="22"/>
        </w:rPr>
      </w:pPr>
      <w:r w:rsidRPr="006774D3">
        <w:rPr>
          <w:color w:val="000000"/>
          <w:sz w:val="22"/>
          <w:szCs w:val="22"/>
        </w:rPr>
        <w:lastRenderedPageBreak/>
        <w:t>-</w:t>
      </w:r>
      <w:r w:rsidRPr="006774D3">
        <w:rPr>
          <w:color w:val="000000"/>
          <w:sz w:val="22"/>
          <w:szCs w:val="22"/>
        </w:rPr>
        <w:tab/>
      </w:r>
      <w:r w:rsidRPr="006774D3">
        <w:rPr>
          <w:b/>
          <w:color w:val="000000"/>
          <w:sz w:val="22"/>
          <w:szCs w:val="22"/>
        </w:rPr>
        <w:t>Gnúpahúðbandvefssarkmeini (dermatofibro</w:t>
      </w:r>
      <w:r w:rsidRPr="006774D3">
        <w:rPr>
          <w:b/>
          <w:color w:val="000000"/>
          <w:sz w:val="22"/>
          <w:szCs w:val="22"/>
        </w:rPr>
        <w:softHyphen/>
        <w:t>sarcoma protuberans [DFSP]).</w:t>
      </w:r>
      <w:r w:rsidRPr="006774D3">
        <w:rPr>
          <w:color w:val="000000"/>
          <w:sz w:val="22"/>
          <w:szCs w:val="22"/>
        </w:rPr>
        <w:t xml:space="preserve"> DFSP er krabbamein í vef undir húðinni, þar sem sumar frumur byrja að fjölga sér stjórnlaust. Glivec hamlar vexti þessara frumna.</w:t>
      </w:r>
    </w:p>
    <w:p w14:paraId="05B8C021" w14:textId="77777777" w:rsidR="004A6901" w:rsidRPr="006774D3" w:rsidRDefault="004A6901" w:rsidP="00F77C66">
      <w:pPr>
        <w:ind w:left="567" w:hanging="567"/>
        <w:rPr>
          <w:color w:val="000000"/>
          <w:sz w:val="22"/>
          <w:szCs w:val="22"/>
        </w:rPr>
      </w:pPr>
      <w:r w:rsidRPr="006774D3">
        <w:rPr>
          <w:color w:val="000000"/>
          <w:sz w:val="22"/>
          <w:szCs w:val="22"/>
        </w:rPr>
        <w:t>Hér eftir verða skammstafanirnar notaðar þegar fjallað er um þessa sjúkdóma í fylgiseðlinum.</w:t>
      </w:r>
    </w:p>
    <w:p w14:paraId="05B8C022" w14:textId="77777777" w:rsidR="004A6901" w:rsidRPr="006774D3" w:rsidRDefault="004A6901" w:rsidP="00F77C66">
      <w:pPr>
        <w:rPr>
          <w:color w:val="000000"/>
          <w:sz w:val="22"/>
          <w:szCs w:val="22"/>
        </w:rPr>
      </w:pPr>
    </w:p>
    <w:p w14:paraId="05B8C023" w14:textId="77777777" w:rsidR="004A6901" w:rsidRPr="006774D3" w:rsidRDefault="004A6901" w:rsidP="00F77C66">
      <w:pPr>
        <w:rPr>
          <w:color w:val="000000"/>
          <w:sz w:val="22"/>
          <w:szCs w:val="22"/>
        </w:rPr>
      </w:pPr>
      <w:r w:rsidRPr="006774D3">
        <w:rPr>
          <w:color w:val="000000"/>
          <w:sz w:val="22"/>
          <w:szCs w:val="22"/>
        </w:rPr>
        <w:t>Ef þú hefur einhverjar spurningar um hvernig Glivec verkar eða hvers vegna þessu lyfi hefur verið ávísað skal leita til læknisins.</w:t>
      </w:r>
    </w:p>
    <w:p w14:paraId="05B8C024" w14:textId="77777777" w:rsidR="004A6901" w:rsidRPr="006774D3" w:rsidRDefault="004A6901" w:rsidP="00F77C66">
      <w:pPr>
        <w:rPr>
          <w:color w:val="000000"/>
          <w:sz w:val="22"/>
          <w:szCs w:val="22"/>
        </w:rPr>
      </w:pPr>
    </w:p>
    <w:p w14:paraId="05B8C025" w14:textId="77777777" w:rsidR="004A6901" w:rsidRPr="006774D3" w:rsidRDefault="004A6901" w:rsidP="00F77C66">
      <w:pPr>
        <w:rPr>
          <w:color w:val="000000"/>
          <w:sz w:val="22"/>
          <w:szCs w:val="22"/>
        </w:rPr>
      </w:pPr>
    </w:p>
    <w:p w14:paraId="05B8C026" w14:textId="77777777" w:rsidR="004A6901" w:rsidRPr="006774D3" w:rsidRDefault="004A6901" w:rsidP="00F77C66">
      <w:pPr>
        <w:keepNext/>
        <w:ind w:right="-2"/>
        <w:rPr>
          <w:color w:val="000000"/>
          <w:sz w:val="22"/>
          <w:szCs w:val="22"/>
        </w:rPr>
      </w:pPr>
      <w:r w:rsidRPr="006774D3">
        <w:rPr>
          <w:b/>
          <w:color w:val="000000"/>
          <w:sz w:val="22"/>
          <w:szCs w:val="22"/>
        </w:rPr>
        <w:t>2.</w:t>
      </w:r>
      <w:r w:rsidRPr="006774D3">
        <w:rPr>
          <w:b/>
          <w:color w:val="000000"/>
          <w:sz w:val="22"/>
          <w:szCs w:val="22"/>
        </w:rPr>
        <w:tab/>
        <w:t>Áður en byrjað er að nota Glivec</w:t>
      </w:r>
    </w:p>
    <w:p w14:paraId="05B8C027" w14:textId="77777777" w:rsidR="004A6901" w:rsidRPr="006774D3" w:rsidRDefault="004A6901" w:rsidP="00F77C66">
      <w:pPr>
        <w:keepNext/>
        <w:rPr>
          <w:color w:val="000000"/>
          <w:sz w:val="22"/>
          <w:szCs w:val="22"/>
        </w:rPr>
      </w:pPr>
    </w:p>
    <w:p w14:paraId="05B8C028" w14:textId="77777777" w:rsidR="004A6901" w:rsidRPr="006774D3" w:rsidRDefault="004A6901" w:rsidP="00FA5D6F">
      <w:pPr>
        <w:rPr>
          <w:color w:val="000000"/>
          <w:sz w:val="22"/>
          <w:szCs w:val="22"/>
        </w:rPr>
      </w:pPr>
      <w:r w:rsidRPr="006774D3">
        <w:rPr>
          <w:color w:val="000000"/>
          <w:sz w:val="22"/>
          <w:szCs w:val="22"/>
        </w:rPr>
        <w:t>Einungis læknir með reynslu af lyfjum til meðferðar við blóðkrabbameinum eða æxlum mun ávísa Glivec.</w:t>
      </w:r>
    </w:p>
    <w:p w14:paraId="05B8C029" w14:textId="77777777" w:rsidR="004A6901" w:rsidRPr="006774D3" w:rsidRDefault="004A6901" w:rsidP="00F77C66">
      <w:pPr>
        <w:rPr>
          <w:color w:val="000000"/>
          <w:sz w:val="22"/>
          <w:szCs w:val="22"/>
        </w:rPr>
      </w:pPr>
    </w:p>
    <w:p w14:paraId="05B8C02A" w14:textId="77777777" w:rsidR="004A6901" w:rsidRPr="006774D3" w:rsidRDefault="004A6901" w:rsidP="00F77C66">
      <w:pPr>
        <w:rPr>
          <w:color w:val="000000"/>
          <w:sz w:val="22"/>
          <w:szCs w:val="22"/>
        </w:rPr>
      </w:pPr>
      <w:r w:rsidRPr="006774D3">
        <w:rPr>
          <w:color w:val="000000"/>
          <w:sz w:val="22"/>
          <w:szCs w:val="22"/>
        </w:rPr>
        <w:t>Fara skal nákvæmlega eftir öllum fyrirmælum læknisins, jafnvel þótt þau séu frábrugðin almennu upplýsingunum í þessum fylgiseðli.</w:t>
      </w:r>
    </w:p>
    <w:p w14:paraId="05B8C02B" w14:textId="77777777" w:rsidR="004A6901" w:rsidRPr="006774D3" w:rsidRDefault="004A6901"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C02C" w14:textId="77777777" w:rsidR="004A6901" w:rsidRPr="006774D3" w:rsidRDefault="004A6901" w:rsidP="00F77C66">
      <w:pPr>
        <w:keepNext/>
        <w:ind w:right="-2"/>
        <w:outlineLvl w:val="0"/>
        <w:rPr>
          <w:color w:val="000000"/>
          <w:sz w:val="22"/>
          <w:szCs w:val="22"/>
        </w:rPr>
      </w:pPr>
      <w:r w:rsidRPr="006774D3">
        <w:rPr>
          <w:b/>
          <w:color w:val="000000"/>
          <w:sz w:val="22"/>
          <w:szCs w:val="22"/>
        </w:rPr>
        <w:t>Ekki má nota Glivec:</w:t>
      </w:r>
    </w:p>
    <w:p w14:paraId="05B8C02D" w14:textId="77777777" w:rsidR="004A6901" w:rsidRPr="006774D3" w:rsidRDefault="004A6901" w:rsidP="00F77C66">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ef um er að ræða ofnæmi fyrir imatinibi eða einhverju öðru innihaldsefni lyfsins (talin upp í kafla 6).</w:t>
      </w:r>
    </w:p>
    <w:p w14:paraId="05B8C02E" w14:textId="77777777" w:rsidR="004A6901" w:rsidRPr="006774D3" w:rsidRDefault="004A6901" w:rsidP="00FA5D6F">
      <w:pPr>
        <w:pStyle w:val="EndnoteText"/>
        <w:spacing w:before="0" w:after="0"/>
        <w:ind w:left="567" w:hanging="567"/>
        <w:rPr>
          <w:color w:val="000000"/>
          <w:sz w:val="22"/>
          <w:szCs w:val="22"/>
          <w:lang w:val="is-IS"/>
        </w:rPr>
      </w:pPr>
      <w:r w:rsidRPr="006774D3">
        <w:rPr>
          <w:color w:val="000000"/>
          <w:sz w:val="22"/>
          <w:szCs w:val="22"/>
          <w:lang w:val="is-IS"/>
        </w:rPr>
        <w:t xml:space="preserve">Ef þetta á við um þig </w:t>
      </w:r>
      <w:r w:rsidRPr="006774D3">
        <w:rPr>
          <w:b/>
          <w:color w:val="000000"/>
          <w:sz w:val="22"/>
          <w:szCs w:val="22"/>
          <w:lang w:val="is-IS"/>
        </w:rPr>
        <w:t>skaltu láta lækninn vita án þess að nota Glivec.</w:t>
      </w:r>
    </w:p>
    <w:p w14:paraId="05B8C02F" w14:textId="77777777" w:rsidR="004A6901" w:rsidRPr="006774D3" w:rsidRDefault="004A6901" w:rsidP="00F77C66">
      <w:pPr>
        <w:pStyle w:val="EndnoteText"/>
        <w:spacing w:before="0" w:after="0"/>
        <w:ind w:left="567" w:hanging="567"/>
        <w:rPr>
          <w:color w:val="000000"/>
          <w:sz w:val="22"/>
          <w:szCs w:val="22"/>
          <w:lang w:val="is-IS"/>
        </w:rPr>
      </w:pPr>
    </w:p>
    <w:p w14:paraId="05B8C030"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Ef þú telur að þú kunnir að vera með ofnæmi en ert ekki viss, skaltu leita ráða hjá lækninum.</w:t>
      </w:r>
    </w:p>
    <w:p w14:paraId="05B8C031" w14:textId="77777777" w:rsidR="004A6901" w:rsidRPr="006774D3" w:rsidRDefault="004A6901" w:rsidP="00F77C66">
      <w:pPr>
        <w:numPr>
          <w:ilvl w:val="12"/>
          <w:numId w:val="0"/>
        </w:numPr>
        <w:ind w:right="-2"/>
        <w:rPr>
          <w:color w:val="000000"/>
          <w:sz w:val="22"/>
          <w:szCs w:val="22"/>
        </w:rPr>
      </w:pPr>
    </w:p>
    <w:p w14:paraId="05B8C032" w14:textId="77777777" w:rsidR="004A6901" w:rsidRPr="006774D3" w:rsidRDefault="004A6901" w:rsidP="00F77C66">
      <w:pPr>
        <w:pStyle w:val="BodyText"/>
        <w:keepNext/>
        <w:numPr>
          <w:ilvl w:val="12"/>
          <w:numId w:val="0"/>
        </w:numPr>
        <w:outlineLvl w:val="0"/>
        <w:rPr>
          <w:color w:val="000000"/>
          <w:szCs w:val="22"/>
        </w:rPr>
      </w:pPr>
      <w:r w:rsidRPr="006774D3">
        <w:rPr>
          <w:color w:val="000000"/>
          <w:szCs w:val="22"/>
        </w:rPr>
        <w:t>Varnaðarorð og varúðarreglur</w:t>
      </w:r>
    </w:p>
    <w:p w14:paraId="05B8C033" w14:textId="77777777" w:rsidR="004A6901" w:rsidRPr="006774D3" w:rsidRDefault="004A6901" w:rsidP="00F77C66">
      <w:pPr>
        <w:pStyle w:val="EndnoteText"/>
        <w:keepNext/>
        <w:spacing w:before="0" w:after="0"/>
        <w:ind w:left="0" w:firstLine="0"/>
        <w:rPr>
          <w:color w:val="000000"/>
          <w:sz w:val="22"/>
          <w:szCs w:val="22"/>
          <w:lang w:val="is-IS"/>
        </w:rPr>
      </w:pPr>
      <w:r w:rsidRPr="006774D3">
        <w:rPr>
          <w:color w:val="000000"/>
          <w:sz w:val="22"/>
          <w:szCs w:val="22"/>
          <w:lang w:val="is-IS"/>
        </w:rPr>
        <w:t>Leitið ráða hjá lækninum áður en Glivec er notað:</w:t>
      </w:r>
    </w:p>
    <w:p w14:paraId="05B8C034" w14:textId="77777777" w:rsidR="004A6901" w:rsidRPr="006774D3" w:rsidRDefault="004A6901" w:rsidP="00FA5D6F">
      <w:pPr>
        <w:pStyle w:val="EndnoteText"/>
        <w:spacing w:before="0" w:after="0"/>
        <w:ind w:left="0" w:firstLine="0"/>
        <w:rPr>
          <w:color w:val="000000"/>
          <w:sz w:val="22"/>
          <w:szCs w:val="22"/>
          <w:lang w:val="is-IS"/>
        </w:rPr>
      </w:pPr>
      <w:r w:rsidRPr="006774D3">
        <w:rPr>
          <w:color w:val="000000"/>
          <w:sz w:val="22"/>
          <w:szCs w:val="22"/>
          <w:lang w:val="is-IS"/>
        </w:rPr>
        <w:t>-</w:t>
      </w:r>
      <w:r w:rsidRPr="006774D3">
        <w:rPr>
          <w:color w:val="000000"/>
          <w:sz w:val="22"/>
          <w:szCs w:val="22"/>
          <w:lang w:val="is-IS"/>
        </w:rPr>
        <w:tab/>
        <w:t>ef þú ert með eða hefur einhvern tímann verið með lifrar-, nýrna- eða hjartasjúkdóm.</w:t>
      </w:r>
    </w:p>
    <w:p w14:paraId="05B8C035" w14:textId="77777777" w:rsidR="007E4C8C" w:rsidRPr="006774D3" w:rsidRDefault="004A6901" w:rsidP="00FA5D6F">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ef þú ert að nota lyfið levotyroxin vegna þess að skjaldkirtillinn hefur verið fjarlægður.</w:t>
      </w:r>
    </w:p>
    <w:p w14:paraId="05B8C036" w14:textId="77777777" w:rsidR="00965D3C" w:rsidRPr="006774D3" w:rsidRDefault="007E4C8C" w:rsidP="00FA5D6F">
      <w:pPr>
        <w:pStyle w:val="EndnoteText"/>
        <w:spacing w:before="0" w:after="0"/>
        <w:ind w:left="567" w:hanging="567"/>
        <w:rPr>
          <w:sz w:val="22"/>
          <w:lang w:val="is-IS"/>
        </w:rPr>
      </w:pPr>
      <w:r w:rsidRPr="006774D3">
        <w:rPr>
          <w:sz w:val="22"/>
          <w:lang w:val="is-IS"/>
        </w:rPr>
        <w:t>-</w:t>
      </w:r>
      <w:r w:rsidRPr="006774D3">
        <w:rPr>
          <w:sz w:val="22"/>
          <w:lang w:val="is-IS"/>
        </w:rPr>
        <w:tab/>
        <w:t>ef þú hefur nokkurn tíma fengið eða gætir núna verið með lifrarbólgu B sýkingu. Þetta er vegna þess að Glivec gæti endurvirkjað lifrarbólgu B sýkingu, sem getur í sumum tilvikum orðið banvæn. Áður en meðferð er hafin mun læknirinn skoða sjúklinga vandlega með tilliti til einkenna sýkingarinnar.</w:t>
      </w:r>
    </w:p>
    <w:p w14:paraId="05B8C037" w14:textId="77777777" w:rsidR="004A6901" w:rsidRPr="006774D3" w:rsidRDefault="00965D3C" w:rsidP="00F77C66">
      <w:pPr>
        <w:pStyle w:val="EndnoteText"/>
        <w:keepNext/>
        <w:spacing w:before="0" w:after="0"/>
        <w:ind w:left="567" w:hanging="567"/>
        <w:rPr>
          <w:color w:val="000000"/>
          <w:sz w:val="22"/>
          <w:szCs w:val="22"/>
          <w:lang w:val="is-IS"/>
        </w:rPr>
      </w:pPr>
      <w:r w:rsidRPr="006774D3">
        <w:rPr>
          <w:sz w:val="22"/>
          <w:lang w:val="is-IS"/>
        </w:rPr>
        <w:t>-</w:t>
      </w:r>
      <w:r w:rsidRPr="006774D3">
        <w:rPr>
          <w:sz w:val="22"/>
          <w:lang w:val="is-IS"/>
        </w:rPr>
        <w:tab/>
        <w:t xml:space="preserve">ef þú færð marbletti, blæðingar, hita, þreytu og ringlun á meðan Glivec er notað skaltu hafa samband við lækninn. Þetta geta verið einkenni um skemmdir í æðum sem kallast </w:t>
      </w:r>
      <w:r w:rsidRPr="006774D3">
        <w:rPr>
          <w:color w:val="000000"/>
          <w:sz w:val="22"/>
          <w:szCs w:val="22"/>
          <w:lang w:val="is-IS"/>
        </w:rPr>
        <w:t>segaöræðakvilli</w:t>
      </w:r>
      <w:r w:rsidRPr="006774D3">
        <w:rPr>
          <w:sz w:val="22"/>
          <w:lang w:val="is-IS"/>
        </w:rPr>
        <w:t>.</w:t>
      </w:r>
    </w:p>
    <w:p w14:paraId="05B8C038" w14:textId="77777777" w:rsidR="004A6901" w:rsidRPr="006774D3" w:rsidRDefault="004A6901" w:rsidP="00F77C66">
      <w:pPr>
        <w:ind w:right="-2"/>
        <w:rPr>
          <w:color w:val="000000"/>
          <w:sz w:val="22"/>
          <w:szCs w:val="22"/>
        </w:rPr>
      </w:pPr>
      <w:r w:rsidRPr="006774D3">
        <w:rPr>
          <w:color w:val="000000"/>
          <w:sz w:val="22"/>
          <w:szCs w:val="22"/>
        </w:rPr>
        <w:t xml:space="preserve">Ef eitthvað af þessu á við </w:t>
      </w:r>
      <w:r w:rsidRPr="006774D3">
        <w:rPr>
          <w:b/>
          <w:color w:val="000000"/>
          <w:sz w:val="22"/>
          <w:szCs w:val="22"/>
        </w:rPr>
        <w:t>skal láta lækninn vita áður en byrjað er að nota Glivec</w:t>
      </w:r>
      <w:r w:rsidRPr="006774D3">
        <w:rPr>
          <w:color w:val="000000"/>
          <w:sz w:val="22"/>
          <w:szCs w:val="22"/>
        </w:rPr>
        <w:t>.</w:t>
      </w:r>
    </w:p>
    <w:p w14:paraId="05B8C039" w14:textId="77777777" w:rsidR="00DB085C" w:rsidRPr="006774D3" w:rsidRDefault="00DB085C" w:rsidP="00F77C66">
      <w:pPr>
        <w:ind w:right="-2"/>
        <w:rPr>
          <w:color w:val="000000"/>
          <w:sz w:val="22"/>
          <w:szCs w:val="22"/>
        </w:rPr>
      </w:pPr>
    </w:p>
    <w:p w14:paraId="05B8C03A" w14:textId="77777777" w:rsidR="00DB085C" w:rsidRPr="006774D3" w:rsidRDefault="00DB085C" w:rsidP="00F77C66">
      <w:pPr>
        <w:ind w:right="-2"/>
        <w:rPr>
          <w:color w:val="000000"/>
          <w:sz w:val="22"/>
          <w:szCs w:val="22"/>
        </w:rPr>
      </w:pPr>
      <w:r w:rsidRPr="006774D3">
        <w:rPr>
          <w:color w:val="000000"/>
          <w:sz w:val="22"/>
          <w:szCs w:val="22"/>
        </w:rPr>
        <w:t>Þú getur orðið viðkvæmari fyrir sól meðan á meðferð með Glivec stendur. Það er mikilvægt að hylja húðsvæði sem eru berskjölduð fyrir sól og nota sólarvörn með háum sólvarnarstuðli (SPF). Þessar varúðarráðstafanir eiga einnig við um börn.</w:t>
      </w:r>
    </w:p>
    <w:p w14:paraId="05B8C03B" w14:textId="77777777" w:rsidR="004A6901" w:rsidRPr="006774D3" w:rsidRDefault="004A6901" w:rsidP="00F77C66">
      <w:pPr>
        <w:ind w:right="-2"/>
        <w:rPr>
          <w:color w:val="000000"/>
          <w:sz w:val="22"/>
          <w:szCs w:val="22"/>
        </w:rPr>
      </w:pPr>
    </w:p>
    <w:p w14:paraId="05B8C03C" w14:textId="77777777" w:rsidR="004A6901" w:rsidRPr="006774D3" w:rsidRDefault="004A6901" w:rsidP="00F77C66">
      <w:pPr>
        <w:ind w:right="-2"/>
        <w:rPr>
          <w:color w:val="000000"/>
          <w:sz w:val="22"/>
          <w:szCs w:val="22"/>
        </w:rPr>
      </w:pPr>
      <w:r w:rsidRPr="006774D3">
        <w:rPr>
          <w:b/>
          <w:color w:val="000000"/>
          <w:sz w:val="22"/>
          <w:szCs w:val="22"/>
        </w:rPr>
        <w:t>Meðan á meðferð með Glivec stendur skaltu láta lækninn tafarlaust vita</w:t>
      </w:r>
      <w:r w:rsidRPr="006774D3">
        <w:rPr>
          <w:color w:val="000000"/>
          <w:sz w:val="22"/>
          <w:szCs w:val="22"/>
        </w:rPr>
        <w:t xml:space="preserve"> ef þú þyngist hratt. Glivec getur valdið því að vatn safnast fyrir í líkamanum (veruleg vökvasöfnun).</w:t>
      </w:r>
    </w:p>
    <w:p w14:paraId="05B8C03D" w14:textId="77777777" w:rsidR="004A6901" w:rsidRPr="006774D3" w:rsidRDefault="004A6901" w:rsidP="00F77C66">
      <w:pPr>
        <w:ind w:right="-2"/>
        <w:rPr>
          <w:color w:val="000000"/>
          <w:sz w:val="22"/>
          <w:szCs w:val="22"/>
        </w:rPr>
      </w:pPr>
    </w:p>
    <w:p w14:paraId="05B8C03E" w14:textId="77777777" w:rsidR="004A6901" w:rsidRPr="006774D3" w:rsidRDefault="004A6901" w:rsidP="00F77C66">
      <w:pPr>
        <w:ind w:right="-2"/>
        <w:rPr>
          <w:color w:val="000000"/>
          <w:sz w:val="22"/>
          <w:szCs w:val="22"/>
        </w:rPr>
      </w:pPr>
      <w:r w:rsidRPr="006774D3">
        <w:rPr>
          <w:color w:val="000000"/>
          <w:sz w:val="22"/>
          <w:szCs w:val="22"/>
        </w:rPr>
        <w:t>Á meðan þú notar Glivec mun læknirinn fylgjast reglulega með því hvort lyfið virkar. Einnig verður fylgst reglulega með blóðhag og þyngd þann tíma sem Glivec er notað.</w:t>
      </w:r>
    </w:p>
    <w:p w14:paraId="05B8C03F" w14:textId="77777777" w:rsidR="004A6901" w:rsidRPr="006774D3" w:rsidRDefault="004A6901" w:rsidP="00F77C66">
      <w:pPr>
        <w:ind w:right="-2"/>
        <w:rPr>
          <w:color w:val="000000"/>
          <w:sz w:val="22"/>
          <w:szCs w:val="22"/>
        </w:rPr>
      </w:pPr>
    </w:p>
    <w:p w14:paraId="05B8C040" w14:textId="77777777" w:rsidR="004A6901" w:rsidRPr="006774D3" w:rsidRDefault="004A6901" w:rsidP="00FA5D6F">
      <w:pPr>
        <w:keepNext/>
        <w:rPr>
          <w:b/>
          <w:color w:val="000000"/>
          <w:sz w:val="22"/>
          <w:szCs w:val="22"/>
        </w:rPr>
      </w:pPr>
      <w:r w:rsidRPr="006774D3">
        <w:rPr>
          <w:b/>
          <w:color w:val="000000"/>
          <w:sz w:val="22"/>
          <w:szCs w:val="22"/>
        </w:rPr>
        <w:t>Börn og unglingar</w:t>
      </w:r>
    </w:p>
    <w:p w14:paraId="05B8C041" w14:textId="77777777" w:rsidR="004A6901" w:rsidRPr="006774D3" w:rsidRDefault="004A6901" w:rsidP="00F77C66">
      <w:pPr>
        <w:ind w:right="-2"/>
        <w:rPr>
          <w:color w:val="000000"/>
          <w:sz w:val="22"/>
          <w:szCs w:val="22"/>
        </w:rPr>
      </w:pPr>
      <w:r w:rsidRPr="006774D3">
        <w:rPr>
          <w:color w:val="000000"/>
          <w:sz w:val="22"/>
          <w:szCs w:val="22"/>
        </w:rPr>
        <w:t>Glivec er einnig ætlað til meðferðar hjá börnum með CML. Engin reynsla er af notkun Glivec handa börnum yngri en 2 ára sem eru með CML. Takmörkuð reynsla er af meðferð hjá börnum með Ph-jákvætt ALL</w:t>
      </w:r>
      <w:r w:rsidR="00241D8B" w:rsidRPr="006774D3">
        <w:rPr>
          <w:color w:val="000000"/>
          <w:sz w:val="22"/>
          <w:szCs w:val="22"/>
        </w:rPr>
        <w:t xml:space="preserve"> og mjög takmörkuð reynsla er af meðferð hjá börnum með MDS/MPD, DFSP, GIST og HES/CEL</w:t>
      </w:r>
      <w:r w:rsidRPr="006774D3">
        <w:rPr>
          <w:color w:val="000000"/>
          <w:sz w:val="22"/>
          <w:szCs w:val="22"/>
        </w:rPr>
        <w:t>.</w:t>
      </w:r>
    </w:p>
    <w:p w14:paraId="05B8C042" w14:textId="77777777" w:rsidR="004A6901" w:rsidRPr="006774D3" w:rsidRDefault="004A6901" w:rsidP="00F77C66">
      <w:pPr>
        <w:ind w:right="-2"/>
        <w:rPr>
          <w:color w:val="000000"/>
          <w:sz w:val="22"/>
          <w:szCs w:val="22"/>
        </w:rPr>
      </w:pPr>
    </w:p>
    <w:p w14:paraId="05B8C043" w14:textId="77777777" w:rsidR="004A6901" w:rsidRPr="006774D3" w:rsidRDefault="004A6901" w:rsidP="00F77C66">
      <w:pPr>
        <w:ind w:right="-2"/>
        <w:rPr>
          <w:color w:val="000000"/>
          <w:sz w:val="22"/>
          <w:szCs w:val="22"/>
        </w:rPr>
      </w:pPr>
      <w:r w:rsidRPr="006774D3">
        <w:rPr>
          <w:color w:val="000000"/>
          <w:sz w:val="22"/>
          <w:szCs w:val="22"/>
        </w:rPr>
        <w:t>Verið getur að sum börn og unglingar sem taka Glivec stækki hægar en eðlilegt er. Læknirinn mun fylgjast með vextinum í reglulegum heimsóknum til hans.</w:t>
      </w:r>
    </w:p>
    <w:p w14:paraId="05B8C044" w14:textId="77777777" w:rsidR="004A6901" w:rsidRPr="006774D3" w:rsidRDefault="004A6901" w:rsidP="00F77C66">
      <w:pPr>
        <w:ind w:right="-2"/>
        <w:rPr>
          <w:color w:val="000000"/>
          <w:sz w:val="22"/>
          <w:szCs w:val="22"/>
        </w:rPr>
      </w:pPr>
    </w:p>
    <w:p w14:paraId="05B8C045" w14:textId="77777777" w:rsidR="004A6901" w:rsidRPr="006774D3" w:rsidRDefault="004A6901" w:rsidP="00F77C66">
      <w:pPr>
        <w:keepNext/>
        <w:ind w:right="-2"/>
        <w:rPr>
          <w:color w:val="000000"/>
          <w:sz w:val="22"/>
          <w:szCs w:val="22"/>
        </w:rPr>
      </w:pPr>
      <w:r w:rsidRPr="006774D3">
        <w:rPr>
          <w:b/>
          <w:color w:val="000000"/>
          <w:sz w:val="22"/>
          <w:szCs w:val="22"/>
        </w:rPr>
        <w:lastRenderedPageBreak/>
        <w:t>Notkun annarra lyfja samhliða Glivec</w:t>
      </w:r>
    </w:p>
    <w:p w14:paraId="05B8C046" w14:textId="77777777" w:rsidR="004A6901" w:rsidRPr="006774D3" w:rsidRDefault="004A6901" w:rsidP="00FA5D6F">
      <w:pPr>
        <w:numPr>
          <w:ilvl w:val="12"/>
          <w:numId w:val="0"/>
        </w:numPr>
        <w:ind w:right="-29"/>
        <w:rPr>
          <w:color w:val="000000"/>
          <w:sz w:val="22"/>
          <w:szCs w:val="22"/>
        </w:rPr>
      </w:pPr>
      <w:r w:rsidRPr="006774D3">
        <w:rPr>
          <w:color w:val="000000"/>
          <w:sz w:val="22"/>
          <w:szCs w:val="22"/>
        </w:rPr>
        <w:t>Látið lækninn eða lyfjafræðing vita um öll önnur lyf sem eru notuð, hafa nýlega verið notuð eða kynnu að verða notuð, þar með talið lyf sem fengin eru án lyfseðils (svo sem paracetamol) og einnig náttúrulyf (svo sem jóhannesarjurt [jónsmessurunni, St. John’s wort]). Við samhliða notkun geta sum lyf haft áhrif á verkun Glivec. Þau geta aukið eða dregið úr verkun Glivec, valdið meiri aukaverkunum eða dregið úr árangri meðferðar með Glivec. Glivec getur haft sömu áhrif á sum önnur lyf.</w:t>
      </w:r>
    </w:p>
    <w:p w14:paraId="05B8C047" w14:textId="77777777" w:rsidR="00F16D8B" w:rsidRPr="006774D3" w:rsidRDefault="00F16D8B" w:rsidP="00F77C66">
      <w:pPr>
        <w:ind w:right="-2"/>
        <w:rPr>
          <w:color w:val="000000"/>
          <w:sz w:val="22"/>
          <w:szCs w:val="22"/>
        </w:rPr>
      </w:pPr>
    </w:p>
    <w:p w14:paraId="05B8C048" w14:textId="77777777" w:rsidR="00F16D8B" w:rsidRPr="006774D3" w:rsidRDefault="00F16D8B" w:rsidP="00F77C66">
      <w:pPr>
        <w:ind w:right="-2"/>
        <w:rPr>
          <w:color w:val="000000"/>
          <w:sz w:val="22"/>
          <w:szCs w:val="22"/>
        </w:rPr>
      </w:pPr>
      <w:r w:rsidRPr="006774D3">
        <w:rPr>
          <w:color w:val="000000"/>
          <w:sz w:val="22"/>
          <w:szCs w:val="22"/>
        </w:rPr>
        <w:t>Láttu lækninn vita ef þú notar lyf sem koma í veg fyrir myndun blóðtappa.</w:t>
      </w:r>
    </w:p>
    <w:p w14:paraId="05B8C049" w14:textId="77777777" w:rsidR="004A6901" w:rsidRPr="006774D3" w:rsidRDefault="004A6901" w:rsidP="00F77C66">
      <w:pPr>
        <w:ind w:right="-2"/>
        <w:rPr>
          <w:color w:val="000000"/>
          <w:sz w:val="22"/>
          <w:szCs w:val="22"/>
        </w:rPr>
      </w:pPr>
    </w:p>
    <w:p w14:paraId="05B8C04A" w14:textId="77777777" w:rsidR="004A6901" w:rsidRPr="006774D3" w:rsidRDefault="004A6901" w:rsidP="00F77C66">
      <w:pPr>
        <w:keepNext/>
        <w:rPr>
          <w:color w:val="000000"/>
          <w:sz w:val="22"/>
          <w:szCs w:val="22"/>
        </w:rPr>
      </w:pPr>
      <w:r w:rsidRPr="006774D3">
        <w:rPr>
          <w:b/>
          <w:color w:val="000000"/>
          <w:sz w:val="22"/>
          <w:szCs w:val="22"/>
        </w:rPr>
        <w:t>Meðganga, brjóstagjöf og frjósemi</w:t>
      </w:r>
    </w:p>
    <w:p w14:paraId="05B8C04B" w14:textId="77777777" w:rsidR="004A6901" w:rsidRPr="006774D3" w:rsidRDefault="004A6901" w:rsidP="00FA5D6F">
      <w:pPr>
        <w:ind w:left="567" w:hanging="567"/>
        <w:rPr>
          <w:color w:val="000000"/>
          <w:sz w:val="22"/>
          <w:szCs w:val="22"/>
        </w:rPr>
      </w:pPr>
      <w:r w:rsidRPr="006774D3">
        <w:rPr>
          <w:color w:val="000000"/>
          <w:sz w:val="22"/>
          <w:szCs w:val="22"/>
        </w:rPr>
        <w:t>-</w:t>
      </w:r>
      <w:r w:rsidRPr="006774D3">
        <w:rPr>
          <w:color w:val="000000"/>
          <w:sz w:val="22"/>
          <w:szCs w:val="22"/>
        </w:rPr>
        <w:tab/>
        <w:t>Við meðgöngu, brjóstagjöf, grun um þungun eða ef þungun er fyrirhuguð skal leita ráða hjá lækninum áður en lyfið er notað.</w:t>
      </w:r>
    </w:p>
    <w:p w14:paraId="05B8C04C" w14:textId="77777777" w:rsidR="004A6901" w:rsidRPr="006774D3" w:rsidRDefault="004A6901" w:rsidP="00FA5D6F">
      <w:pPr>
        <w:ind w:left="567" w:hanging="567"/>
        <w:rPr>
          <w:color w:val="000000"/>
          <w:sz w:val="22"/>
          <w:szCs w:val="22"/>
        </w:rPr>
      </w:pPr>
      <w:r w:rsidRPr="006774D3">
        <w:rPr>
          <w:color w:val="000000"/>
          <w:sz w:val="22"/>
          <w:szCs w:val="22"/>
        </w:rPr>
        <w:t>-</w:t>
      </w:r>
      <w:r w:rsidRPr="006774D3">
        <w:rPr>
          <w:color w:val="000000"/>
          <w:sz w:val="22"/>
          <w:szCs w:val="22"/>
        </w:rPr>
        <w:tab/>
        <w:t>Ekki er ráðlagt að nota Glivec á meðgöngu nema brýna nauðsyn beri til því það getur skaðað fóstrið. Læknirinn mun ræða við þig um hugsanlega áhættu við notkun Glivec á meðgöngu.</w:t>
      </w:r>
    </w:p>
    <w:p w14:paraId="05B8C04D"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t>Konum sem gætu orðið þungaðar er ráðlagt að nota örugga getnaðarvörn meðan á meðferð stendur</w:t>
      </w:r>
      <w:r w:rsidR="006C3520" w:rsidRPr="006774D3">
        <w:rPr>
          <w:color w:val="000000"/>
          <w:sz w:val="22"/>
          <w:szCs w:val="22"/>
        </w:rPr>
        <w:t xml:space="preserve"> og í 15 daga eftir að meðferð lýkur</w:t>
      </w:r>
      <w:r w:rsidRPr="006774D3">
        <w:rPr>
          <w:color w:val="000000"/>
          <w:sz w:val="22"/>
          <w:szCs w:val="22"/>
        </w:rPr>
        <w:t>.</w:t>
      </w:r>
    </w:p>
    <w:p w14:paraId="05B8C04E" w14:textId="77777777" w:rsidR="004A6901" w:rsidRPr="006774D3" w:rsidRDefault="004A6901" w:rsidP="00EC3F00">
      <w:pPr>
        <w:ind w:left="567" w:hanging="567"/>
        <w:rPr>
          <w:color w:val="000000"/>
          <w:sz w:val="22"/>
          <w:szCs w:val="22"/>
        </w:rPr>
      </w:pPr>
      <w:r w:rsidRPr="006774D3">
        <w:rPr>
          <w:color w:val="000000"/>
          <w:sz w:val="22"/>
          <w:szCs w:val="22"/>
        </w:rPr>
        <w:t>-</w:t>
      </w:r>
      <w:r w:rsidRPr="006774D3">
        <w:rPr>
          <w:color w:val="000000"/>
          <w:sz w:val="22"/>
          <w:szCs w:val="22"/>
        </w:rPr>
        <w:tab/>
        <w:t>Ekki hafa barn á brjósti meðan á meðferð með Glivec stendur</w:t>
      </w:r>
      <w:r w:rsidR="006C3520" w:rsidRPr="006774D3">
        <w:rPr>
          <w:color w:val="000000"/>
          <w:sz w:val="22"/>
          <w:szCs w:val="22"/>
        </w:rPr>
        <w:t xml:space="preserve"> og í 15 daga eftir að meðferð lýkur því það getur verið skaðlegt fyrir barnið</w:t>
      </w:r>
      <w:r w:rsidRPr="006774D3">
        <w:rPr>
          <w:color w:val="000000"/>
          <w:sz w:val="22"/>
          <w:szCs w:val="22"/>
        </w:rPr>
        <w:t>.</w:t>
      </w:r>
    </w:p>
    <w:p w14:paraId="05B8C04F"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t>Sjúklingum sem hafa áhyggjur af frjósemi sinni meðan þeir eru á meðferð með Glivec er ráðlagt að ráðfæra sig við lækninn.</w:t>
      </w:r>
    </w:p>
    <w:p w14:paraId="05B8C050" w14:textId="77777777" w:rsidR="004A6901" w:rsidRPr="006774D3" w:rsidRDefault="004A6901" w:rsidP="00F77C66">
      <w:pPr>
        <w:pStyle w:val="EndnoteText"/>
        <w:spacing w:before="0" w:after="0"/>
        <w:ind w:left="0" w:firstLine="0"/>
        <w:rPr>
          <w:color w:val="000000"/>
          <w:sz w:val="22"/>
          <w:szCs w:val="22"/>
          <w:lang w:val="is-IS"/>
        </w:rPr>
      </w:pPr>
    </w:p>
    <w:p w14:paraId="05B8C051" w14:textId="77777777" w:rsidR="004A6901" w:rsidRPr="006774D3" w:rsidRDefault="004A6901" w:rsidP="00F77C66">
      <w:pPr>
        <w:keepNext/>
        <w:ind w:right="-2"/>
        <w:outlineLvl w:val="0"/>
        <w:rPr>
          <w:color w:val="000000"/>
          <w:sz w:val="22"/>
          <w:szCs w:val="22"/>
        </w:rPr>
      </w:pPr>
      <w:r w:rsidRPr="006774D3">
        <w:rPr>
          <w:b/>
          <w:color w:val="000000"/>
          <w:sz w:val="22"/>
          <w:szCs w:val="22"/>
        </w:rPr>
        <w:t>Akstur og notkun véla</w:t>
      </w:r>
    </w:p>
    <w:p w14:paraId="05B8C052" w14:textId="77777777" w:rsidR="004A6901" w:rsidRPr="006774D3" w:rsidRDefault="004A6901" w:rsidP="00FA5D6F">
      <w:pPr>
        <w:ind w:right="-29"/>
        <w:rPr>
          <w:color w:val="000000"/>
          <w:sz w:val="22"/>
          <w:szCs w:val="22"/>
        </w:rPr>
      </w:pPr>
      <w:r w:rsidRPr="006774D3">
        <w:rPr>
          <w:color w:val="000000"/>
          <w:sz w:val="22"/>
          <w:szCs w:val="22"/>
        </w:rPr>
        <w:t>Þú getur fundið fyrir sundli eða syfju eða fengið þokusýn við notkun þessa lyfs. Ef þetta kemur fyrir máttu hvorki aka né nota nokkur tæki eða vélar fyrr en þetta er liðið hjá.</w:t>
      </w:r>
    </w:p>
    <w:p w14:paraId="05B8C053" w14:textId="77777777" w:rsidR="004A6901" w:rsidRPr="006774D3" w:rsidRDefault="004A6901" w:rsidP="00F77C66">
      <w:pPr>
        <w:ind w:right="-2"/>
        <w:rPr>
          <w:color w:val="000000"/>
          <w:sz w:val="22"/>
          <w:szCs w:val="22"/>
        </w:rPr>
      </w:pPr>
    </w:p>
    <w:p w14:paraId="05B8C054" w14:textId="77777777" w:rsidR="004A6901" w:rsidRPr="006774D3" w:rsidRDefault="004A6901" w:rsidP="00F77C66">
      <w:pPr>
        <w:ind w:right="-2"/>
        <w:rPr>
          <w:color w:val="000000"/>
          <w:sz w:val="22"/>
          <w:szCs w:val="22"/>
        </w:rPr>
      </w:pPr>
    </w:p>
    <w:p w14:paraId="05B8C055" w14:textId="77777777" w:rsidR="00D363A7" w:rsidRPr="006774D3" w:rsidRDefault="00D363A7" w:rsidP="00F77C66">
      <w:pPr>
        <w:keepNext/>
        <w:rPr>
          <w:color w:val="000000"/>
          <w:sz w:val="22"/>
          <w:szCs w:val="22"/>
        </w:rPr>
      </w:pPr>
      <w:r w:rsidRPr="006774D3">
        <w:rPr>
          <w:b/>
          <w:color w:val="000000"/>
          <w:sz w:val="22"/>
          <w:szCs w:val="22"/>
        </w:rPr>
        <w:t>3.</w:t>
      </w:r>
      <w:r w:rsidRPr="006774D3">
        <w:rPr>
          <w:b/>
          <w:color w:val="000000"/>
          <w:sz w:val="22"/>
          <w:szCs w:val="22"/>
        </w:rPr>
        <w:tab/>
      </w:r>
      <w:r w:rsidR="00635B44" w:rsidRPr="006774D3">
        <w:rPr>
          <w:b/>
          <w:color w:val="000000"/>
          <w:sz w:val="22"/>
          <w:szCs w:val="22"/>
        </w:rPr>
        <w:t>Hvernig nota á Glivec</w:t>
      </w:r>
    </w:p>
    <w:p w14:paraId="05B8C056" w14:textId="77777777" w:rsidR="00D363A7" w:rsidRPr="006774D3" w:rsidRDefault="00D363A7" w:rsidP="00F77C66">
      <w:pPr>
        <w:keepNext/>
        <w:rPr>
          <w:color w:val="000000"/>
          <w:sz w:val="22"/>
          <w:szCs w:val="22"/>
        </w:rPr>
      </w:pPr>
    </w:p>
    <w:p w14:paraId="05B8C057" w14:textId="77777777" w:rsidR="00D363A7" w:rsidRPr="006774D3" w:rsidRDefault="00D363A7" w:rsidP="00FA5D6F">
      <w:pPr>
        <w:rPr>
          <w:color w:val="000000"/>
          <w:sz w:val="22"/>
          <w:szCs w:val="22"/>
        </w:rPr>
      </w:pPr>
      <w:r w:rsidRPr="006774D3">
        <w:rPr>
          <w:color w:val="000000"/>
          <w:sz w:val="22"/>
          <w:szCs w:val="22"/>
        </w:rPr>
        <w:t>Læknirinn hefur ávísað Glivec vegna þess að þú ert með alvarlegan sjúkdóm. Glivec getur hjálpað til í baráttunni við sjúkdóminn.</w:t>
      </w:r>
    </w:p>
    <w:p w14:paraId="05B8C058" w14:textId="77777777" w:rsidR="00D363A7" w:rsidRPr="006774D3" w:rsidRDefault="00D363A7" w:rsidP="00F77C66">
      <w:pPr>
        <w:rPr>
          <w:color w:val="000000"/>
          <w:sz w:val="22"/>
          <w:szCs w:val="22"/>
        </w:rPr>
      </w:pPr>
    </w:p>
    <w:p w14:paraId="05B8C059" w14:textId="77777777" w:rsidR="00D363A7" w:rsidRPr="006774D3" w:rsidRDefault="00635B44" w:rsidP="00F77C66">
      <w:pPr>
        <w:rPr>
          <w:color w:val="000000"/>
          <w:sz w:val="22"/>
          <w:szCs w:val="22"/>
        </w:rPr>
      </w:pPr>
      <w:r w:rsidRPr="006774D3">
        <w:rPr>
          <w:color w:val="000000"/>
          <w:sz w:val="22"/>
          <w:szCs w:val="22"/>
        </w:rPr>
        <w:t>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w:t>
      </w:r>
    </w:p>
    <w:p w14:paraId="05B8C05A" w14:textId="77777777" w:rsidR="00D363A7" w:rsidRPr="006774D3" w:rsidRDefault="00D363A7" w:rsidP="00F77C66">
      <w:pPr>
        <w:rPr>
          <w:color w:val="000000"/>
          <w:sz w:val="22"/>
          <w:szCs w:val="22"/>
        </w:rPr>
      </w:pPr>
    </w:p>
    <w:p w14:paraId="05B8C05B" w14:textId="77777777" w:rsidR="00D363A7" w:rsidRPr="006774D3" w:rsidRDefault="00D363A7" w:rsidP="00F77C66">
      <w:pPr>
        <w:rPr>
          <w:color w:val="000000"/>
          <w:sz w:val="22"/>
          <w:szCs w:val="22"/>
        </w:rPr>
      </w:pPr>
      <w:r w:rsidRPr="006774D3">
        <w:rPr>
          <w:color w:val="000000"/>
          <w:sz w:val="22"/>
          <w:szCs w:val="22"/>
        </w:rPr>
        <w:t>Ekki hætta að nota Glivec nema samkvæmt ráðleggingum læknisins. Ef þú getur ekki notað lyfið eins og læknirinn gaf fyrirmæli um eða þér finnst þú ekki þurfa það lengur, skaltu tafarlaust hafa samband við lækninn.</w:t>
      </w:r>
    </w:p>
    <w:p w14:paraId="05B8C05C" w14:textId="77777777" w:rsidR="00D363A7" w:rsidRPr="006774D3" w:rsidRDefault="00D363A7" w:rsidP="00F77C66">
      <w:pPr>
        <w:ind w:right="-2"/>
        <w:rPr>
          <w:color w:val="000000"/>
          <w:sz w:val="22"/>
          <w:szCs w:val="22"/>
        </w:rPr>
      </w:pPr>
    </w:p>
    <w:p w14:paraId="05B8C05D" w14:textId="77777777" w:rsidR="00D363A7" w:rsidRPr="006774D3" w:rsidRDefault="00D363A7" w:rsidP="00F77C66">
      <w:pPr>
        <w:pStyle w:val="Heading1"/>
        <w:keepLines w:val="0"/>
        <w:spacing w:before="0"/>
        <w:ind w:left="0" w:firstLine="0"/>
        <w:rPr>
          <w:rFonts w:ascii="Times New Roman" w:hAnsi="Times New Roman"/>
          <w:color w:val="000000"/>
          <w:sz w:val="22"/>
          <w:szCs w:val="22"/>
          <w:lang w:val="is-IS"/>
        </w:rPr>
      </w:pPr>
      <w:r w:rsidRPr="006774D3">
        <w:rPr>
          <w:rFonts w:ascii="Times New Roman" w:hAnsi="Times New Roman"/>
          <w:color w:val="000000"/>
          <w:sz w:val="22"/>
          <w:szCs w:val="22"/>
          <w:lang w:val="is-IS"/>
        </w:rPr>
        <w:t>Hve mikið á að nota</w:t>
      </w:r>
      <w:r w:rsidR="00635B44" w:rsidRPr="006774D3">
        <w:rPr>
          <w:rFonts w:ascii="Times New Roman" w:hAnsi="Times New Roman"/>
          <w:color w:val="000000"/>
          <w:sz w:val="22"/>
          <w:szCs w:val="22"/>
          <w:lang w:val="is-IS"/>
        </w:rPr>
        <w:t xml:space="preserve"> af Glivec</w:t>
      </w:r>
    </w:p>
    <w:p w14:paraId="05B8C05E" w14:textId="77777777" w:rsidR="00D363A7" w:rsidRPr="006774D3" w:rsidRDefault="00D363A7" w:rsidP="00F77C66">
      <w:pPr>
        <w:keepNext/>
        <w:ind w:right="-2"/>
        <w:rPr>
          <w:color w:val="000000"/>
          <w:sz w:val="22"/>
          <w:szCs w:val="22"/>
        </w:rPr>
      </w:pPr>
    </w:p>
    <w:p w14:paraId="05B8C05F" w14:textId="77777777" w:rsidR="00D363A7" w:rsidRPr="006774D3" w:rsidRDefault="00D363A7" w:rsidP="00F77C66">
      <w:pPr>
        <w:keepNext/>
        <w:ind w:right="-2"/>
        <w:rPr>
          <w:b/>
          <w:color w:val="000000"/>
          <w:sz w:val="22"/>
          <w:szCs w:val="22"/>
        </w:rPr>
      </w:pPr>
      <w:r w:rsidRPr="006774D3">
        <w:rPr>
          <w:b/>
          <w:color w:val="000000"/>
          <w:sz w:val="22"/>
          <w:szCs w:val="22"/>
        </w:rPr>
        <w:t xml:space="preserve">Notkun </w:t>
      </w:r>
      <w:r w:rsidR="00635B44" w:rsidRPr="006774D3">
        <w:rPr>
          <w:b/>
          <w:color w:val="000000"/>
          <w:sz w:val="22"/>
          <w:szCs w:val="22"/>
        </w:rPr>
        <w:t xml:space="preserve">handa </w:t>
      </w:r>
      <w:r w:rsidRPr="006774D3">
        <w:rPr>
          <w:b/>
          <w:color w:val="000000"/>
          <w:sz w:val="22"/>
          <w:szCs w:val="22"/>
        </w:rPr>
        <w:t>fullorðnum</w:t>
      </w:r>
    </w:p>
    <w:p w14:paraId="05B8C060" w14:textId="77777777" w:rsidR="00D363A7" w:rsidRPr="006774D3" w:rsidRDefault="00D363A7" w:rsidP="00FA5D6F">
      <w:pPr>
        <w:ind w:right="-2"/>
        <w:rPr>
          <w:color w:val="000000"/>
          <w:sz w:val="22"/>
          <w:szCs w:val="22"/>
        </w:rPr>
      </w:pPr>
      <w:r w:rsidRPr="006774D3">
        <w:rPr>
          <w:color w:val="000000"/>
          <w:sz w:val="22"/>
          <w:szCs w:val="22"/>
        </w:rPr>
        <w:t>Læknirinn ákveður nákvæmlega hve mörg hylki af Glivec á að nota.</w:t>
      </w:r>
    </w:p>
    <w:p w14:paraId="05B8C061" w14:textId="77777777" w:rsidR="00D363A7" w:rsidRPr="006774D3" w:rsidRDefault="00D363A7" w:rsidP="00F77C66">
      <w:pPr>
        <w:ind w:right="-2"/>
        <w:rPr>
          <w:color w:val="000000"/>
          <w:sz w:val="22"/>
          <w:szCs w:val="22"/>
        </w:rPr>
      </w:pPr>
    </w:p>
    <w:p w14:paraId="05B8C062" w14:textId="77777777" w:rsidR="00D363A7" w:rsidRPr="006774D3" w:rsidRDefault="00D363A7" w:rsidP="00F77C66">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CML:</w:t>
      </w:r>
    </w:p>
    <w:p w14:paraId="05B8C063" w14:textId="77777777" w:rsidR="00D363A7" w:rsidRPr="006774D3" w:rsidRDefault="00D363A7" w:rsidP="00F77C66">
      <w:pPr>
        <w:keepNext/>
        <w:ind w:left="567"/>
        <w:rPr>
          <w:color w:val="000000"/>
          <w:sz w:val="22"/>
          <w:szCs w:val="22"/>
        </w:rPr>
      </w:pPr>
      <w:r w:rsidRPr="006774D3">
        <w:rPr>
          <w:color w:val="000000"/>
          <w:sz w:val="22"/>
          <w:szCs w:val="22"/>
        </w:rPr>
        <w:t>Venjulegur upphafsskammtur er annaðhvort 400 mg eða 600 mg, en það fer eftir ástandi þínu:</w:t>
      </w:r>
    </w:p>
    <w:p w14:paraId="05B8C064" w14:textId="77777777" w:rsidR="00D363A7" w:rsidRPr="006774D3" w:rsidRDefault="00D363A7" w:rsidP="00F77C66">
      <w:pPr>
        <w:keepNext/>
        <w:ind w:left="1134"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400 mg,</w:t>
      </w:r>
      <w:r w:rsidRPr="006774D3">
        <w:rPr>
          <w:color w:val="000000"/>
          <w:sz w:val="22"/>
          <w:szCs w:val="22"/>
        </w:rPr>
        <w:t xml:space="preserve"> en þá eru tekin 4 hylki </w:t>
      </w:r>
      <w:r w:rsidRPr="006774D3">
        <w:rPr>
          <w:b/>
          <w:color w:val="000000"/>
          <w:sz w:val="22"/>
          <w:szCs w:val="22"/>
        </w:rPr>
        <w:t xml:space="preserve">einu sinni </w:t>
      </w:r>
      <w:r w:rsidRPr="006774D3">
        <w:rPr>
          <w:color w:val="000000"/>
          <w:sz w:val="22"/>
          <w:szCs w:val="22"/>
        </w:rPr>
        <w:t>á sólarhring.</w:t>
      </w:r>
    </w:p>
    <w:p w14:paraId="05B8C065" w14:textId="77777777" w:rsidR="00D363A7" w:rsidRPr="006774D3" w:rsidRDefault="00D363A7" w:rsidP="00FA5D6F">
      <w:pPr>
        <w:ind w:left="1134"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600 mg,</w:t>
      </w:r>
      <w:r w:rsidRPr="006774D3">
        <w:rPr>
          <w:color w:val="000000"/>
          <w:sz w:val="22"/>
          <w:szCs w:val="22"/>
        </w:rPr>
        <w:t xml:space="preserve"> en þá eru tekin 6 hylki </w:t>
      </w:r>
      <w:r w:rsidRPr="006774D3">
        <w:rPr>
          <w:b/>
          <w:color w:val="000000"/>
          <w:sz w:val="22"/>
          <w:szCs w:val="22"/>
        </w:rPr>
        <w:t>einu sinni</w:t>
      </w:r>
      <w:r w:rsidRPr="006774D3">
        <w:rPr>
          <w:color w:val="000000"/>
          <w:sz w:val="22"/>
          <w:szCs w:val="22"/>
        </w:rPr>
        <w:t xml:space="preserve"> á sólarhring.</w:t>
      </w:r>
    </w:p>
    <w:p w14:paraId="05B8C066" w14:textId="77777777" w:rsidR="00D363A7" w:rsidRPr="006774D3" w:rsidRDefault="00D363A7" w:rsidP="00F77C66">
      <w:pPr>
        <w:ind w:right="-2"/>
        <w:rPr>
          <w:color w:val="000000"/>
          <w:sz w:val="22"/>
          <w:szCs w:val="22"/>
        </w:rPr>
      </w:pPr>
    </w:p>
    <w:p w14:paraId="05B8C067" w14:textId="77777777" w:rsidR="00D363A7" w:rsidRPr="006774D3" w:rsidRDefault="00D363A7" w:rsidP="00F77C66">
      <w:pPr>
        <w:ind w:left="567" w:right="-2" w:hanging="567"/>
        <w:rPr>
          <w:b/>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GIST:</w:t>
      </w:r>
    </w:p>
    <w:p w14:paraId="05B8C068" w14:textId="77777777" w:rsidR="00D363A7" w:rsidRPr="006774D3" w:rsidRDefault="00D363A7" w:rsidP="00F77C66">
      <w:pPr>
        <w:ind w:left="567" w:right="-2"/>
        <w:rPr>
          <w:color w:val="000000"/>
          <w:sz w:val="22"/>
          <w:szCs w:val="22"/>
        </w:rPr>
      </w:pPr>
      <w:r w:rsidRPr="006774D3">
        <w:rPr>
          <w:color w:val="000000"/>
          <w:sz w:val="22"/>
          <w:szCs w:val="22"/>
        </w:rPr>
        <w:t xml:space="preserve">Upphafsskammturinn er 400 mg, en þá eru tekin 4 hylki </w:t>
      </w:r>
      <w:r w:rsidRPr="006774D3">
        <w:rPr>
          <w:b/>
          <w:color w:val="000000"/>
          <w:sz w:val="22"/>
          <w:szCs w:val="22"/>
        </w:rPr>
        <w:t>einu sinni</w:t>
      </w:r>
      <w:r w:rsidRPr="006774D3">
        <w:rPr>
          <w:color w:val="000000"/>
          <w:sz w:val="22"/>
          <w:szCs w:val="22"/>
        </w:rPr>
        <w:t xml:space="preserve"> á sólarhring.</w:t>
      </w:r>
    </w:p>
    <w:p w14:paraId="05B8C069" w14:textId="77777777" w:rsidR="00D363A7" w:rsidRPr="006774D3" w:rsidRDefault="00D363A7" w:rsidP="00F77C66">
      <w:pPr>
        <w:ind w:right="-2"/>
        <w:rPr>
          <w:color w:val="000000"/>
          <w:sz w:val="22"/>
          <w:szCs w:val="22"/>
        </w:rPr>
      </w:pPr>
    </w:p>
    <w:p w14:paraId="05B8C06A" w14:textId="77777777" w:rsidR="00D363A7" w:rsidRPr="006774D3" w:rsidRDefault="00D363A7" w:rsidP="00F77C66">
      <w:pPr>
        <w:ind w:right="-2"/>
        <w:rPr>
          <w:color w:val="000000"/>
          <w:sz w:val="22"/>
          <w:szCs w:val="22"/>
        </w:rPr>
      </w:pPr>
      <w:r w:rsidRPr="006774D3">
        <w:rPr>
          <w:color w:val="000000"/>
          <w:sz w:val="22"/>
          <w:szCs w:val="22"/>
        </w:rPr>
        <w:t>Í samræmi við meðferðarsvörun er hugsanlegt að læknirinn ávísi stærri eða minni skammti við CML og GIST. Ef sólarhrings</w:t>
      </w:r>
      <w:r w:rsidRPr="006774D3">
        <w:rPr>
          <w:color w:val="000000"/>
          <w:sz w:val="22"/>
          <w:szCs w:val="22"/>
        </w:rPr>
        <w:softHyphen/>
        <w:t>skammturinn er 800 mg (8 hylki) skal taka 4 hylki að morgni og 4 hylki að kvöldi.</w:t>
      </w:r>
    </w:p>
    <w:p w14:paraId="05B8C06B" w14:textId="77777777" w:rsidR="00D363A7" w:rsidRPr="006774D3" w:rsidRDefault="00D363A7" w:rsidP="00F77C66">
      <w:pPr>
        <w:ind w:right="-2"/>
        <w:rPr>
          <w:color w:val="000000"/>
          <w:sz w:val="22"/>
          <w:szCs w:val="22"/>
        </w:rPr>
      </w:pPr>
    </w:p>
    <w:p w14:paraId="05B8C06C" w14:textId="77777777" w:rsidR="00D363A7" w:rsidRPr="006774D3" w:rsidRDefault="00D363A7" w:rsidP="00E22B2C">
      <w:pPr>
        <w:keepNext/>
        <w:ind w:left="567" w:hanging="567"/>
        <w:rPr>
          <w:color w:val="000000"/>
          <w:sz w:val="22"/>
          <w:szCs w:val="22"/>
        </w:rPr>
      </w:pPr>
      <w:r w:rsidRPr="006774D3">
        <w:rPr>
          <w:color w:val="000000"/>
          <w:sz w:val="22"/>
          <w:szCs w:val="22"/>
        </w:rPr>
        <w:lastRenderedPageBreak/>
        <w:t>-</w:t>
      </w:r>
      <w:r w:rsidRPr="006774D3">
        <w:rPr>
          <w:color w:val="000000"/>
          <w:sz w:val="22"/>
          <w:szCs w:val="22"/>
        </w:rPr>
        <w:tab/>
      </w:r>
      <w:r w:rsidRPr="006774D3">
        <w:rPr>
          <w:b/>
          <w:color w:val="000000"/>
          <w:sz w:val="22"/>
          <w:szCs w:val="22"/>
        </w:rPr>
        <w:t>Ef þú ert í meðferð við Ph</w:t>
      </w:r>
      <w:r w:rsidRPr="006774D3">
        <w:rPr>
          <w:b/>
          <w:color w:val="000000"/>
          <w:sz w:val="22"/>
          <w:szCs w:val="22"/>
        </w:rPr>
        <w:noBreakHyphen/>
        <w:t>jákvæðu ALL:</w:t>
      </w:r>
    </w:p>
    <w:p w14:paraId="05B8C06D" w14:textId="77777777" w:rsidR="00D363A7" w:rsidRPr="006774D3" w:rsidRDefault="00D363A7" w:rsidP="00F77C66">
      <w:pPr>
        <w:ind w:left="567" w:right="-2"/>
        <w:rPr>
          <w:color w:val="000000"/>
          <w:sz w:val="22"/>
          <w:szCs w:val="22"/>
        </w:rPr>
      </w:pPr>
      <w:r w:rsidRPr="006774D3">
        <w:rPr>
          <w:color w:val="000000"/>
          <w:sz w:val="22"/>
          <w:szCs w:val="22"/>
        </w:rPr>
        <w:t xml:space="preserve">Upphafsskammturinn er 600 mg, en þá eru tekin 6 hylki </w:t>
      </w:r>
      <w:r w:rsidRPr="006774D3">
        <w:rPr>
          <w:b/>
          <w:color w:val="000000"/>
          <w:sz w:val="22"/>
          <w:szCs w:val="22"/>
        </w:rPr>
        <w:t>einu sinni</w:t>
      </w:r>
      <w:r w:rsidRPr="006774D3">
        <w:rPr>
          <w:color w:val="000000"/>
          <w:sz w:val="22"/>
          <w:szCs w:val="22"/>
        </w:rPr>
        <w:t xml:space="preserve"> á sólarhring.</w:t>
      </w:r>
    </w:p>
    <w:p w14:paraId="05B8C06E" w14:textId="77777777" w:rsidR="00D363A7" w:rsidRPr="006774D3" w:rsidRDefault="00D363A7" w:rsidP="00F77C66">
      <w:pPr>
        <w:ind w:right="-2"/>
        <w:rPr>
          <w:color w:val="000000"/>
          <w:sz w:val="22"/>
          <w:szCs w:val="22"/>
        </w:rPr>
      </w:pPr>
    </w:p>
    <w:p w14:paraId="05B8C06F" w14:textId="77777777" w:rsidR="00D363A7" w:rsidRPr="006774D3" w:rsidRDefault="00D363A7" w:rsidP="00E22B2C">
      <w:pPr>
        <w:keepNext/>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MDS/MPD:</w:t>
      </w:r>
    </w:p>
    <w:p w14:paraId="05B8C070" w14:textId="77777777" w:rsidR="00D363A7" w:rsidRPr="006774D3" w:rsidRDefault="00D363A7" w:rsidP="00F77C66">
      <w:pPr>
        <w:ind w:left="567" w:right="-2"/>
        <w:rPr>
          <w:color w:val="000000"/>
          <w:sz w:val="22"/>
          <w:szCs w:val="22"/>
        </w:rPr>
      </w:pPr>
      <w:r w:rsidRPr="006774D3">
        <w:rPr>
          <w:color w:val="000000"/>
          <w:sz w:val="22"/>
          <w:szCs w:val="22"/>
        </w:rPr>
        <w:t xml:space="preserve">Upphafsskammturinn er 400 mg, en þá eru tekin 4 hylki </w:t>
      </w:r>
      <w:r w:rsidRPr="006774D3">
        <w:rPr>
          <w:b/>
          <w:color w:val="000000"/>
          <w:sz w:val="22"/>
          <w:szCs w:val="22"/>
        </w:rPr>
        <w:t>einu sinni</w:t>
      </w:r>
      <w:r w:rsidRPr="006774D3">
        <w:rPr>
          <w:color w:val="000000"/>
          <w:sz w:val="22"/>
          <w:szCs w:val="22"/>
        </w:rPr>
        <w:t xml:space="preserve"> á sólarhring.</w:t>
      </w:r>
    </w:p>
    <w:p w14:paraId="05B8C071" w14:textId="77777777" w:rsidR="00D363A7" w:rsidRPr="006774D3" w:rsidRDefault="00D363A7" w:rsidP="00F77C66">
      <w:pPr>
        <w:ind w:right="-2"/>
        <w:rPr>
          <w:color w:val="000000"/>
          <w:sz w:val="22"/>
          <w:szCs w:val="22"/>
        </w:rPr>
      </w:pPr>
    </w:p>
    <w:p w14:paraId="05B8C072" w14:textId="77777777" w:rsidR="00D363A7" w:rsidRPr="006774D3" w:rsidRDefault="00D363A7" w:rsidP="00E22B2C">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HES/CEL:</w:t>
      </w:r>
    </w:p>
    <w:p w14:paraId="05B8C073" w14:textId="77777777" w:rsidR="00D363A7" w:rsidRPr="006774D3" w:rsidRDefault="00D363A7" w:rsidP="00F77C66">
      <w:pPr>
        <w:ind w:left="567" w:right="-2"/>
        <w:rPr>
          <w:color w:val="000000"/>
          <w:sz w:val="22"/>
          <w:szCs w:val="22"/>
        </w:rPr>
      </w:pPr>
      <w:r w:rsidRPr="006774D3">
        <w:rPr>
          <w:color w:val="000000"/>
          <w:sz w:val="22"/>
          <w:szCs w:val="22"/>
        </w:rPr>
        <w:t xml:space="preserve">Upphafsskammturinn er 100 mg, en þá er tekið eitt hylki </w:t>
      </w:r>
      <w:r w:rsidRPr="006774D3">
        <w:rPr>
          <w:b/>
          <w:color w:val="000000"/>
          <w:sz w:val="22"/>
          <w:szCs w:val="22"/>
        </w:rPr>
        <w:t>einu sinni</w:t>
      </w:r>
      <w:r w:rsidRPr="006774D3">
        <w:rPr>
          <w:color w:val="000000"/>
          <w:sz w:val="22"/>
          <w:szCs w:val="22"/>
        </w:rPr>
        <w:t xml:space="preserve"> á sólarhring. Vera má að læknirinn auki skammtinn í 400 mg, en þá eru tekin 4 hylki </w:t>
      </w:r>
      <w:r w:rsidRPr="006774D3">
        <w:rPr>
          <w:b/>
          <w:color w:val="000000"/>
          <w:sz w:val="22"/>
          <w:szCs w:val="22"/>
        </w:rPr>
        <w:t>einu sinni</w:t>
      </w:r>
      <w:r w:rsidRPr="006774D3">
        <w:rPr>
          <w:color w:val="000000"/>
          <w:sz w:val="22"/>
          <w:szCs w:val="22"/>
        </w:rPr>
        <w:t xml:space="preserve"> á sólarhring, eftir því hver svörun við meðferðinni er.</w:t>
      </w:r>
    </w:p>
    <w:p w14:paraId="05B8C074" w14:textId="77777777" w:rsidR="00D363A7" w:rsidRPr="006774D3" w:rsidRDefault="00D363A7" w:rsidP="00F77C66">
      <w:pPr>
        <w:ind w:right="-2"/>
        <w:rPr>
          <w:color w:val="000000"/>
          <w:sz w:val="22"/>
          <w:szCs w:val="22"/>
        </w:rPr>
      </w:pPr>
    </w:p>
    <w:p w14:paraId="05B8C075" w14:textId="77777777" w:rsidR="00D363A7" w:rsidRPr="006774D3" w:rsidRDefault="00D363A7" w:rsidP="00E22B2C">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DFSP:</w:t>
      </w:r>
    </w:p>
    <w:p w14:paraId="05B8C076" w14:textId="77777777" w:rsidR="00D363A7" w:rsidRPr="006774D3" w:rsidRDefault="00D363A7" w:rsidP="00F77C66">
      <w:pPr>
        <w:ind w:left="567" w:right="-2"/>
        <w:rPr>
          <w:color w:val="000000"/>
          <w:sz w:val="22"/>
          <w:szCs w:val="22"/>
        </w:rPr>
      </w:pPr>
      <w:r w:rsidRPr="006774D3">
        <w:rPr>
          <w:color w:val="000000"/>
          <w:sz w:val="22"/>
          <w:szCs w:val="22"/>
        </w:rPr>
        <w:t>Skammturinn er 800 mg á sólarhring (8 hylki), en þá eru tekin 4 hylki að morgni og 4 hylki að kvöldi).</w:t>
      </w:r>
    </w:p>
    <w:p w14:paraId="05B8C077" w14:textId="77777777" w:rsidR="00D363A7" w:rsidRPr="006774D3" w:rsidRDefault="00D363A7" w:rsidP="00F77C66">
      <w:pPr>
        <w:ind w:right="-2"/>
        <w:rPr>
          <w:color w:val="000000"/>
          <w:sz w:val="22"/>
          <w:szCs w:val="22"/>
        </w:rPr>
      </w:pPr>
    </w:p>
    <w:p w14:paraId="05B8C078" w14:textId="77777777" w:rsidR="00D363A7" w:rsidRPr="006774D3" w:rsidRDefault="00D363A7" w:rsidP="00E22B2C">
      <w:pPr>
        <w:keepNext/>
        <w:rPr>
          <w:b/>
          <w:color w:val="000000"/>
          <w:sz w:val="22"/>
          <w:szCs w:val="22"/>
        </w:rPr>
      </w:pPr>
      <w:r w:rsidRPr="006774D3">
        <w:rPr>
          <w:b/>
          <w:color w:val="000000"/>
          <w:sz w:val="22"/>
          <w:szCs w:val="22"/>
        </w:rPr>
        <w:t xml:space="preserve">Notkun </w:t>
      </w:r>
      <w:r w:rsidR="00635B44" w:rsidRPr="006774D3">
        <w:rPr>
          <w:b/>
          <w:color w:val="000000"/>
          <w:sz w:val="22"/>
          <w:szCs w:val="22"/>
        </w:rPr>
        <w:t xml:space="preserve">handa </w:t>
      </w:r>
      <w:r w:rsidRPr="006774D3">
        <w:rPr>
          <w:b/>
          <w:color w:val="000000"/>
          <w:sz w:val="22"/>
          <w:szCs w:val="22"/>
        </w:rPr>
        <w:t>börnum</w:t>
      </w:r>
      <w:r w:rsidR="00635B44" w:rsidRPr="006774D3">
        <w:rPr>
          <w:b/>
          <w:color w:val="000000"/>
          <w:sz w:val="22"/>
          <w:szCs w:val="22"/>
        </w:rPr>
        <w:t xml:space="preserve"> og unglingum</w:t>
      </w:r>
    </w:p>
    <w:p w14:paraId="05B8C079" w14:textId="77777777" w:rsidR="00D363A7" w:rsidRPr="006774D3" w:rsidRDefault="00D363A7" w:rsidP="00F77C66">
      <w:pPr>
        <w:ind w:right="-2"/>
        <w:rPr>
          <w:color w:val="000000"/>
          <w:sz w:val="22"/>
          <w:szCs w:val="22"/>
        </w:rPr>
      </w:pPr>
      <w:r w:rsidRPr="006774D3">
        <w:rPr>
          <w:color w:val="000000"/>
          <w:sz w:val="22"/>
          <w:szCs w:val="22"/>
        </w:rPr>
        <w:t>Læknirinn ákveður hve mörg hylki af Glivec á að gefa barninu. Magn Glivec fer eftir ástandi barnsins, líkamsþyngd og hæð. Heildarskammtur á sólarhring handa börnum má ekki fara yfir 800 mg</w:t>
      </w:r>
      <w:r w:rsidR="00222F7E" w:rsidRPr="006774D3">
        <w:rPr>
          <w:color w:val="000000"/>
          <w:sz w:val="22"/>
          <w:szCs w:val="22"/>
        </w:rPr>
        <w:t xml:space="preserve"> við meðferð við CML og 600 mg við meðferð við Ph-jákvæðu ALL</w:t>
      </w:r>
      <w:r w:rsidRPr="006774D3">
        <w:rPr>
          <w:color w:val="000000"/>
          <w:sz w:val="22"/>
          <w:szCs w:val="22"/>
        </w:rPr>
        <w:t>. Meðferðina má annaðhvort gefa sem einn skammt einu sinni á sólarhring eða að skipta skammtinum í tvennt (helming skammtsins að morgni og hinn helming skammtsins að kvöldi).</w:t>
      </w:r>
    </w:p>
    <w:p w14:paraId="05B8C07A" w14:textId="77777777" w:rsidR="00D363A7" w:rsidRPr="006774D3" w:rsidRDefault="00D363A7" w:rsidP="00F77C66">
      <w:pPr>
        <w:ind w:right="-2"/>
        <w:rPr>
          <w:color w:val="000000"/>
          <w:sz w:val="22"/>
          <w:szCs w:val="22"/>
        </w:rPr>
      </w:pPr>
    </w:p>
    <w:p w14:paraId="05B8C07B" w14:textId="77777777" w:rsidR="00D363A7" w:rsidRPr="006774D3" w:rsidRDefault="00D363A7" w:rsidP="00F77C66">
      <w:pPr>
        <w:pStyle w:val="Heading1"/>
        <w:keepLines w:val="0"/>
        <w:spacing w:before="0"/>
        <w:ind w:left="0" w:firstLine="0"/>
        <w:rPr>
          <w:rFonts w:ascii="Times New Roman" w:hAnsi="Times New Roman"/>
          <w:color w:val="000000"/>
          <w:sz w:val="22"/>
          <w:szCs w:val="22"/>
          <w:lang w:val="is-IS"/>
        </w:rPr>
      </w:pPr>
      <w:r w:rsidRPr="006774D3">
        <w:rPr>
          <w:rFonts w:ascii="Times New Roman" w:hAnsi="Times New Roman"/>
          <w:color w:val="000000"/>
          <w:sz w:val="22"/>
          <w:szCs w:val="22"/>
          <w:lang w:val="is-IS"/>
        </w:rPr>
        <w:t>Hvenær og hvernig á að nota Glivec</w:t>
      </w:r>
    </w:p>
    <w:p w14:paraId="05B8C07C" w14:textId="77777777" w:rsidR="00D363A7" w:rsidRPr="006774D3" w:rsidRDefault="00D363A7" w:rsidP="00F77C66">
      <w:pPr>
        <w:pStyle w:val="BodyText"/>
        <w:keepNext/>
        <w:overflowPunct/>
        <w:autoSpaceDE/>
        <w:autoSpaceDN/>
        <w:adjustRightInd/>
        <w:ind w:left="567" w:hanging="567"/>
        <w:textAlignment w:val="auto"/>
        <w:rPr>
          <w:color w:val="000000"/>
          <w:szCs w:val="22"/>
        </w:rPr>
      </w:pPr>
      <w:r w:rsidRPr="006774D3">
        <w:rPr>
          <w:color w:val="000000"/>
          <w:szCs w:val="22"/>
        </w:rPr>
        <w:t>-</w:t>
      </w:r>
      <w:r w:rsidRPr="006774D3">
        <w:rPr>
          <w:color w:val="000000"/>
          <w:szCs w:val="22"/>
        </w:rPr>
        <w:tab/>
        <w:t>Taka á Glivec inn með mat.</w:t>
      </w:r>
      <w:r w:rsidRPr="006774D3">
        <w:rPr>
          <w:b w:val="0"/>
          <w:color w:val="000000"/>
          <w:szCs w:val="22"/>
        </w:rPr>
        <w:t xml:space="preserve"> Það hjálpar til við að vernda þig gegn magavandamálum þegar þú notar Glivec.</w:t>
      </w:r>
    </w:p>
    <w:p w14:paraId="05B8C07D" w14:textId="77777777" w:rsidR="00D363A7" w:rsidRPr="006774D3" w:rsidRDefault="00D363A7" w:rsidP="00F77C66">
      <w:pPr>
        <w:pStyle w:val="BodyText"/>
        <w:keepNext/>
        <w:overflowPunct/>
        <w:autoSpaceDE/>
        <w:autoSpaceDN/>
        <w:adjustRightInd/>
        <w:ind w:left="567" w:hanging="567"/>
        <w:textAlignment w:val="auto"/>
        <w:rPr>
          <w:b w:val="0"/>
          <w:bCs/>
          <w:color w:val="000000"/>
          <w:szCs w:val="22"/>
        </w:rPr>
      </w:pPr>
      <w:r w:rsidRPr="006774D3">
        <w:rPr>
          <w:color w:val="000000"/>
          <w:szCs w:val="22"/>
        </w:rPr>
        <w:t>-</w:t>
      </w:r>
      <w:r w:rsidRPr="006774D3">
        <w:rPr>
          <w:color w:val="000000"/>
          <w:szCs w:val="22"/>
        </w:rPr>
        <w:tab/>
        <w:t>Gleypið hylkin í heilu lagi með stóru glasi af vatni.</w:t>
      </w:r>
      <w:r w:rsidRPr="006774D3">
        <w:rPr>
          <w:b w:val="0"/>
          <w:bCs/>
          <w:color w:val="000000"/>
          <w:szCs w:val="22"/>
        </w:rPr>
        <w:t xml:space="preserve"> Hvorki má opna hylkin né brjóta þau nema ekki sé með góðu móti unnt að gleypa þau (t.d. þegar um börn er að ræða).</w:t>
      </w:r>
    </w:p>
    <w:p w14:paraId="05B8C07E" w14:textId="77777777" w:rsidR="00D363A7" w:rsidRPr="006774D3" w:rsidRDefault="00D363A7" w:rsidP="00F77C66">
      <w:pPr>
        <w:pStyle w:val="BodyText"/>
        <w:keepNext/>
        <w:overflowPunct/>
        <w:autoSpaceDE/>
        <w:autoSpaceDN/>
        <w:adjustRightInd/>
        <w:ind w:left="567" w:hanging="567"/>
        <w:textAlignment w:val="auto"/>
        <w:rPr>
          <w:b w:val="0"/>
          <w:color w:val="000000"/>
          <w:szCs w:val="22"/>
        </w:rPr>
      </w:pPr>
      <w:r w:rsidRPr="006774D3">
        <w:rPr>
          <w:color w:val="000000"/>
          <w:szCs w:val="22"/>
        </w:rPr>
        <w:t>-</w:t>
      </w:r>
      <w:r w:rsidRPr="006774D3">
        <w:rPr>
          <w:b w:val="0"/>
          <w:bCs/>
          <w:color w:val="000000"/>
          <w:szCs w:val="22"/>
        </w:rPr>
        <w:tab/>
        <w:t>Ef þú getur ekki gleypt hylkin, getur þú opnað þau og hellt duftinu út í glas</w:t>
      </w:r>
      <w:r w:rsidRPr="006774D3">
        <w:rPr>
          <w:b w:val="0"/>
          <w:color w:val="000000"/>
          <w:szCs w:val="22"/>
        </w:rPr>
        <w:t xml:space="preserve"> af venjulegu vatni eða glas af eplasafa.</w:t>
      </w:r>
    </w:p>
    <w:p w14:paraId="05B8C07F" w14:textId="77777777" w:rsidR="00D363A7" w:rsidRPr="006774D3" w:rsidRDefault="00D363A7" w:rsidP="00F77C66">
      <w:pPr>
        <w:pStyle w:val="BodyText"/>
        <w:keepNext/>
        <w:overflowPunct/>
        <w:autoSpaceDE/>
        <w:autoSpaceDN/>
        <w:adjustRightInd/>
        <w:ind w:left="567" w:hanging="567"/>
        <w:textAlignment w:val="auto"/>
        <w:rPr>
          <w:b w:val="0"/>
          <w:color w:val="000000"/>
          <w:szCs w:val="22"/>
        </w:rPr>
      </w:pPr>
      <w:r w:rsidRPr="006774D3">
        <w:rPr>
          <w:color w:val="000000"/>
          <w:szCs w:val="22"/>
        </w:rPr>
        <w:t>-</w:t>
      </w:r>
      <w:r w:rsidRPr="006774D3">
        <w:rPr>
          <w:b w:val="0"/>
          <w:color w:val="000000"/>
          <w:szCs w:val="22"/>
        </w:rPr>
        <w:tab/>
        <w:t>Þungaðar konur og konur sem geta orðið þungaðar eiga, þegar þær opna hylkin, að meðhöndla innihaldið af varúð til þess að forðast snertingu við húð og augu sem og innöndun. Hendur skal þvo strax og hylkin hafa verið opnuð.</w:t>
      </w:r>
    </w:p>
    <w:p w14:paraId="05B8C080" w14:textId="77777777" w:rsidR="00D363A7" w:rsidRPr="006774D3" w:rsidRDefault="00D363A7" w:rsidP="00F77C66">
      <w:pPr>
        <w:pStyle w:val="BodyText"/>
        <w:overflowPunct/>
        <w:autoSpaceDE/>
        <w:autoSpaceDN/>
        <w:adjustRightInd/>
        <w:textAlignment w:val="auto"/>
        <w:rPr>
          <w:b w:val="0"/>
          <w:color w:val="000000"/>
          <w:szCs w:val="22"/>
        </w:rPr>
      </w:pPr>
    </w:p>
    <w:p w14:paraId="05B8C081" w14:textId="77777777" w:rsidR="00D363A7" w:rsidRPr="006774D3" w:rsidRDefault="00D363A7" w:rsidP="00F77C66">
      <w:pPr>
        <w:pStyle w:val="Heading9"/>
        <w:ind w:right="0"/>
        <w:rPr>
          <w:color w:val="000000"/>
          <w:szCs w:val="22"/>
        </w:rPr>
      </w:pPr>
      <w:r w:rsidRPr="006774D3">
        <w:rPr>
          <w:color w:val="000000"/>
          <w:szCs w:val="22"/>
        </w:rPr>
        <w:t>Hve lengi á að nota Glivec</w:t>
      </w:r>
    </w:p>
    <w:p w14:paraId="05B8C082" w14:textId="77777777" w:rsidR="00D363A7" w:rsidRPr="006774D3" w:rsidRDefault="00D363A7" w:rsidP="00E22B2C">
      <w:pPr>
        <w:pStyle w:val="BodyText3"/>
        <w:ind w:right="0"/>
        <w:rPr>
          <w:color w:val="000000"/>
          <w:szCs w:val="22"/>
        </w:rPr>
      </w:pPr>
      <w:r w:rsidRPr="006774D3">
        <w:rPr>
          <w:color w:val="000000"/>
          <w:szCs w:val="22"/>
        </w:rPr>
        <w:t>Haltu áfram að nota Glivec á hverjum degi eins lengi og læknirinn segir til um.</w:t>
      </w:r>
    </w:p>
    <w:p w14:paraId="05B8C083" w14:textId="77777777" w:rsidR="00D363A7" w:rsidRPr="006774D3" w:rsidRDefault="00D363A7" w:rsidP="00F77C66">
      <w:pPr>
        <w:ind w:right="-2"/>
        <w:rPr>
          <w:color w:val="000000"/>
          <w:sz w:val="22"/>
          <w:szCs w:val="22"/>
        </w:rPr>
      </w:pPr>
    </w:p>
    <w:p w14:paraId="05B8C084" w14:textId="77777777" w:rsidR="00D363A7" w:rsidRPr="006774D3" w:rsidRDefault="00D363A7" w:rsidP="00F77C66">
      <w:pPr>
        <w:keepNext/>
        <w:ind w:right="-2"/>
        <w:outlineLvl w:val="0"/>
        <w:rPr>
          <w:color w:val="000000"/>
          <w:sz w:val="22"/>
          <w:szCs w:val="22"/>
        </w:rPr>
      </w:pPr>
      <w:r w:rsidRPr="006774D3">
        <w:rPr>
          <w:b/>
          <w:color w:val="000000"/>
          <w:sz w:val="22"/>
          <w:szCs w:val="22"/>
        </w:rPr>
        <w:t xml:space="preserve">Ef </w:t>
      </w:r>
      <w:r w:rsidR="00635B44" w:rsidRPr="006774D3">
        <w:rPr>
          <w:b/>
          <w:color w:val="000000"/>
          <w:sz w:val="22"/>
          <w:szCs w:val="22"/>
        </w:rPr>
        <w:t xml:space="preserve">tekinn er </w:t>
      </w:r>
      <w:r w:rsidRPr="006774D3">
        <w:rPr>
          <w:b/>
          <w:color w:val="000000"/>
          <w:sz w:val="22"/>
          <w:szCs w:val="22"/>
        </w:rPr>
        <w:t>stærri skammtur af Glivec en mælt er fyrir um</w:t>
      </w:r>
    </w:p>
    <w:p w14:paraId="05B8C085" w14:textId="77777777" w:rsidR="00D363A7" w:rsidRPr="006774D3" w:rsidRDefault="00D363A7" w:rsidP="00E22B2C">
      <w:pPr>
        <w:rPr>
          <w:color w:val="000000"/>
          <w:sz w:val="22"/>
          <w:szCs w:val="22"/>
        </w:rPr>
      </w:pPr>
      <w:r w:rsidRPr="006774D3">
        <w:rPr>
          <w:color w:val="000000"/>
          <w:sz w:val="22"/>
          <w:szCs w:val="22"/>
        </w:rPr>
        <w:t xml:space="preserve">Hafa skal </w:t>
      </w:r>
      <w:r w:rsidRPr="006774D3">
        <w:rPr>
          <w:b/>
          <w:color w:val="000000"/>
          <w:sz w:val="22"/>
          <w:szCs w:val="22"/>
        </w:rPr>
        <w:t>tafarlaust</w:t>
      </w:r>
      <w:r w:rsidRPr="006774D3">
        <w:rPr>
          <w:color w:val="000000"/>
          <w:sz w:val="22"/>
          <w:szCs w:val="22"/>
        </w:rPr>
        <w:t xml:space="preserve"> samband við lækninn ef óvart hafa verið tekin inn of mörg hylki. Verið getur að veita þurfi læknishjálp. Hafðu umbúðirnar utan af lyfinu með þér.</w:t>
      </w:r>
    </w:p>
    <w:p w14:paraId="05B8C086" w14:textId="77777777" w:rsidR="00D363A7" w:rsidRPr="006774D3" w:rsidRDefault="00D363A7" w:rsidP="00F77C66">
      <w:pPr>
        <w:ind w:right="-2"/>
        <w:rPr>
          <w:color w:val="000000"/>
          <w:sz w:val="22"/>
          <w:szCs w:val="22"/>
        </w:rPr>
      </w:pPr>
    </w:p>
    <w:p w14:paraId="05B8C087" w14:textId="77777777" w:rsidR="00D363A7" w:rsidRPr="006774D3" w:rsidRDefault="00D363A7" w:rsidP="00F77C66">
      <w:pPr>
        <w:keepNext/>
        <w:rPr>
          <w:color w:val="000000"/>
          <w:sz w:val="22"/>
          <w:szCs w:val="22"/>
        </w:rPr>
      </w:pPr>
      <w:r w:rsidRPr="006774D3">
        <w:rPr>
          <w:b/>
          <w:color w:val="000000"/>
          <w:sz w:val="22"/>
          <w:szCs w:val="22"/>
        </w:rPr>
        <w:t>Ef gleymist að taka Glivec</w:t>
      </w:r>
    </w:p>
    <w:p w14:paraId="05B8C088" w14:textId="77777777" w:rsidR="00D363A7" w:rsidRPr="006774D3" w:rsidRDefault="00D363A7" w:rsidP="00E22B2C">
      <w:pPr>
        <w:ind w:left="567" w:hanging="567"/>
        <w:rPr>
          <w:color w:val="000000"/>
          <w:sz w:val="22"/>
          <w:szCs w:val="22"/>
        </w:rPr>
      </w:pPr>
      <w:r w:rsidRPr="006774D3">
        <w:rPr>
          <w:color w:val="000000"/>
          <w:sz w:val="22"/>
          <w:szCs w:val="22"/>
        </w:rPr>
        <w:t>-</w:t>
      </w:r>
      <w:r w:rsidRPr="006774D3">
        <w:rPr>
          <w:color w:val="000000"/>
          <w:sz w:val="22"/>
          <w:szCs w:val="22"/>
        </w:rPr>
        <w:tab/>
        <w:t>Ef þú gleymir einum skammti skaltu taka hann um leið og þú manst eftir því. Ef hinsvegar er næstum kominn tími á næsta skammt, skaltu sleppa skammtinum sem gleymdist.</w:t>
      </w:r>
    </w:p>
    <w:p w14:paraId="05B8C089" w14:textId="77777777" w:rsidR="00D363A7" w:rsidRPr="006774D3" w:rsidRDefault="00D363A7" w:rsidP="00E22B2C">
      <w:pPr>
        <w:ind w:left="567" w:hanging="567"/>
        <w:rPr>
          <w:color w:val="000000"/>
          <w:sz w:val="22"/>
          <w:szCs w:val="22"/>
        </w:rPr>
      </w:pPr>
      <w:r w:rsidRPr="006774D3">
        <w:rPr>
          <w:color w:val="000000"/>
          <w:sz w:val="22"/>
          <w:szCs w:val="22"/>
        </w:rPr>
        <w:t>-</w:t>
      </w:r>
      <w:r w:rsidRPr="006774D3">
        <w:rPr>
          <w:color w:val="000000"/>
          <w:sz w:val="22"/>
          <w:szCs w:val="22"/>
        </w:rPr>
        <w:tab/>
        <w:t>Haltu síðan áfram að nota lyfið eins og venjulega.</w:t>
      </w:r>
    </w:p>
    <w:p w14:paraId="05B8C08A" w14:textId="77777777" w:rsidR="00D363A7" w:rsidRPr="006774D3" w:rsidRDefault="00D363A7" w:rsidP="00E22B2C">
      <w:pPr>
        <w:ind w:left="567" w:hanging="567"/>
        <w:rPr>
          <w:color w:val="000000"/>
          <w:sz w:val="22"/>
          <w:szCs w:val="22"/>
        </w:rPr>
      </w:pPr>
      <w:r w:rsidRPr="006774D3">
        <w:rPr>
          <w:color w:val="000000"/>
          <w:sz w:val="22"/>
          <w:szCs w:val="22"/>
        </w:rPr>
        <w:t>-</w:t>
      </w:r>
      <w:r w:rsidRPr="006774D3">
        <w:rPr>
          <w:color w:val="000000"/>
          <w:sz w:val="22"/>
          <w:szCs w:val="22"/>
        </w:rPr>
        <w:tab/>
        <w:t>Ekki á að tvöfalda skammt til að bæta upp skammt sem gleymst hefur að taka.</w:t>
      </w:r>
    </w:p>
    <w:p w14:paraId="05B8C08B" w14:textId="77777777" w:rsidR="00D363A7" w:rsidRPr="006774D3" w:rsidRDefault="00D363A7" w:rsidP="00F77C66">
      <w:pPr>
        <w:ind w:right="-2"/>
        <w:rPr>
          <w:color w:val="000000"/>
          <w:sz w:val="22"/>
          <w:szCs w:val="22"/>
        </w:rPr>
      </w:pPr>
    </w:p>
    <w:p w14:paraId="05B8C08C" w14:textId="77777777" w:rsidR="00D363A7" w:rsidRPr="006774D3" w:rsidRDefault="00D363A7" w:rsidP="00F77C66">
      <w:pPr>
        <w:numPr>
          <w:ilvl w:val="12"/>
          <w:numId w:val="0"/>
        </w:numPr>
        <w:ind w:right="-29"/>
        <w:rPr>
          <w:color w:val="000000"/>
          <w:sz w:val="22"/>
          <w:szCs w:val="22"/>
        </w:rPr>
      </w:pPr>
      <w:r w:rsidRPr="006774D3">
        <w:rPr>
          <w:color w:val="000000"/>
          <w:sz w:val="22"/>
          <w:szCs w:val="22"/>
        </w:rPr>
        <w:t>Leitið til læknisins</w:t>
      </w:r>
      <w:r w:rsidR="00635B44" w:rsidRPr="006774D3">
        <w:rPr>
          <w:color w:val="000000"/>
          <w:sz w:val="22"/>
          <w:szCs w:val="22"/>
        </w:rPr>
        <w:t>,</w:t>
      </w:r>
      <w:r w:rsidRPr="006774D3">
        <w:rPr>
          <w:color w:val="000000"/>
          <w:sz w:val="22"/>
          <w:szCs w:val="22"/>
        </w:rPr>
        <w:t xml:space="preserve"> lyfjafræðings </w:t>
      </w:r>
      <w:r w:rsidR="00635B44" w:rsidRPr="006774D3">
        <w:rPr>
          <w:color w:val="000000"/>
          <w:sz w:val="22"/>
          <w:szCs w:val="22"/>
        </w:rPr>
        <w:t xml:space="preserve">eða hjúkrunarfræðingsins </w:t>
      </w:r>
      <w:r w:rsidRPr="006774D3">
        <w:rPr>
          <w:color w:val="000000"/>
          <w:sz w:val="22"/>
          <w:szCs w:val="22"/>
        </w:rPr>
        <w:t>ef þörf er á frekari upplýsingum um notkun lyfsins.</w:t>
      </w:r>
    </w:p>
    <w:p w14:paraId="05B8C08D" w14:textId="77777777" w:rsidR="00D363A7" w:rsidRPr="006774D3" w:rsidRDefault="00D363A7" w:rsidP="00F77C66">
      <w:pPr>
        <w:ind w:right="-2"/>
        <w:rPr>
          <w:color w:val="000000"/>
          <w:sz w:val="22"/>
          <w:szCs w:val="22"/>
        </w:rPr>
      </w:pPr>
    </w:p>
    <w:p w14:paraId="05B8C08E" w14:textId="77777777" w:rsidR="00D363A7" w:rsidRPr="006774D3" w:rsidRDefault="00D363A7" w:rsidP="00F77C66">
      <w:pPr>
        <w:ind w:right="-2"/>
        <w:rPr>
          <w:color w:val="000000"/>
          <w:sz w:val="22"/>
          <w:szCs w:val="22"/>
        </w:rPr>
      </w:pPr>
    </w:p>
    <w:p w14:paraId="05B8C08F" w14:textId="77777777" w:rsidR="007B5D76" w:rsidRPr="006774D3" w:rsidRDefault="007B5D76" w:rsidP="00F77C66">
      <w:pPr>
        <w:keepNext/>
        <w:ind w:right="-2"/>
        <w:rPr>
          <w:color w:val="000000"/>
          <w:sz w:val="22"/>
          <w:szCs w:val="22"/>
        </w:rPr>
      </w:pPr>
      <w:r w:rsidRPr="006774D3">
        <w:rPr>
          <w:b/>
          <w:color w:val="000000"/>
          <w:sz w:val="22"/>
          <w:szCs w:val="22"/>
        </w:rPr>
        <w:t>4.</w:t>
      </w:r>
      <w:r w:rsidRPr="006774D3">
        <w:rPr>
          <w:b/>
          <w:color w:val="000000"/>
          <w:sz w:val="22"/>
          <w:szCs w:val="22"/>
        </w:rPr>
        <w:tab/>
        <w:t>Hugsanlegar aukaverkanir</w:t>
      </w:r>
    </w:p>
    <w:p w14:paraId="05B8C090" w14:textId="77777777" w:rsidR="007B5D76" w:rsidRPr="006774D3" w:rsidRDefault="007B5D76" w:rsidP="00F77C66">
      <w:pPr>
        <w:keepNext/>
        <w:ind w:right="-29"/>
        <w:rPr>
          <w:color w:val="000000"/>
          <w:sz w:val="22"/>
          <w:szCs w:val="22"/>
        </w:rPr>
      </w:pPr>
    </w:p>
    <w:p w14:paraId="05B8C091" w14:textId="77777777" w:rsidR="007B5D76" w:rsidRPr="006774D3" w:rsidRDefault="007B5D76" w:rsidP="00F77C66">
      <w:pPr>
        <w:keepNext/>
        <w:ind w:right="-29"/>
        <w:rPr>
          <w:color w:val="000000"/>
          <w:sz w:val="22"/>
          <w:szCs w:val="22"/>
        </w:rPr>
      </w:pPr>
      <w:r w:rsidRPr="006774D3">
        <w:rPr>
          <w:color w:val="000000"/>
          <w:sz w:val="22"/>
          <w:szCs w:val="22"/>
        </w:rPr>
        <w:t>Eins og við á um öll lyf getur þetta lyf valdið aukaverkunum en það gerist þó ekki hjá öllum. Þær eru yfirleitt vægar eða í meðallagi miklar.</w:t>
      </w:r>
    </w:p>
    <w:p w14:paraId="05B8C092" w14:textId="77777777" w:rsidR="007B5D76" w:rsidRPr="006774D3" w:rsidRDefault="007B5D76" w:rsidP="00F77C66">
      <w:pPr>
        <w:rPr>
          <w:color w:val="000000"/>
          <w:sz w:val="22"/>
          <w:szCs w:val="22"/>
        </w:rPr>
      </w:pPr>
    </w:p>
    <w:p w14:paraId="05B8C093" w14:textId="77777777" w:rsidR="007B5D76" w:rsidRPr="006774D3" w:rsidRDefault="007B5D76" w:rsidP="00E22B2C">
      <w:pPr>
        <w:keepNext/>
        <w:ind w:right="-29"/>
        <w:rPr>
          <w:b/>
          <w:color w:val="000000"/>
          <w:sz w:val="22"/>
          <w:szCs w:val="22"/>
        </w:rPr>
      </w:pPr>
      <w:r w:rsidRPr="006774D3">
        <w:rPr>
          <w:b/>
          <w:color w:val="000000"/>
          <w:sz w:val="22"/>
          <w:szCs w:val="22"/>
        </w:rPr>
        <w:lastRenderedPageBreak/>
        <w:t>Sumar aukaverkanir geta verið alvarlegar. Hafðu tafarlaust samband við lækninn ef þú finnur fyrir einhverju af eftirtöldu:</w:t>
      </w:r>
    </w:p>
    <w:p w14:paraId="05B8C094" w14:textId="77777777" w:rsidR="007B5D76" w:rsidRPr="006774D3" w:rsidRDefault="007B5D76" w:rsidP="00E22B2C">
      <w:pPr>
        <w:keepNext/>
        <w:ind w:left="567" w:hanging="567"/>
        <w:rPr>
          <w:bCs/>
          <w:color w:val="000000"/>
          <w:sz w:val="22"/>
          <w:szCs w:val="22"/>
        </w:rPr>
      </w:pPr>
    </w:p>
    <w:p w14:paraId="05B8C095" w14:textId="77777777" w:rsidR="007B5D76" w:rsidRPr="006774D3" w:rsidRDefault="007B5D76" w:rsidP="00F77C66">
      <w:pPr>
        <w:keepNext/>
        <w:rPr>
          <w:bCs/>
          <w:color w:val="000000"/>
          <w:sz w:val="22"/>
          <w:szCs w:val="22"/>
        </w:rPr>
      </w:pPr>
      <w:r w:rsidRPr="006774D3">
        <w:rPr>
          <w:b/>
          <w:bCs/>
          <w:color w:val="000000"/>
          <w:sz w:val="22"/>
          <w:szCs w:val="22"/>
        </w:rPr>
        <w:t>Mjög algengar</w:t>
      </w:r>
      <w:r w:rsidRPr="006774D3">
        <w:rPr>
          <w:bCs/>
          <w:color w:val="000000"/>
          <w:sz w:val="22"/>
          <w:szCs w:val="22"/>
        </w:rPr>
        <w:t xml:space="preserve"> (geta komið fyrir hjá fleiri en 1 af hverjum 10 einstaklingum)</w:t>
      </w:r>
      <w:r w:rsidRPr="006774D3">
        <w:rPr>
          <w:b/>
          <w:bCs/>
          <w:color w:val="000000"/>
          <w:sz w:val="22"/>
          <w:szCs w:val="22"/>
        </w:rPr>
        <w:t xml:space="preserve"> eða algengar </w:t>
      </w:r>
      <w:r w:rsidRPr="006774D3">
        <w:rPr>
          <w:bCs/>
          <w:color w:val="000000"/>
          <w:sz w:val="22"/>
          <w:szCs w:val="22"/>
        </w:rPr>
        <w:t>(geta komið fyrir hjá allt að 1 af hverjum 10 einstaklingum):</w:t>
      </w:r>
    </w:p>
    <w:p w14:paraId="05B8C096"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bCs/>
          <w:color w:val="000000"/>
          <w:sz w:val="22"/>
          <w:szCs w:val="22"/>
        </w:rPr>
        <w:tab/>
      </w:r>
      <w:r w:rsidRPr="006774D3">
        <w:rPr>
          <w:color w:val="000000"/>
          <w:sz w:val="22"/>
          <w:szCs w:val="22"/>
        </w:rPr>
        <w:t>Hröð þyngdaraukning. Glivec getur valdið því að vatn safnist fyrir í líkamanum (alvarleg vökvasöfnun).</w:t>
      </w:r>
    </w:p>
    <w:p w14:paraId="05B8C097"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Einkenni um sýkingu, til dæmis hiti, mikill kuldahrollur, særindi í hálsi eða sár í munni. Glivec getur fækkað hvítum blóðkornum svo þú verður útsettari fyrir sýkingum.</w:t>
      </w:r>
    </w:p>
    <w:p w14:paraId="05B8C098"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Óvæntar blæðingar eða marblettir (án þess að þú hafir meitt þig).</w:t>
      </w:r>
    </w:p>
    <w:p w14:paraId="05B8C099" w14:textId="77777777" w:rsidR="007B5D76" w:rsidRPr="006774D3" w:rsidRDefault="007B5D76" w:rsidP="00F77C66">
      <w:pPr>
        <w:ind w:left="567" w:hanging="567"/>
        <w:rPr>
          <w:color w:val="000000"/>
          <w:sz w:val="22"/>
          <w:szCs w:val="22"/>
        </w:rPr>
      </w:pPr>
    </w:p>
    <w:p w14:paraId="05B8C09A" w14:textId="77777777" w:rsidR="007B5D76" w:rsidRPr="006774D3" w:rsidRDefault="007B5D76" w:rsidP="00F77C66">
      <w:pPr>
        <w:keepNext/>
        <w:rPr>
          <w:bCs/>
          <w:color w:val="000000"/>
          <w:sz w:val="22"/>
          <w:szCs w:val="22"/>
        </w:rPr>
      </w:pPr>
      <w:r w:rsidRPr="006774D3">
        <w:rPr>
          <w:b/>
          <w:color w:val="000000"/>
          <w:sz w:val="22"/>
          <w:szCs w:val="22"/>
        </w:rPr>
        <w:t>Sjaldgæfar</w:t>
      </w:r>
      <w:r w:rsidRPr="006774D3">
        <w:rPr>
          <w:color w:val="000000"/>
          <w:sz w:val="22"/>
          <w:szCs w:val="22"/>
        </w:rPr>
        <w:t xml:space="preserve"> (geta komið fyrir hjá allt að 1 af hverjum 100 einstaklingum)</w:t>
      </w:r>
      <w:r w:rsidRPr="006774D3">
        <w:rPr>
          <w:b/>
          <w:color w:val="000000"/>
          <w:sz w:val="22"/>
          <w:szCs w:val="22"/>
        </w:rPr>
        <w:t xml:space="preserve"> eða mjög sjaldgæfar</w:t>
      </w:r>
      <w:r w:rsidRPr="006774D3">
        <w:rPr>
          <w:color w:val="000000"/>
          <w:sz w:val="22"/>
          <w:szCs w:val="22"/>
        </w:rPr>
        <w:t xml:space="preserve"> (geta komið fyrir hjá allt að 1 af hverjum 1.000 einstaklingum)</w:t>
      </w:r>
      <w:r w:rsidRPr="006774D3">
        <w:rPr>
          <w:bCs/>
          <w:color w:val="000000"/>
          <w:sz w:val="22"/>
          <w:szCs w:val="22"/>
        </w:rPr>
        <w:t>:</w:t>
      </w:r>
    </w:p>
    <w:p w14:paraId="05B8C09B"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color w:val="000000"/>
          <w:sz w:val="22"/>
          <w:szCs w:val="22"/>
        </w:rPr>
        <w:tab/>
        <w:t>Brjóstverkur, óreglulegur hjartsláttur (einkenni hjartasjúkdóms).</w:t>
      </w:r>
    </w:p>
    <w:p w14:paraId="05B8C09C"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color w:val="000000"/>
          <w:sz w:val="22"/>
          <w:szCs w:val="22"/>
        </w:rPr>
        <w:tab/>
        <w:t>Hósti, öndunarerfiðleikar eða sársaukafull öndun (einkenni lungnasjúkdóms).</w:t>
      </w:r>
    </w:p>
    <w:p w14:paraId="05B8C09D"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Svimi, sundl eða yfirlið (einkenni lágs blóðþrýstings).</w:t>
      </w:r>
    </w:p>
    <w:p w14:paraId="05B8C09E"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Ógleði ásamt lystarleysi, dökkleitt þvag, gul húð eða augu (einkenni lifrarsjúkdóms).</w:t>
      </w:r>
    </w:p>
    <w:p w14:paraId="05B8C09F"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Útbrot, húðroði ásamt blöðrum á vörum, augum, húð eða í munni, húðflögnun, hiti, rauður eða fjólublár blettahúðþroti, kláði, sviði, útbrot með graftrarbólum (einkenni húðkvilla).</w:t>
      </w:r>
    </w:p>
    <w:p w14:paraId="05B8C0A0"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Miklir kviðverkir, blóðug uppköst, blóðugar hægðir eða blóð í þvagi, svartar hægðir (einkenni meltingarfærasjúkdóms).</w:t>
      </w:r>
    </w:p>
    <w:p w14:paraId="05B8C0A1"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Mikil minnkun þvagmyndunar, þorsti (einkenni nýrnasjúkdóms).</w:t>
      </w:r>
    </w:p>
    <w:p w14:paraId="05B8C0A2"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Ógleði ásamt niðurgangi og uppköstum, kviðverkir eða hiti (einkenni garnasjúkdóms).</w:t>
      </w:r>
    </w:p>
    <w:p w14:paraId="05B8C0A3"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Mikill höfuðverkur, máttleysi eða lömun í útlimum eða andliti, talerfiðleikar, skyndilegt meðvitundar</w:t>
      </w:r>
      <w:r w:rsidRPr="006774D3">
        <w:rPr>
          <w:color w:val="000000"/>
          <w:sz w:val="22"/>
          <w:szCs w:val="22"/>
        </w:rPr>
        <w:softHyphen/>
        <w:t>leysi (einkenni um sjúkdóm í taugakerfinu svo sem blæðingar eða þroti innan höfuðkúpu/heila).</w:t>
      </w:r>
    </w:p>
    <w:p w14:paraId="05B8C0A4"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Húðfölvi, þreyta og mæði ásamt dökkleitu þvagi (einkenni of fárra rauðra blóðkorna).</w:t>
      </w:r>
    </w:p>
    <w:p w14:paraId="05B8C0A5"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Verkur í augum eða versnun sjónar, blæðing í augum.</w:t>
      </w:r>
    </w:p>
    <w:p w14:paraId="05B8C0A6"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Verkir í mjöðm eða erfiðleikar við gang.</w:t>
      </w:r>
    </w:p>
    <w:p w14:paraId="05B8C0A7"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Dofi eða kuldi í tám og fingrum (einkenni æðakrampaheilkennis).</w:t>
      </w:r>
    </w:p>
    <w:p w14:paraId="05B8C0A8"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Skyndileg bólga og roði í húð (einkenni húðsýkingar sem kallast húðbeðsbólga).</w:t>
      </w:r>
    </w:p>
    <w:p w14:paraId="05B8C0A9"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Heyrnarskerðing.</w:t>
      </w:r>
    </w:p>
    <w:p w14:paraId="05B8C0AA" w14:textId="77777777" w:rsidR="007B5D76" w:rsidRPr="006774D3" w:rsidRDefault="007B5D76" w:rsidP="00F77C66">
      <w:pPr>
        <w:ind w:left="567" w:hanging="567"/>
        <w:rPr>
          <w:color w:val="000000"/>
          <w:sz w:val="22"/>
          <w:szCs w:val="22"/>
        </w:rPr>
      </w:pPr>
      <w:r w:rsidRPr="006774D3">
        <w:rPr>
          <w:color w:val="000000"/>
          <w:sz w:val="22"/>
          <w:szCs w:val="22"/>
        </w:rPr>
        <w:t>•</w:t>
      </w:r>
      <w:r w:rsidRPr="006774D3">
        <w:rPr>
          <w:color w:val="000000"/>
          <w:sz w:val="22"/>
          <w:szCs w:val="22"/>
        </w:rPr>
        <w:tab/>
        <w:t>Vöðvamáttleysi og vöðvakrampar ásamt óeðlilegum hjartslætti (merki um breytingar á kalíummagni í blóði).</w:t>
      </w:r>
    </w:p>
    <w:p w14:paraId="05B8C0AB" w14:textId="77777777" w:rsidR="007B5D76" w:rsidRPr="006774D3" w:rsidRDefault="007B5D76" w:rsidP="00F77C66">
      <w:pPr>
        <w:ind w:right="-29"/>
        <w:rPr>
          <w:color w:val="000000"/>
          <w:sz w:val="22"/>
          <w:szCs w:val="22"/>
        </w:rPr>
      </w:pPr>
      <w:r w:rsidRPr="006774D3">
        <w:rPr>
          <w:color w:val="000000"/>
          <w:sz w:val="22"/>
          <w:szCs w:val="22"/>
        </w:rPr>
        <w:t>•</w:t>
      </w:r>
      <w:r w:rsidRPr="006774D3">
        <w:rPr>
          <w:color w:val="000000"/>
          <w:sz w:val="22"/>
          <w:szCs w:val="22"/>
        </w:rPr>
        <w:tab/>
        <w:t>Mar.</w:t>
      </w:r>
    </w:p>
    <w:p w14:paraId="05B8C0AC" w14:textId="77777777" w:rsidR="007B5D76" w:rsidRPr="006774D3" w:rsidRDefault="007B5D76" w:rsidP="00F77C66">
      <w:pPr>
        <w:ind w:right="-29"/>
        <w:rPr>
          <w:color w:val="000000"/>
          <w:sz w:val="22"/>
          <w:szCs w:val="22"/>
        </w:rPr>
      </w:pPr>
      <w:r w:rsidRPr="006774D3">
        <w:rPr>
          <w:color w:val="000000"/>
          <w:sz w:val="22"/>
          <w:szCs w:val="22"/>
        </w:rPr>
        <w:t>•</w:t>
      </w:r>
      <w:r w:rsidRPr="006774D3">
        <w:rPr>
          <w:color w:val="000000"/>
          <w:sz w:val="22"/>
          <w:szCs w:val="22"/>
        </w:rPr>
        <w:tab/>
        <w:t>Kviðverkir ásamt ógleði.</w:t>
      </w:r>
    </w:p>
    <w:p w14:paraId="05B8C0AD" w14:textId="77777777" w:rsidR="007B5D76" w:rsidRPr="006774D3" w:rsidRDefault="007B5D76" w:rsidP="00F77C66">
      <w:pPr>
        <w:ind w:left="567" w:right="-29" w:hanging="567"/>
        <w:rPr>
          <w:color w:val="000000"/>
          <w:sz w:val="22"/>
          <w:szCs w:val="22"/>
        </w:rPr>
      </w:pPr>
      <w:r w:rsidRPr="006774D3">
        <w:rPr>
          <w:color w:val="000000"/>
          <w:sz w:val="22"/>
          <w:szCs w:val="22"/>
        </w:rPr>
        <w:t>•</w:t>
      </w:r>
      <w:r w:rsidRPr="006774D3">
        <w:rPr>
          <w:color w:val="000000"/>
          <w:sz w:val="22"/>
          <w:szCs w:val="22"/>
        </w:rPr>
        <w:tab/>
        <w:t>Vöðvakrampar ásamt hita, rauðbrúnt þvag, verkur eða máttleysi í vöðvum (einkenni vöðvakvilla).</w:t>
      </w:r>
    </w:p>
    <w:p w14:paraId="05B8C0AE" w14:textId="77777777" w:rsidR="007B5D76" w:rsidRPr="006774D3" w:rsidRDefault="007B5D76" w:rsidP="00F77C66">
      <w:pPr>
        <w:ind w:left="567" w:right="-28" w:hanging="567"/>
        <w:rPr>
          <w:color w:val="000000"/>
          <w:sz w:val="22"/>
          <w:szCs w:val="22"/>
        </w:rPr>
      </w:pPr>
      <w:r w:rsidRPr="006774D3">
        <w:rPr>
          <w:color w:val="000000"/>
          <w:sz w:val="22"/>
          <w:szCs w:val="22"/>
        </w:rPr>
        <w:t>•</w:t>
      </w:r>
      <w:r w:rsidRPr="006774D3">
        <w:rPr>
          <w:color w:val="000000"/>
          <w:sz w:val="22"/>
          <w:szCs w:val="22"/>
        </w:rPr>
        <w:tab/>
        <w:t>Grindarholsverkir stundum ásamt ógleði og uppköstum, ásamt óvæntum blæðingum frá leggöngum, sundl eða yfirlið vegna lækkaðs blóðþrýstings (einkenni sjúkdóms í eggjastokkum eða legi).</w:t>
      </w:r>
    </w:p>
    <w:p w14:paraId="05B8C0AF" w14:textId="77777777" w:rsidR="00965D3C" w:rsidRPr="006774D3" w:rsidRDefault="007B5D76" w:rsidP="00F77C66">
      <w:pPr>
        <w:ind w:left="567" w:right="-28" w:hanging="567"/>
        <w:rPr>
          <w:color w:val="000000"/>
          <w:sz w:val="22"/>
          <w:szCs w:val="22"/>
        </w:rPr>
      </w:pPr>
      <w:r w:rsidRPr="006774D3">
        <w:rPr>
          <w:color w:val="000000"/>
          <w:sz w:val="22"/>
          <w:szCs w:val="22"/>
        </w:rPr>
        <w:t>•</w:t>
      </w:r>
      <w:r w:rsidRPr="006774D3">
        <w:rPr>
          <w:color w:val="000000"/>
          <w:sz w:val="22"/>
          <w:szCs w:val="22"/>
        </w:rPr>
        <w:tab/>
        <w:t xml:space="preserve">Ógleði, mæði, óreglulegur hjartsláttur, skýjað þvag, þreyta og/eða óþægindi í liðum í tengslum við óeðlilegar niðurstöður úr rannsóknum (t.d. mikið magn kalíums, þvagsýru og </w:t>
      </w:r>
      <w:r w:rsidR="005706EE" w:rsidRPr="006774D3">
        <w:rPr>
          <w:color w:val="000000"/>
          <w:sz w:val="22"/>
          <w:szCs w:val="22"/>
        </w:rPr>
        <w:t xml:space="preserve">kalsíums </w:t>
      </w:r>
      <w:r w:rsidRPr="006774D3">
        <w:rPr>
          <w:color w:val="000000"/>
          <w:sz w:val="22"/>
          <w:szCs w:val="22"/>
        </w:rPr>
        <w:t xml:space="preserve">og lítið magn </w:t>
      </w:r>
      <w:r w:rsidR="005706EE" w:rsidRPr="006774D3">
        <w:rPr>
          <w:color w:val="000000"/>
          <w:sz w:val="22"/>
          <w:szCs w:val="22"/>
        </w:rPr>
        <w:t>fosfórs</w:t>
      </w:r>
      <w:r w:rsidR="005706EE" w:rsidRPr="006774D3" w:rsidDel="005706EE">
        <w:rPr>
          <w:color w:val="000000"/>
          <w:sz w:val="22"/>
          <w:szCs w:val="22"/>
        </w:rPr>
        <w:t xml:space="preserve"> </w:t>
      </w:r>
      <w:r w:rsidRPr="006774D3">
        <w:rPr>
          <w:color w:val="000000"/>
          <w:sz w:val="22"/>
          <w:szCs w:val="22"/>
        </w:rPr>
        <w:t>í blóði).</w:t>
      </w:r>
    </w:p>
    <w:p w14:paraId="05B8C0B0" w14:textId="77777777" w:rsidR="007B5D76" w:rsidRPr="006774D3" w:rsidRDefault="00965D3C" w:rsidP="00F77C66">
      <w:pPr>
        <w:ind w:left="567" w:right="-28" w:hanging="567"/>
        <w:rPr>
          <w:color w:val="000000"/>
          <w:sz w:val="22"/>
          <w:szCs w:val="22"/>
        </w:rPr>
      </w:pPr>
      <w:r w:rsidRPr="006774D3">
        <w:rPr>
          <w:color w:val="000000"/>
          <w:sz w:val="22"/>
          <w:szCs w:val="22"/>
        </w:rPr>
        <w:t>•</w:t>
      </w:r>
      <w:r w:rsidRPr="006774D3">
        <w:rPr>
          <w:color w:val="000000"/>
          <w:sz w:val="22"/>
          <w:szCs w:val="22"/>
        </w:rPr>
        <w:tab/>
        <w:t>Blóðtappar í smáum æðum (segaöræðakvilli).</w:t>
      </w:r>
    </w:p>
    <w:p w14:paraId="05B8C0B1" w14:textId="77777777" w:rsidR="00222F7E" w:rsidRPr="006774D3" w:rsidRDefault="00222F7E" w:rsidP="00F77C66">
      <w:pPr>
        <w:ind w:left="567" w:right="-28" w:hanging="567"/>
        <w:rPr>
          <w:color w:val="000000"/>
          <w:sz w:val="22"/>
          <w:szCs w:val="22"/>
        </w:rPr>
      </w:pPr>
    </w:p>
    <w:p w14:paraId="05B8C0B2" w14:textId="77777777" w:rsidR="00222F7E" w:rsidRPr="006774D3" w:rsidRDefault="00222F7E" w:rsidP="00E22B2C">
      <w:pPr>
        <w:keepNext/>
        <w:ind w:left="567" w:right="-28" w:hanging="567"/>
        <w:rPr>
          <w:color w:val="000000"/>
          <w:sz w:val="22"/>
          <w:szCs w:val="22"/>
        </w:rPr>
      </w:pPr>
      <w:r w:rsidRPr="006774D3">
        <w:rPr>
          <w:b/>
          <w:color w:val="000000"/>
          <w:sz w:val="22"/>
          <w:szCs w:val="22"/>
        </w:rPr>
        <w:t>Tíðni ekki þekkt</w:t>
      </w:r>
      <w:r w:rsidR="005706EE" w:rsidRPr="006774D3">
        <w:rPr>
          <w:color w:val="000000"/>
          <w:sz w:val="22"/>
          <w:szCs w:val="22"/>
        </w:rPr>
        <w:t xml:space="preserve"> (ekki hægt að áætla tíðni út frá fyrirliggjandi gögnum)</w:t>
      </w:r>
      <w:r w:rsidRPr="006774D3">
        <w:rPr>
          <w:color w:val="000000"/>
          <w:sz w:val="22"/>
          <w:szCs w:val="22"/>
        </w:rPr>
        <w:t>:</w:t>
      </w:r>
    </w:p>
    <w:p w14:paraId="05B8C0B3" w14:textId="77777777" w:rsidR="00D959D7" w:rsidRPr="006774D3" w:rsidRDefault="00222F7E" w:rsidP="00F77C66">
      <w:pPr>
        <w:ind w:left="567" w:right="-28" w:hanging="567"/>
        <w:rPr>
          <w:color w:val="000000"/>
          <w:sz w:val="22"/>
          <w:szCs w:val="22"/>
        </w:rPr>
      </w:pPr>
      <w:r w:rsidRPr="006774D3">
        <w:rPr>
          <w:color w:val="000000"/>
          <w:sz w:val="22"/>
          <w:szCs w:val="22"/>
        </w:rPr>
        <w:t>•</w:t>
      </w:r>
      <w:r w:rsidRPr="006774D3">
        <w:rPr>
          <w:color w:val="000000"/>
          <w:sz w:val="22"/>
          <w:szCs w:val="22"/>
        </w:rPr>
        <w:tab/>
        <w:t>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w:t>
      </w:r>
    </w:p>
    <w:p w14:paraId="05B8C0B4" w14:textId="77777777" w:rsidR="007E4C8C" w:rsidRPr="006774D3" w:rsidRDefault="00D959D7" w:rsidP="00F77C66">
      <w:pPr>
        <w:ind w:left="567" w:right="-28" w:hanging="567"/>
        <w:rPr>
          <w:color w:val="000000"/>
          <w:sz w:val="22"/>
          <w:szCs w:val="22"/>
        </w:rPr>
      </w:pPr>
      <w:r w:rsidRPr="006774D3">
        <w:rPr>
          <w:color w:val="000000"/>
          <w:sz w:val="22"/>
          <w:szCs w:val="22"/>
        </w:rPr>
        <w:t>•</w:t>
      </w:r>
      <w:r w:rsidRPr="006774D3">
        <w:rPr>
          <w:color w:val="000000"/>
          <w:sz w:val="22"/>
          <w:szCs w:val="22"/>
        </w:rPr>
        <w:tab/>
        <w:t>Langvarandi nýrnabilun.</w:t>
      </w:r>
    </w:p>
    <w:p w14:paraId="05B8C0B5" w14:textId="77777777" w:rsidR="00222F7E" w:rsidRPr="006774D3" w:rsidRDefault="007E4C8C" w:rsidP="00F77C66">
      <w:pPr>
        <w:ind w:left="567" w:right="-28" w:hanging="567"/>
        <w:rPr>
          <w:color w:val="000000"/>
          <w:sz w:val="22"/>
          <w:szCs w:val="22"/>
        </w:rPr>
      </w:pPr>
      <w:r w:rsidRPr="006774D3">
        <w:rPr>
          <w:color w:val="000000"/>
          <w:sz w:val="22"/>
          <w:szCs w:val="22"/>
        </w:rPr>
        <w:t>•</w:t>
      </w:r>
      <w:r w:rsidRPr="006774D3">
        <w:rPr>
          <w:color w:val="000000"/>
          <w:sz w:val="22"/>
          <w:szCs w:val="22"/>
        </w:rPr>
        <w:tab/>
        <w:t>E</w:t>
      </w:r>
      <w:r w:rsidRPr="006774D3">
        <w:rPr>
          <w:bCs/>
          <w:color w:val="000000"/>
          <w:sz w:val="22"/>
          <w:szCs w:val="22"/>
        </w:rPr>
        <w:t>ndurkoma (endurvirkjun) lifrarbólgu B sýkingar ef þú hefur áður verið með lifrarbólgu B (sýking í lifur).</w:t>
      </w:r>
    </w:p>
    <w:p w14:paraId="05B8C0B6" w14:textId="77777777" w:rsidR="00222F7E" w:rsidRPr="006774D3" w:rsidRDefault="00222F7E" w:rsidP="00F77C66">
      <w:pPr>
        <w:ind w:left="567" w:right="-28" w:hanging="567"/>
        <w:rPr>
          <w:color w:val="000000"/>
          <w:sz w:val="22"/>
          <w:szCs w:val="22"/>
        </w:rPr>
      </w:pPr>
    </w:p>
    <w:p w14:paraId="05B8C0B7" w14:textId="77777777" w:rsidR="007B5D76" w:rsidRPr="006774D3" w:rsidRDefault="007B5D76" w:rsidP="00F77C66">
      <w:pPr>
        <w:ind w:left="567" w:right="-28" w:hanging="567"/>
        <w:rPr>
          <w:color w:val="000000"/>
          <w:sz w:val="22"/>
          <w:szCs w:val="22"/>
        </w:rPr>
      </w:pPr>
      <w:r w:rsidRPr="006774D3">
        <w:rPr>
          <w:color w:val="000000"/>
          <w:sz w:val="22"/>
          <w:szCs w:val="22"/>
        </w:rPr>
        <w:t xml:space="preserve">Ef eitthvað af ofangreindu á við um þig </w:t>
      </w:r>
      <w:r w:rsidRPr="006774D3">
        <w:rPr>
          <w:b/>
          <w:color w:val="000000"/>
          <w:sz w:val="22"/>
          <w:szCs w:val="22"/>
        </w:rPr>
        <w:t>skaltu tafarlaust hafa samband við lækninn</w:t>
      </w:r>
      <w:r w:rsidRPr="006774D3">
        <w:rPr>
          <w:color w:val="000000"/>
          <w:sz w:val="22"/>
          <w:szCs w:val="22"/>
        </w:rPr>
        <w:t>.</w:t>
      </w:r>
    </w:p>
    <w:p w14:paraId="05B8C0B8" w14:textId="77777777" w:rsidR="007B5D76" w:rsidRPr="006774D3" w:rsidRDefault="007B5D76" w:rsidP="00F77C66">
      <w:pPr>
        <w:ind w:right="-29"/>
        <w:rPr>
          <w:color w:val="000000"/>
          <w:sz w:val="22"/>
          <w:szCs w:val="22"/>
        </w:rPr>
      </w:pPr>
    </w:p>
    <w:p w14:paraId="05B8C0B9" w14:textId="77777777" w:rsidR="007B5D76" w:rsidRPr="006774D3" w:rsidRDefault="007B5D76" w:rsidP="00F77C66">
      <w:pPr>
        <w:keepNext/>
        <w:ind w:right="-28"/>
        <w:rPr>
          <w:b/>
          <w:color w:val="000000"/>
          <w:sz w:val="22"/>
          <w:szCs w:val="22"/>
        </w:rPr>
      </w:pPr>
      <w:r w:rsidRPr="006774D3">
        <w:rPr>
          <w:b/>
          <w:color w:val="000000"/>
          <w:sz w:val="22"/>
          <w:szCs w:val="22"/>
        </w:rPr>
        <w:lastRenderedPageBreak/>
        <w:t>Aðrar aukaverkanir geta verið:</w:t>
      </w:r>
    </w:p>
    <w:p w14:paraId="05B8C0BA" w14:textId="77777777" w:rsidR="007B5D76" w:rsidRPr="006774D3" w:rsidRDefault="007B5D76" w:rsidP="00F77C66">
      <w:pPr>
        <w:keepNext/>
        <w:ind w:right="-28"/>
        <w:rPr>
          <w:color w:val="000000"/>
          <w:sz w:val="22"/>
          <w:szCs w:val="22"/>
        </w:rPr>
      </w:pPr>
    </w:p>
    <w:p w14:paraId="05B8C0BB" w14:textId="77777777" w:rsidR="007B5D76" w:rsidRPr="006774D3" w:rsidRDefault="007B5D76" w:rsidP="00F77C66">
      <w:pPr>
        <w:keepNext/>
        <w:ind w:right="-28"/>
        <w:rPr>
          <w:color w:val="000000"/>
          <w:sz w:val="22"/>
          <w:szCs w:val="22"/>
        </w:rPr>
      </w:pPr>
      <w:r w:rsidRPr="006774D3">
        <w:rPr>
          <w:b/>
          <w:color w:val="000000"/>
          <w:sz w:val="22"/>
          <w:szCs w:val="22"/>
        </w:rPr>
        <w:t>Mjög algengar</w:t>
      </w:r>
      <w:r w:rsidRPr="006774D3">
        <w:rPr>
          <w:color w:val="000000"/>
          <w:sz w:val="22"/>
          <w:szCs w:val="22"/>
        </w:rPr>
        <w:t xml:space="preserve"> (geta komið fyrir hjá fleiri en 1 af hverjum 10 einstaklingum):</w:t>
      </w:r>
    </w:p>
    <w:p w14:paraId="05B8C0BC"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Höfuðverkur eða þreyta.</w:t>
      </w:r>
    </w:p>
    <w:p w14:paraId="05B8C0BD"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Ógleði, uppköst, niðurgangur eða meltingartruflun.</w:t>
      </w:r>
    </w:p>
    <w:p w14:paraId="05B8C0BE"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Útbrot.</w:t>
      </w:r>
    </w:p>
    <w:p w14:paraId="05B8C0BF" w14:textId="77777777" w:rsidR="007B5D76" w:rsidRPr="006774D3" w:rsidRDefault="007B5D76" w:rsidP="00E22B2C">
      <w:pPr>
        <w:ind w:left="567" w:right="-28" w:hanging="567"/>
        <w:rPr>
          <w:color w:val="000000"/>
          <w:sz w:val="22"/>
          <w:szCs w:val="22"/>
        </w:rPr>
      </w:pPr>
      <w:r w:rsidRPr="006774D3">
        <w:rPr>
          <w:color w:val="000000"/>
          <w:sz w:val="22"/>
          <w:szCs w:val="22"/>
        </w:rPr>
        <w:t>•</w:t>
      </w:r>
      <w:r w:rsidRPr="006774D3">
        <w:rPr>
          <w:color w:val="000000"/>
          <w:sz w:val="22"/>
          <w:szCs w:val="22"/>
        </w:rPr>
        <w:tab/>
        <w:t>Vöðvakrampar eða lið-, vöðva- eða beinverkir</w:t>
      </w:r>
      <w:r w:rsidR="00BA4998" w:rsidRPr="006774D3">
        <w:rPr>
          <w:color w:val="000000"/>
          <w:sz w:val="22"/>
          <w:szCs w:val="22"/>
        </w:rPr>
        <w:t xml:space="preserve"> meðan á meðferð með Glivec stendur eða eftir að meðferð með Glivec hefur verið hætt</w:t>
      </w:r>
      <w:r w:rsidRPr="006774D3">
        <w:rPr>
          <w:color w:val="000000"/>
          <w:sz w:val="22"/>
          <w:szCs w:val="22"/>
        </w:rPr>
        <w:t>.</w:t>
      </w:r>
    </w:p>
    <w:p w14:paraId="05B8C0C0"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Þroti svo sem á ökklum og þrútin augu.</w:t>
      </w:r>
    </w:p>
    <w:p w14:paraId="05B8C0C1" w14:textId="77777777" w:rsidR="007B5D76" w:rsidRPr="006774D3" w:rsidRDefault="007B5D76" w:rsidP="00F77C66">
      <w:pPr>
        <w:keepNext/>
        <w:ind w:right="-28"/>
        <w:rPr>
          <w:color w:val="000000"/>
          <w:sz w:val="22"/>
          <w:szCs w:val="22"/>
        </w:rPr>
      </w:pPr>
      <w:r w:rsidRPr="006774D3">
        <w:rPr>
          <w:color w:val="000000"/>
          <w:sz w:val="22"/>
          <w:szCs w:val="22"/>
        </w:rPr>
        <w:t>•</w:t>
      </w:r>
      <w:r w:rsidRPr="006774D3">
        <w:rPr>
          <w:color w:val="000000"/>
          <w:sz w:val="22"/>
          <w:szCs w:val="22"/>
        </w:rPr>
        <w:tab/>
        <w:t>Þyngdaraukning.</w:t>
      </w:r>
    </w:p>
    <w:p w14:paraId="05B8C0C2" w14:textId="77777777" w:rsidR="007B5D76" w:rsidRPr="006774D3" w:rsidRDefault="007B5D76" w:rsidP="00F77C66">
      <w:pPr>
        <w:ind w:right="-29"/>
        <w:rPr>
          <w:b/>
          <w:color w:val="000000"/>
          <w:sz w:val="22"/>
          <w:szCs w:val="22"/>
        </w:rPr>
      </w:pPr>
      <w:r w:rsidRPr="006774D3">
        <w:rPr>
          <w:color w:val="000000"/>
          <w:sz w:val="22"/>
          <w:szCs w:val="22"/>
        </w:rPr>
        <w:t xml:space="preserve">Ef einhverjar af þessum aukaverkunum hafa alvarleg áhrif </w:t>
      </w:r>
      <w:r w:rsidRPr="006774D3">
        <w:rPr>
          <w:b/>
          <w:color w:val="000000"/>
          <w:sz w:val="22"/>
          <w:szCs w:val="22"/>
        </w:rPr>
        <w:t>skal láta lækninn vita.</w:t>
      </w:r>
    </w:p>
    <w:p w14:paraId="05B8C0C3" w14:textId="77777777" w:rsidR="007B5D76" w:rsidRPr="006774D3" w:rsidRDefault="007B5D76" w:rsidP="00F77C66">
      <w:pPr>
        <w:ind w:right="-29"/>
        <w:rPr>
          <w:color w:val="000000"/>
          <w:sz w:val="22"/>
          <w:szCs w:val="22"/>
        </w:rPr>
      </w:pPr>
    </w:p>
    <w:p w14:paraId="05B8C0C4" w14:textId="77777777" w:rsidR="007B5D76" w:rsidRPr="006774D3" w:rsidRDefault="007B5D76" w:rsidP="00F77C66">
      <w:pPr>
        <w:keepNext/>
        <w:ind w:right="-28"/>
        <w:rPr>
          <w:color w:val="000000"/>
          <w:sz w:val="22"/>
          <w:szCs w:val="22"/>
        </w:rPr>
      </w:pPr>
      <w:r w:rsidRPr="006774D3">
        <w:rPr>
          <w:b/>
          <w:color w:val="000000"/>
          <w:sz w:val="22"/>
          <w:szCs w:val="22"/>
        </w:rPr>
        <w:t>Algengar</w:t>
      </w:r>
      <w:r w:rsidRPr="006774D3">
        <w:rPr>
          <w:color w:val="000000"/>
          <w:sz w:val="22"/>
          <w:szCs w:val="22"/>
        </w:rPr>
        <w:t xml:space="preserve"> </w:t>
      </w:r>
      <w:r w:rsidRPr="006774D3">
        <w:rPr>
          <w:bCs/>
          <w:color w:val="000000"/>
          <w:sz w:val="22"/>
          <w:szCs w:val="22"/>
        </w:rPr>
        <w:t>(geta komið fyrir hjá allt að 1 af hverjum 10 einstaklingum)</w:t>
      </w:r>
      <w:r w:rsidRPr="006774D3">
        <w:rPr>
          <w:color w:val="000000"/>
          <w:sz w:val="22"/>
          <w:szCs w:val="22"/>
        </w:rPr>
        <w:t>:</w:t>
      </w:r>
    </w:p>
    <w:p w14:paraId="05B8C0C5"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Lystarleysi, þyngdartap eða breytingar á bragðskyni.</w:t>
      </w:r>
    </w:p>
    <w:p w14:paraId="05B8C0C6"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Sundl eða slappleiki.</w:t>
      </w:r>
    </w:p>
    <w:p w14:paraId="05B8C0C7"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Svefntruflanir (svefnleysi).</w:t>
      </w:r>
    </w:p>
    <w:p w14:paraId="05B8C0C8"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Útferð úr auga ásamt kláða, roða og þrota (tárubólga), aukin táramyndun eða þokusýn.</w:t>
      </w:r>
    </w:p>
    <w:p w14:paraId="05B8C0C9"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Blóðnasir.</w:t>
      </w:r>
    </w:p>
    <w:p w14:paraId="05B8C0CA"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Kviðverkir eða þaninn kviður, vindgangur, brjóstsviði eða hægðatregða.</w:t>
      </w:r>
    </w:p>
    <w:p w14:paraId="05B8C0CB"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Kláði.</w:t>
      </w:r>
    </w:p>
    <w:p w14:paraId="05B8C0CC"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Óeðlilegt hárlos eða hárþynning.</w:t>
      </w:r>
    </w:p>
    <w:p w14:paraId="05B8C0CD"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Dofi í höndum eða fótum.</w:t>
      </w:r>
    </w:p>
    <w:p w14:paraId="05B8C0CE"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Munnangur.</w:t>
      </w:r>
    </w:p>
    <w:p w14:paraId="05B8C0CF"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Liðverkir ásamt þrota.</w:t>
      </w:r>
    </w:p>
    <w:p w14:paraId="05B8C0D0"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Munnþurrkur, húðþurrkur eða augnþurrkur.</w:t>
      </w:r>
    </w:p>
    <w:p w14:paraId="05B8C0D1"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Minnkað eða aukið húðskyn.</w:t>
      </w:r>
    </w:p>
    <w:p w14:paraId="05B8C0D2" w14:textId="77777777" w:rsidR="007B5D76" w:rsidRPr="006774D3" w:rsidRDefault="007B5D76" w:rsidP="00F77C66">
      <w:pPr>
        <w:keepNext/>
        <w:ind w:right="-28"/>
        <w:rPr>
          <w:color w:val="000000"/>
          <w:sz w:val="22"/>
          <w:szCs w:val="22"/>
        </w:rPr>
      </w:pPr>
      <w:r w:rsidRPr="006774D3">
        <w:rPr>
          <w:color w:val="000000"/>
          <w:sz w:val="22"/>
          <w:szCs w:val="22"/>
        </w:rPr>
        <w:t>•</w:t>
      </w:r>
      <w:r w:rsidRPr="006774D3">
        <w:rPr>
          <w:color w:val="000000"/>
          <w:sz w:val="22"/>
          <w:szCs w:val="22"/>
        </w:rPr>
        <w:tab/>
        <w:t>Hitakóf, kuldahrollur eða nætursviti.</w:t>
      </w:r>
    </w:p>
    <w:p w14:paraId="05B8C0D3" w14:textId="77777777" w:rsidR="007B5D76" w:rsidRPr="006774D3" w:rsidRDefault="007B5D76" w:rsidP="00F77C66">
      <w:pPr>
        <w:ind w:right="-29"/>
        <w:rPr>
          <w:b/>
          <w:color w:val="000000"/>
          <w:sz w:val="22"/>
          <w:szCs w:val="22"/>
        </w:rPr>
      </w:pPr>
      <w:r w:rsidRPr="006774D3">
        <w:rPr>
          <w:color w:val="000000"/>
          <w:sz w:val="22"/>
          <w:szCs w:val="22"/>
        </w:rPr>
        <w:t xml:space="preserve">Ef einhverjar af þessum aukaverkunum hafa alvarleg áhrif </w:t>
      </w:r>
      <w:r w:rsidRPr="006774D3">
        <w:rPr>
          <w:b/>
          <w:color w:val="000000"/>
          <w:sz w:val="22"/>
          <w:szCs w:val="22"/>
        </w:rPr>
        <w:t>skal láta lækninn vita.</w:t>
      </w:r>
    </w:p>
    <w:p w14:paraId="05B8C0D4" w14:textId="77777777" w:rsidR="007B5D76" w:rsidRPr="006774D3" w:rsidRDefault="007B5D76" w:rsidP="00F77C66">
      <w:pPr>
        <w:ind w:right="-2"/>
        <w:rPr>
          <w:color w:val="000000"/>
          <w:sz w:val="22"/>
          <w:szCs w:val="22"/>
        </w:rPr>
      </w:pPr>
    </w:p>
    <w:p w14:paraId="05B8C0D5" w14:textId="77777777" w:rsidR="007B5D76" w:rsidRPr="006774D3" w:rsidRDefault="007B5D76" w:rsidP="00E22B2C">
      <w:pPr>
        <w:keepNext/>
        <w:rPr>
          <w:color w:val="000000"/>
          <w:sz w:val="22"/>
          <w:szCs w:val="22"/>
        </w:rPr>
      </w:pPr>
      <w:r w:rsidRPr="006774D3">
        <w:rPr>
          <w:b/>
          <w:color w:val="000000"/>
          <w:sz w:val="22"/>
          <w:szCs w:val="22"/>
        </w:rPr>
        <w:t>Tíðni ekki þekkt</w:t>
      </w:r>
      <w:r w:rsidRPr="006774D3">
        <w:rPr>
          <w:color w:val="000000"/>
          <w:sz w:val="22"/>
          <w:szCs w:val="22"/>
        </w:rPr>
        <w:t xml:space="preserve"> (ekki hægt að áætla tíðni út frá fyrirliggjandi gögnum):</w:t>
      </w:r>
    </w:p>
    <w:p w14:paraId="05B8C0D6" w14:textId="77777777" w:rsidR="007B5D76" w:rsidRPr="006774D3" w:rsidRDefault="007B5D76" w:rsidP="00F77C66">
      <w:pPr>
        <w:ind w:right="-2"/>
        <w:rPr>
          <w:color w:val="000000"/>
          <w:sz w:val="22"/>
          <w:szCs w:val="22"/>
        </w:rPr>
      </w:pPr>
      <w:r w:rsidRPr="006774D3">
        <w:rPr>
          <w:color w:val="000000"/>
          <w:sz w:val="22"/>
          <w:szCs w:val="22"/>
        </w:rPr>
        <w:t>•</w:t>
      </w:r>
      <w:r w:rsidRPr="006774D3">
        <w:rPr>
          <w:color w:val="000000"/>
          <w:sz w:val="22"/>
          <w:szCs w:val="22"/>
        </w:rPr>
        <w:tab/>
        <w:t>Roði og/eða þroti í lófum og iljum sem getur fylgt náladofi og sviðatilfinning.</w:t>
      </w:r>
    </w:p>
    <w:p w14:paraId="05B8C0D7" w14:textId="77777777" w:rsidR="003A33D0" w:rsidRPr="006774D3" w:rsidRDefault="003A33D0" w:rsidP="00F77C66">
      <w:pPr>
        <w:ind w:right="-2"/>
        <w:rPr>
          <w:color w:val="000000"/>
          <w:sz w:val="22"/>
          <w:szCs w:val="22"/>
        </w:rPr>
      </w:pPr>
      <w:r w:rsidRPr="006774D3">
        <w:rPr>
          <w:color w:val="000000"/>
          <w:sz w:val="22"/>
          <w:szCs w:val="22"/>
        </w:rPr>
        <w:t>•</w:t>
      </w:r>
      <w:r w:rsidRPr="006774D3">
        <w:rPr>
          <w:color w:val="000000"/>
          <w:sz w:val="22"/>
          <w:szCs w:val="22"/>
        </w:rPr>
        <w:tab/>
        <w:t xml:space="preserve">Sársaukafullar vefjaskemmdir í húð </w:t>
      </w:r>
      <w:r w:rsidR="00C7731A" w:rsidRPr="006774D3">
        <w:rPr>
          <w:color w:val="000000"/>
          <w:sz w:val="22"/>
          <w:szCs w:val="22"/>
        </w:rPr>
        <w:t>og</w:t>
      </w:r>
      <w:r w:rsidRPr="006774D3">
        <w:rPr>
          <w:color w:val="000000"/>
          <w:sz w:val="22"/>
          <w:szCs w:val="22"/>
        </w:rPr>
        <w:t>/</w:t>
      </w:r>
      <w:r w:rsidR="00C7731A" w:rsidRPr="006774D3">
        <w:rPr>
          <w:color w:val="000000"/>
          <w:sz w:val="22"/>
          <w:szCs w:val="22"/>
        </w:rPr>
        <w:t>eða</w:t>
      </w:r>
      <w:r w:rsidRPr="006774D3">
        <w:rPr>
          <w:color w:val="000000"/>
          <w:sz w:val="22"/>
          <w:szCs w:val="22"/>
        </w:rPr>
        <w:t xml:space="preserve"> </w:t>
      </w:r>
      <w:r w:rsidR="00C7731A" w:rsidRPr="006774D3">
        <w:rPr>
          <w:color w:val="000000"/>
          <w:sz w:val="22"/>
          <w:szCs w:val="22"/>
        </w:rPr>
        <w:t>blöðrumyndun</w:t>
      </w:r>
      <w:r w:rsidRPr="006774D3">
        <w:rPr>
          <w:color w:val="000000"/>
          <w:sz w:val="22"/>
          <w:szCs w:val="22"/>
        </w:rPr>
        <w:t>.</w:t>
      </w:r>
    </w:p>
    <w:p w14:paraId="05B8C0D8" w14:textId="77777777" w:rsidR="007B5D76" w:rsidRPr="006774D3" w:rsidRDefault="007B5D76" w:rsidP="00E22B2C">
      <w:pPr>
        <w:keepNext/>
        <w:rPr>
          <w:color w:val="000000"/>
          <w:sz w:val="22"/>
          <w:szCs w:val="22"/>
        </w:rPr>
      </w:pPr>
      <w:r w:rsidRPr="006774D3">
        <w:rPr>
          <w:color w:val="000000"/>
          <w:sz w:val="22"/>
          <w:szCs w:val="22"/>
        </w:rPr>
        <w:t>•</w:t>
      </w:r>
      <w:r w:rsidRPr="006774D3">
        <w:rPr>
          <w:color w:val="000000"/>
          <w:sz w:val="22"/>
          <w:szCs w:val="22"/>
        </w:rPr>
        <w:tab/>
        <w:t>Hægari vöxtur hjá börnum og unglingum.</w:t>
      </w:r>
    </w:p>
    <w:p w14:paraId="05B8C0D9" w14:textId="77777777" w:rsidR="007B5D76" w:rsidRPr="006774D3" w:rsidRDefault="007B5D76" w:rsidP="00F77C66">
      <w:pPr>
        <w:ind w:right="-29"/>
        <w:rPr>
          <w:b/>
          <w:color w:val="000000"/>
          <w:sz w:val="22"/>
          <w:szCs w:val="22"/>
        </w:rPr>
      </w:pPr>
      <w:r w:rsidRPr="006774D3">
        <w:rPr>
          <w:color w:val="000000"/>
          <w:sz w:val="22"/>
          <w:szCs w:val="22"/>
        </w:rPr>
        <w:t xml:space="preserve">Ef einhver þessara aukaverkana er veruleg, </w:t>
      </w:r>
      <w:r w:rsidRPr="006774D3">
        <w:rPr>
          <w:b/>
          <w:color w:val="000000"/>
          <w:sz w:val="22"/>
          <w:szCs w:val="22"/>
        </w:rPr>
        <w:t>skaltu láta lækninn vita.</w:t>
      </w:r>
    </w:p>
    <w:p w14:paraId="05B8C0DA" w14:textId="77777777" w:rsidR="007B5D76" w:rsidRPr="006774D3" w:rsidRDefault="007B5D76" w:rsidP="00F77C66">
      <w:pPr>
        <w:ind w:right="-2"/>
        <w:rPr>
          <w:color w:val="000000"/>
          <w:sz w:val="22"/>
          <w:szCs w:val="22"/>
        </w:rPr>
      </w:pPr>
    </w:p>
    <w:p w14:paraId="05B8C0DB" w14:textId="77777777" w:rsidR="007B5D76" w:rsidRPr="006774D3" w:rsidRDefault="007B5D76" w:rsidP="00E22B2C">
      <w:pPr>
        <w:keepNext/>
        <w:rPr>
          <w:b/>
          <w:sz w:val="22"/>
          <w:szCs w:val="22"/>
        </w:rPr>
      </w:pPr>
      <w:r w:rsidRPr="006774D3">
        <w:rPr>
          <w:b/>
          <w:sz w:val="22"/>
          <w:szCs w:val="22"/>
        </w:rPr>
        <w:t>Tilkynning aukaverkana</w:t>
      </w:r>
    </w:p>
    <w:p w14:paraId="05B8C0DC" w14:textId="77777777" w:rsidR="007B5D76" w:rsidRPr="006774D3" w:rsidRDefault="007B5D76" w:rsidP="00F77C66">
      <w:pPr>
        <w:rPr>
          <w:sz w:val="22"/>
          <w:szCs w:val="22"/>
        </w:rPr>
      </w:pPr>
      <w:r w:rsidRPr="006774D3">
        <w:rPr>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6774D3">
        <w:rPr>
          <w:sz w:val="22"/>
          <w:szCs w:val="22"/>
          <w:shd w:val="pct15" w:color="auto" w:fill="auto"/>
        </w:rPr>
        <w:t xml:space="preserve">samkvæmt fyrirkomulagi sem gildir í hverju landi fyrir sig, sjá </w:t>
      </w:r>
      <w:hyperlink r:id="rId16" w:history="1">
        <w:r w:rsidRPr="006774D3">
          <w:rPr>
            <w:rStyle w:val="Hyperlink"/>
            <w:sz w:val="22"/>
            <w:szCs w:val="22"/>
            <w:shd w:val="pct15" w:color="auto" w:fill="auto"/>
          </w:rPr>
          <w:t>Appendix V</w:t>
        </w:r>
      </w:hyperlink>
      <w:r w:rsidRPr="006774D3">
        <w:rPr>
          <w:sz w:val="22"/>
          <w:szCs w:val="22"/>
        </w:rPr>
        <w:t>. Með því að tilkynna aukaverkanir er hægt að hjálpa til við að auka upplýsingar um öryggi lyfsins.</w:t>
      </w:r>
    </w:p>
    <w:p w14:paraId="05B8C0DD" w14:textId="77777777" w:rsidR="007B5D76" w:rsidRPr="006774D3" w:rsidRDefault="007B5D76" w:rsidP="00F77C66">
      <w:pPr>
        <w:rPr>
          <w:color w:val="000000"/>
          <w:sz w:val="22"/>
          <w:szCs w:val="22"/>
        </w:rPr>
      </w:pPr>
    </w:p>
    <w:p w14:paraId="05B8C0DE" w14:textId="77777777" w:rsidR="007B5D76" w:rsidRPr="006774D3" w:rsidRDefault="007B5D76" w:rsidP="00F77C66">
      <w:pPr>
        <w:rPr>
          <w:color w:val="000000"/>
          <w:sz w:val="22"/>
          <w:szCs w:val="22"/>
        </w:rPr>
      </w:pPr>
    </w:p>
    <w:p w14:paraId="05B8C0DF" w14:textId="77777777" w:rsidR="004A6901" w:rsidRPr="006774D3" w:rsidRDefault="004A6901" w:rsidP="00F77C66">
      <w:pPr>
        <w:keepNext/>
        <w:rPr>
          <w:color w:val="000000"/>
          <w:sz w:val="22"/>
          <w:szCs w:val="22"/>
        </w:rPr>
      </w:pPr>
      <w:r w:rsidRPr="006774D3">
        <w:rPr>
          <w:b/>
          <w:color w:val="000000"/>
          <w:sz w:val="22"/>
          <w:szCs w:val="22"/>
        </w:rPr>
        <w:t>5.</w:t>
      </w:r>
      <w:r w:rsidRPr="006774D3">
        <w:rPr>
          <w:b/>
          <w:color w:val="000000"/>
          <w:sz w:val="22"/>
          <w:szCs w:val="22"/>
        </w:rPr>
        <w:tab/>
        <w:t>Hvernig geyma á Glivec</w:t>
      </w:r>
    </w:p>
    <w:p w14:paraId="05B8C0E0" w14:textId="77777777" w:rsidR="004A6901" w:rsidRPr="006774D3" w:rsidRDefault="004A6901" w:rsidP="00F77C66">
      <w:pPr>
        <w:keepNext/>
        <w:outlineLvl w:val="0"/>
        <w:rPr>
          <w:color w:val="000000"/>
          <w:sz w:val="22"/>
          <w:szCs w:val="22"/>
        </w:rPr>
      </w:pPr>
    </w:p>
    <w:p w14:paraId="05B8C0E1" w14:textId="77777777" w:rsidR="004A6901" w:rsidRPr="006774D3" w:rsidRDefault="004A6901" w:rsidP="00E22B2C">
      <w:pPr>
        <w:outlineLvl w:val="0"/>
        <w:rPr>
          <w:color w:val="000000"/>
          <w:sz w:val="22"/>
          <w:szCs w:val="22"/>
        </w:rPr>
      </w:pPr>
      <w:r w:rsidRPr="006774D3">
        <w:rPr>
          <w:bCs/>
          <w:color w:val="000000"/>
          <w:sz w:val="22"/>
          <w:szCs w:val="22"/>
        </w:rPr>
        <w:t>•</w:t>
      </w:r>
      <w:r w:rsidRPr="006774D3">
        <w:rPr>
          <w:color w:val="000000"/>
          <w:sz w:val="22"/>
          <w:szCs w:val="22"/>
        </w:rPr>
        <w:tab/>
        <w:t>Geymið lyfið þar sem börn hvorki ná til né sjá.</w:t>
      </w:r>
    </w:p>
    <w:p w14:paraId="05B8C0E2" w14:textId="77777777" w:rsidR="004A6901" w:rsidRPr="006774D3" w:rsidRDefault="004A6901" w:rsidP="00E22B2C">
      <w:pPr>
        <w:outlineLvl w:val="0"/>
        <w:rPr>
          <w:color w:val="000000"/>
          <w:sz w:val="22"/>
          <w:szCs w:val="22"/>
        </w:rPr>
      </w:pPr>
      <w:r w:rsidRPr="006774D3">
        <w:rPr>
          <w:bCs/>
          <w:color w:val="000000"/>
          <w:sz w:val="22"/>
          <w:szCs w:val="22"/>
        </w:rPr>
        <w:t>•</w:t>
      </w:r>
      <w:r w:rsidRPr="006774D3">
        <w:rPr>
          <w:color w:val="000000"/>
          <w:sz w:val="22"/>
          <w:szCs w:val="22"/>
        </w:rPr>
        <w:tab/>
        <w:t>Ekki skal nota lyfið eftir fyrningardagsetningu sem tilgreind er á öskjunni</w:t>
      </w:r>
      <w:r w:rsidR="00C7731A" w:rsidRPr="006774D3">
        <w:rPr>
          <w:color w:val="000000"/>
          <w:sz w:val="22"/>
          <w:szCs w:val="22"/>
        </w:rPr>
        <w:t xml:space="preserve"> á eftir </w:t>
      </w:r>
      <w:r w:rsidR="00DF48CE" w:rsidRPr="006774D3">
        <w:rPr>
          <w:color w:val="000000"/>
          <w:sz w:val="22"/>
          <w:szCs w:val="22"/>
        </w:rPr>
        <w:t>EXP.</w:t>
      </w:r>
    </w:p>
    <w:p w14:paraId="05B8C0E3" w14:textId="77777777" w:rsidR="004A6901" w:rsidRPr="006774D3" w:rsidRDefault="004A6901" w:rsidP="00F77C66">
      <w:pPr>
        <w:pStyle w:val="BodyText3"/>
        <w:ind w:right="0"/>
        <w:outlineLvl w:val="0"/>
        <w:rPr>
          <w:color w:val="000000"/>
          <w:szCs w:val="22"/>
        </w:rPr>
      </w:pPr>
      <w:r w:rsidRPr="006774D3">
        <w:rPr>
          <w:bCs/>
          <w:color w:val="000000"/>
          <w:szCs w:val="22"/>
        </w:rPr>
        <w:t>•</w:t>
      </w:r>
      <w:r w:rsidRPr="006774D3">
        <w:rPr>
          <w:color w:val="000000"/>
          <w:szCs w:val="22"/>
        </w:rPr>
        <w:tab/>
        <w:t xml:space="preserve">Geymið við </w:t>
      </w:r>
      <w:r w:rsidR="00BA4998" w:rsidRPr="006774D3">
        <w:rPr>
          <w:color w:val="000000"/>
          <w:szCs w:val="22"/>
        </w:rPr>
        <w:t xml:space="preserve">lægri </w:t>
      </w:r>
      <w:r w:rsidRPr="006774D3">
        <w:rPr>
          <w:color w:val="000000"/>
          <w:szCs w:val="22"/>
        </w:rPr>
        <w:t>hita en 30°C.</w:t>
      </w:r>
    </w:p>
    <w:p w14:paraId="05B8C0E4" w14:textId="77777777" w:rsidR="004A6901" w:rsidRPr="006774D3" w:rsidRDefault="004A6901" w:rsidP="00F77C66">
      <w:pPr>
        <w:outlineLvl w:val="0"/>
        <w:rPr>
          <w:color w:val="000000"/>
          <w:sz w:val="22"/>
          <w:szCs w:val="22"/>
        </w:rPr>
      </w:pPr>
      <w:r w:rsidRPr="006774D3">
        <w:rPr>
          <w:bCs/>
          <w:color w:val="000000"/>
          <w:sz w:val="22"/>
          <w:szCs w:val="22"/>
        </w:rPr>
        <w:t>•</w:t>
      </w:r>
      <w:r w:rsidRPr="006774D3">
        <w:rPr>
          <w:color w:val="000000"/>
          <w:sz w:val="22"/>
          <w:szCs w:val="22"/>
        </w:rPr>
        <w:tab/>
        <w:t>Geymið í upprunalegum umbúðum til varnar gegn raka.</w:t>
      </w:r>
    </w:p>
    <w:p w14:paraId="05B8C0E5" w14:textId="77777777" w:rsidR="004A6901" w:rsidRPr="006774D3" w:rsidRDefault="004A6901" w:rsidP="00F77C66">
      <w:pPr>
        <w:outlineLvl w:val="0"/>
        <w:rPr>
          <w:color w:val="000000"/>
          <w:sz w:val="22"/>
          <w:szCs w:val="22"/>
        </w:rPr>
      </w:pPr>
      <w:r w:rsidRPr="006774D3">
        <w:rPr>
          <w:bCs/>
          <w:color w:val="000000"/>
          <w:sz w:val="22"/>
          <w:szCs w:val="22"/>
        </w:rPr>
        <w:t>•</w:t>
      </w:r>
      <w:r w:rsidRPr="006774D3">
        <w:rPr>
          <w:color w:val="000000"/>
          <w:sz w:val="22"/>
          <w:szCs w:val="22"/>
        </w:rPr>
        <w:tab/>
        <w:t>Ekki skal nota pakkningu sem er skemmd eða ber merki þess að átt hafi verið við hana.</w:t>
      </w:r>
    </w:p>
    <w:p w14:paraId="05B8C0E6" w14:textId="77777777" w:rsidR="00124909" w:rsidRPr="006774D3" w:rsidRDefault="00124909" w:rsidP="00F77C66">
      <w:pPr>
        <w:ind w:left="567" w:hanging="567"/>
        <w:outlineLvl w:val="0"/>
        <w:rPr>
          <w:color w:val="000000"/>
          <w:sz w:val="22"/>
          <w:szCs w:val="22"/>
        </w:rPr>
      </w:pPr>
      <w:r w:rsidRPr="006774D3">
        <w:rPr>
          <w:color w:val="000000"/>
          <w:sz w:val="22"/>
          <w:szCs w:val="22"/>
        </w:rPr>
        <w:t>•</w:t>
      </w:r>
      <w:r w:rsidRPr="006774D3">
        <w:rPr>
          <w:color w:val="000000"/>
          <w:sz w:val="22"/>
          <w:szCs w:val="22"/>
        </w:rPr>
        <w:tab/>
        <w:t>Ekki má skola lyfjum niður í frárennslislagnir eða fleygja þeim með heimilissorpi. Leitið ráða í apóteki um hvernig heppilegast er að farga lyfjum sem hætt er að nota. Markmiðið er að vernda umhverfið.</w:t>
      </w:r>
    </w:p>
    <w:p w14:paraId="05B8C0E7" w14:textId="77777777" w:rsidR="004A6901" w:rsidRPr="006774D3" w:rsidRDefault="004A6901" w:rsidP="00F77C66">
      <w:pPr>
        <w:outlineLvl w:val="0"/>
        <w:rPr>
          <w:color w:val="000000"/>
          <w:sz w:val="22"/>
          <w:szCs w:val="22"/>
        </w:rPr>
      </w:pPr>
    </w:p>
    <w:p w14:paraId="05B8C0E8" w14:textId="77777777" w:rsidR="004A6901" w:rsidRPr="006774D3" w:rsidRDefault="004A6901" w:rsidP="00F77C66">
      <w:pPr>
        <w:outlineLvl w:val="0"/>
        <w:rPr>
          <w:color w:val="000000"/>
          <w:sz w:val="22"/>
          <w:szCs w:val="22"/>
        </w:rPr>
      </w:pPr>
    </w:p>
    <w:p w14:paraId="05B8C0E9" w14:textId="77777777" w:rsidR="00D363A7" w:rsidRPr="006774D3" w:rsidRDefault="00D363A7" w:rsidP="00F77C66">
      <w:pPr>
        <w:keepNext/>
        <w:ind w:right="-2"/>
        <w:rPr>
          <w:color w:val="000000"/>
          <w:sz w:val="22"/>
          <w:szCs w:val="22"/>
        </w:rPr>
      </w:pPr>
      <w:r w:rsidRPr="006774D3">
        <w:rPr>
          <w:b/>
          <w:color w:val="000000"/>
          <w:sz w:val="22"/>
          <w:szCs w:val="22"/>
        </w:rPr>
        <w:lastRenderedPageBreak/>
        <w:t>6.</w:t>
      </w:r>
      <w:r w:rsidRPr="006774D3">
        <w:rPr>
          <w:b/>
          <w:color w:val="000000"/>
          <w:sz w:val="22"/>
          <w:szCs w:val="22"/>
        </w:rPr>
        <w:tab/>
      </w:r>
      <w:r w:rsidR="00635B44" w:rsidRPr="006774D3">
        <w:rPr>
          <w:b/>
          <w:color w:val="000000"/>
          <w:sz w:val="22"/>
          <w:szCs w:val="22"/>
        </w:rPr>
        <w:t>Pakkningar og aðrar upplýsingar</w:t>
      </w:r>
    </w:p>
    <w:p w14:paraId="05B8C0EA" w14:textId="77777777" w:rsidR="00D363A7" w:rsidRPr="006774D3" w:rsidRDefault="00D363A7" w:rsidP="00F77C66">
      <w:pPr>
        <w:keepNext/>
        <w:ind w:right="-2"/>
        <w:rPr>
          <w:color w:val="000000"/>
          <w:sz w:val="22"/>
          <w:szCs w:val="22"/>
        </w:rPr>
      </w:pPr>
    </w:p>
    <w:p w14:paraId="05B8C0EB" w14:textId="77777777" w:rsidR="00D363A7" w:rsidRPr="006774D3" w:rsidRDefault="00D363A7" w:rsidP="00F77C66">
      <w:pPr>
        <w:keepNext/>
        <w:ind w:left="567" w:right="-2" w:hanging="567"/>
        <w:rPr>
          <w:b/>
          <w:color w:val="000000"/>
          <w:sz w:val="22"/>
          <w:szCs w:val="22"/>
        </w:rPr>
      </w:pPr>
      <w:r w:rsidRPr="006774D3">
        <w:rPr>
          <w:b/>
          <w:color w:val="000000"/>
          <w:sz w:val="22"/>
          <w:szCs w:val="22"/>
        </w:rPr>
        <w:t>Glivec inniheldur</w:t>
      </w:r>
    </w:p>
    <w:p w14:paraId="05B8C0EC" w14:textId="77777777" w:rsidR="00D363A7" w:rsidRPr="006774D3" w:rsidRDefault="00D363A7" w:rsidP="00F77C66">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Virka innihaldsefnið er imatinibmesilat. Hvert Glivec hylki inniheldur 100 mg af imatinib</w:t>
      </w:r>
      <w:r w:rsidR="00635B44" w:rsidRPr="006774D3">
        <w:rPr>
          <w:color w:val="000000"/>
          <w:sz w:val="22"/>
          <w:szCs w:val="22"/>
          <w:lang w:val="is-IS"/>
        </w:rPr>
        <w:t xml:space="preserve">i (sem </w:t>
      </w:r>
      <w:r w:rsidRPr="006774D3">
        <w:rPr>
          <w:color w:val="000000"/>
          <w:sz w:val="22"/>
          <w:szCs w:val="22"/>
          <w:lang w:val="is-IS"/>
        </w:rPr>
        <w:t>mesilat</w:t>
      </w:r>
      <w:r w:rsidR="00635B44" w:rsidRPr="006774D3">
        <w:rPr>
          <w:color w:val="000000"/>
          <w:sz w:val="22"/>
          <w:szCs w:val="22"/>
          <w:lang w:val="is-IS"/>
        </w:rPr>
        <w:t>)</w:t>
      </w:r>
      <w:r w:rsidRPr="006774D3">
        <w:rPr>
          <w:color w:val="000000"/>
          <w:sz w:val="22"/>
          <w:szCs w:val="22"/>
          <w:lang w:val="is-IS"/>
        </w:rPr>
        <w:t>.</w:t>
      </w:r>
    </w:p>
    <w:p w14:paraId="05B8C0ED" w14:textId="77777777" w:rsidR="00D363A7" w:rsidRPr="006774D3" w:rsidRDefault="00D363A7" w:rsidP="00F77C66">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 xml:space="preserve">Önnur innihaldsefni eru örkristölluð </w:t>
      </w:r>
      <w:r w:rsidR="00673DE6" w:rsidRPr="006774D3">
        <w:rPr>
          <w:color w:val="000000"/>
          <w:sz w:val="22"/>
          <w:szCs w:val="22"/>
          <w:lang w:val="is-IS"/>
        </w:rPr>
        <w:t>s</w:t>
      </w:r>
      <w:r w:rsidRPr="006774D3">
        <w:rPr>
          <w:color w:val="000000"/>
          <w:sz w:val="22"/>
          <w:szCs w:val="22"/>
          <w:lang w:val="is-IS"/>
        </w:rPr>
        <w:t xml:space="preserve">ellulósa, crospovidon, magnesíumsterat og vatnsfrí kísilkvoða. Hylkisskelin inniheldur gelatínu, rautt járnoxíð (E172), gult járnoxíð (E172) og </w:t>
      </w:r>
      <w:r w:rsidR="00E5322C" w:rsidRPr="006774D3">
        <w:rPr>
          <w:color w:val="000000"/>
          <w:sz w:val="22"/>
          <w:szCs w:val="22"/>
          <w:lang w:val="is-IS"/>
        </w:rPr>
        <w:t>títantvíxoíð (E171). Merkiblekið inniheldur rautt járnoxíð (E172) og shellac.</w:t>
      </w:r>
    </w:p>
    <w:p w14:paraId="05B8C0EE" w14:textId="77777777" w:rsidR="00D363A7" w:rsidRPr="006774D3" w:rsidRDefault="00D363A7" w:rsidP="00F77C66">
      <w:pPr>
        <w:pStyle w:val="EndnoteText"/>
        <w:spacing w:before="0" w:after="0"/>
        <w:ind w:left="0" w:firstLine="0"/>
        <w:rPr>
          <w:color w:val="000000"/>
          <w:sz w:val="22"/>
          <w:szCs w:val="22"/>
          <w:lang w:val="is-IS"/>
        </w:rPr>
      </w:pPr>
    </w:p>
    <w:p w14:paraId="05B8C0EF" w14:textId="77777777" w:rsidR="00D363A7" w:rsidRPr="006774D3" w:rsidRDefault="00635B44" w:rsidP="00F77C66">
      <w:pPr>
        <w:keepNext/>
        <w:ind w:left="567" w:right="-2" w:hanging="567"/>
        <w:rPr>
          <w:b/>
          <w:color w:val="000000"/>
          <w:sz w:val="22"/>
          <w:szCs w:val="22"/>
        </w:rPr>
      </w:pPr>
      <w:r w:rsidRPr="006774D3">
        <w:rPr>
          <w:b/>
          <w:color w:val="000000"/>
          <w:sz w:val="22"/>
          <w:szCs w:val="22"/>
        </w:rPr>
        <w:t>Lýsing á ú</w:t>
      </w:r>
      <w:r w:rsidR="00D363A7" w:rsidRPr="006774D3">
        <w:rPr>
          <w:b/>
          <w:color w:val="000000"/>
          <w:sz w:val="22"/>
          <w:szCs w:val="22"/>
        </w:rPr>
        <w:t>tlit</w:t>
      </w:r>
      <w:r w:rsidRPr="006774D3">
        <w:rPr>
          <w:b/>
          <w:color w:val="000000"/>
          <w:sz w:val="22"/>
          <w:szCs w:val="22"/>
        </w:rPr>
        <w:t>i</w:t>
      </w:r>
      <w:r w:rsidR="00D363A7" w:rsidRPr="006774D3">
        <w:rPr>
          <w:b/>
          <w:color w:val="000000"/>
          <w:sz w:val="22"/>
          <w:szCs w:val="22"/>
        </w:rPr>
        <w:t xml:space="preserve"> Glivec og pakkningastærðir</w:t>
      </w:r>
    </w:p>
    <w:p w14:paraId="05B8C0F0" w14:textId="77777777" w:rsidR="00D363A7" w:rsidRPr="006774D3" w:rsidRDefault="00D363A7" w:rsidP="00E22B2C">
      <w:pPr>
        <w:pStyle w:val="EndnoteText"/>
        <w:spacing w:before="0" w:after="0"/>
        <w:ind w:left="0" w:firstLine="0"/>
        <w:rPr>
          <w:color w:val="000000"/>
          <w:sz w:val="22"/>
          <w:szCs w:val="22"/>
          <w:lang w:val="is-IS"/>
        </w:rPr>
      </w:pPr>
      <w:r w:rsidRPr="006774D3">
        <w:rPr>
          <w:color w:val="000000"/>
          <w:sz w:val="22"/>
          <w:szCs w:val="22"/>
          <w:lang w:val="is-IS"/>
        </w:rPr>
        <w:t>Glivec 100 mg hylki eru appelsínugul til gráappelsínugul, auðkennd „NVR SI“. Þau innihalda hvítt til gult duft.</w:t>
      </w:r>
    </w:p>
    <w:p w14:paraId="05B8C0F1" w14:textId="77777777" w:rsidR="00D363A7" w:rsidRPr="006774D3" w:rsidRDefault="00D363A7" w:rsidP="00F77C66">
      <w:pPr>
        <w:ind w:right="-2"/>
        <w:rPr>
          <w:color w:val="000000"/>
          <w:sz w:val="22"/>
          <w:szCs w:val="22"/>
        </w:rPr>
      </w:pPr>
    </w:p>
    <w:p w14:paraId="05B8C0F2" w14:textId="77777777" w:rsidR="00D363A7" w:rsidRPr="006774D3" w:rsidRDefault="00D363A7" w:rsidP="00F77C66">
      <w:pPr>
        <w:rPr>
          <w:color w:val="000000"/>
          <w:sz w:val="22"/>
          <w:szCs w:val="22"/>
        </w:rPr>
      </w:pPr>
      <w:r w:rsidRPr="006774D3">
        <w:rPr>
          <w:color w:val="000000"/>
          <w:sz w:val="22"/>
          <w:szCs w:val="22"/>
        </w:rPr>
        <w:t>Lyfið er í pakkningum með 24, 48, 96, 120 eða 180 hylkjum en ekki er víst að allar pakkningastærðir séu fáanlegar.</w:t>
      </w:r>
    </w:p>
    <w:p w14:paraId="05B8C0F3" w14:textId="77777777" w:rsidR="00D363A7" w:rsidRPr="006774D3" w:rsidRDefault="00D363A7" w:rsidP="00F77C66">
      <w:pPr>
        <w:rPr>
          <w:color w:val="000000"/>
          <w:sz w:val="22"/>
          <w:szCs w:val="22"/>
        </w:rPr>
      </w:pPr>
    </w:p>
    <w:p w14:paraId="05B8C0F4" w14:textId="77777777" w:rsidR="00D363A7" w:rsidRPr="006774D3" w:rsidRDefault="00D363A7" w:rsidP="00F77C66">
      <w:pPr>
        <w:keepNext/>
        <w:rPr>
          <w:b/>
          <w:color w:val="000000"/>
          <w:sz w:val="22"/>
          <w:szCs w:val="22"/>
        </w:rPr>
      </w:pPr>
      <w:r w:rsidRPr="006774D3">
        <w:rPr>
          <w:b/>
          <w:color w:val="000000"/>
          <w:sz w:val="22"/>
          <w:szCs w:val="22"/>
        </w:rPr>
        <w:t>Markaðsleyfishafi</w:t>
      </w:r>
    </w:p>
    <w:p w14:paraId="05B8C0F5" w14:textId="77777777" w:rsidR="00D363A7" w:rsidRPr="006774D3" w:rsidRDefault="00D363A7" w:rsidP="00F77C66">
      <w:pPr>
        <w:keepNext/>
        <w:rPr>
          <w:color w:val="000000"/>
          <w:sz w:val="22"/>
          <w:szCs w:val="22"/>
        </w:rPr>
      </w:pPr>
      <w:r w:rsidRPr="006774D3">
        <w:rPr>
          <w:color w:val="000000"/>
          <w:sz w:val="22"/>
          <w:szCs w:val="22"/>
        </w:rPr>
        <w:t>Novartis Europharm Limited</w:t>
      </w:r>
    </w:p>
    <w:p w14:paraId="05B8C0F6"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C0F7"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C0F8"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C0F9" w14:textId="77777777" w:rsidR="00D363A7" w:rsidRPr="006774D3" w:rsidRDefault="00B3755B" w:rsidP="00E22B2C">
      <w:pPr>
        <w:rPr>
          <w:color w:val="000000"/>
          <w:sz w:val="22"/>
          <w:szCs w:val="22"/>
        </w:rPr>
      </w:pPr>
      <w:r w:rsidRPr="006774D3">
        <w:rPr>
          <w:color w:val="000000"/>
          <w:sz w:val="22"/>
          <w:szCs w:val="22"/>
        </w:rPr>
        <w:t>Írland</w:t>
      </w:r>
    </w:p>
    <w:p w14:paraId="05B8C0FA" w14:textId="77777777" w:rsidR="00D363A7" w:rsidRPr="006774D3" w:rsidRDefault="00D363A7" w:rsidP="00F77C66">
      <w:pPr>
        <w:rPr>
          <w:color w:val="000000"/>
          <w:sz w:val="22"/>
          <w:szCs w:val="22"/>
        </w:rPr>
      </w:pPr>
    </w:p>
    <w:p w14:paraId="05B8C0FB" w14:textId="77777777" w:rsidR="00D363A7" w:rsidRPr="006774D3" w:rsidRDefault="00D363A7" w:rsidP="00F77C66">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t>Framleiðandi</w:t>
      </w:r>
    </w:p>
    <w:p w14:paraId="05B8C0FC" w14:textId="77777777" w:rsidR="00D363A7" w:rsidRPr="006774D3" w:rsidRDefault="00D363A7" w:rsidP="00F77C66">
      <w:pPr>
        <w:keepNext/>
        <w:rPr>
          <w:color w:val="000000"/>
          <w:sz w:val="22"/>
          <w:szCs w:val="22"/>
        </w:rPr>
      </w:pPr>
      <w:r w:rsidRPr="006774D3">
        <w:rPr>
          <w:color w:val="000000"/>
          <w:sz w:val="22"/>
          <w:szCs w:val="22"/>
        </w:rPr>
        <w:t>Novartis Pharma GmbH</w:t>
      </w:r>
    </w:p>
    <w:p w14:paraId="05B8C0FD" w14:textId="77777777" w:rsidR="00D363A7" w:rsidRPr="006774D3" w:rsidRDefault="00D363A7" w:rsidP="00F77C66">
      <w:pPr>
        <w:keepNext/>
        <w:rPr>
          <w:color w:val="000000"/>
          <w:sz w:val="22"/>
          <w:szCs w:val="22"/>
        </w:rPr>
      </w:pPr>
      <w:r w:rsidRPr="006774D3">
        <w:rPr>
          <w:color w:val="000000"/>
          <w:sz w:val="22"/>
          <w:szCs w:val="22"/>
        </w:rPr>
        <w:t>Roonstrasse 25</w:t>
      </w:r>
    </w:p>
    <w:p w14:paraId="05B8C0FE" w14:textId="77777777" w:rsidR="00D363A7" w:rsidRPr="006774D3" w:rsidRDefault="00D363A7" w:rsidP="00F77C66">
      <w:pPr>
        <w:keepNext/>
        <w:rPr>
          <w:color w:val="000000"/>
          <w:sz w:val="22"/>
          <w:szCs w:val="22"/>
        </w:rPr>
      </w:pPr>
      <w:r w:rsidRPr="006774D3">
        <w:rPr>
          <w:color w:val="000000"/>
          <w:sz w:val="22"/>
          <w:szCs w:val="22"/>
        </w:rPr>
        <w:t>D-90429 Nürnberg</w:t>
      </w:r>
    </w:p>
    <w:p w14:paraId="05B8C0FF" w14:textId="4E821036" w:rsidR="00D363A7" w:rsidRPr="006774D3" w:rsidRDefault="00D363A7" w:rsidP="00E22B2C">
      <w:pPr>
        <w:rPr>
          <w:color w:val="000000"/>
          <w:sz w:val="22"/>
          <w:szCs w:val="22"/>
        </w:rPr>
      </w:pPr>
      <w:r w:rsidRPr="006774D3">
        <w:rPr>
          <w:color w:val="000000"/>
          <w:sz w:val="22"/>
          <w:szCs w:val="22"/>
        </w:rPr>
        <w:t>Þýskaland</w:t>
      </w:r>
    </w:p>
    <w:p w14:paraId="05B8C100" w14:textId="4624137C" w:rsidR="00D363A7" w:rsidRPr="006774D3" w:rsidRDefault="00D363A7" w:rsidP="00F77C66">
      <w:pPr>
        <w:ind w:right="-2"/>
        <w:rPr>
          <w:color w:val="000000"/>
          <w:sz w:val="22"/>
          <w:szCs w:val="22"/>
        </w:rPr>
      </w:pPr>
    </w:p>
    <w:p w14:paraId="207E4B70" w14:textId="77777777" w:rsidR="00B41904" w:rsidRPr="006774D3" w:rsidRDefault="00B41904" w:rsidP="00B41904">
      <w:pPr>
        <w:keepNext/>
        <w:ind w:right="1416"/>
        <w:rPr>
          <w:sz w:val="22"/>
          <w:szCs w:val="22"/>
          <w:shd w:val="pct15" w:color="auto" w:fill="auto"/>
        </w:rPr>
      </w:pPr>
      <w:r w:rsidRPr="006774D3">
        <w:rPr>
          <w:sz w:val="22"/>
          <w:szCs w:val="22"/>
          <w:shd w:val="pct15" w:color="auto" w:fill="auto"/>
        </w:rPr>
        <w:t>Sandoz S.R.L.</w:t>
      </w:r>
    </w:p>
    <w:p w14:paraId="2820DAB6" w14:textId="77777777" w:rsidR="00B41904" w:rsidRPr="006774D3" w:rsidRDefault="00B41904" w:rsidP="00B41904">
      <w:pPr>
        <w:keepNext/>
        <w:ind w:right="1416"/>
        <w:rPr>
          <w:sz w:val="22"/>
          <w:szCs w:val="22"/>
          <w:shd w:val="pct15" w:color="auto" w:fill="auto"/>
        </w:rPr>
      </w:pPr>
      <w:r w:rsidRPr="006774D3">
        <w:rPr>
          <w:sz w:val="22"/>
          <w:szCs w:val="22"/>
          <w:shd w:val="pct15" w:color="auto" w:fill="auto"/>
        </w:rPr>
        <w:t>Str. Livezeni nr. 7A</w:t>
      </w:r>
    </w:p>
    <w:p w14:paraId="0F73357D" w14:textId="77777777" w:rsidR="00B41904" w:rsidRPr="006774D3" w:rsidRDefault="00B41904" w:rsidP="00B41904">
      <w:pPr>
        <w:keepNext/>
        <w:ind w:right="1416"/>
        <w:rPr>
          <w:sz w:val="22"/>
          <w:szCs w:val="22"/>
          <w:shd w:val="pct15" w:color="auto" w:fill="auto"/>
        </w:rPr>
      </w:pPr>
      <w:r w:rsidRPr="006774D3">
        <w:rPr>
          <w:sz w:val="22"/>
          <w:szCs w:val="22"/>
          <w:shd w:val="pct15" w:color="auto" w:fill="auto"/>
        </w:rPr>
        <w:t>540472, Targu Mures</w:t>
      </w:r>
    </w:p>
    <w:p w14:paraId="710C647F" w14:textId="6C8F7166" w:rsidR="00B41904" w:rsidRPr="006774D3" w:rsidRDefault="00B41904" w:rsidP="00B41904">
      <w:pPr>
        <w:ind w:right="-2"/>
        <w:rPr>
          <w:sz w:val="22"/>
          <w:szCs w:val="22"/>
          <w:shd w:val="pct15" w:color="auto" w:fill="auto"/>
        </w:rPr>
      </w:pPr>
      <w:r w:rsidRPr="006774D3">
        <w:rPr>
          <w:sz w:val="22"/>
          <w:szCs w:val="22"/>
          <w:shd w:val="pct15" w:color="auto" w:fill="auto"/>
        </w:rPr>
        <w:t>Rúmenía</w:t>
      </w:r>
    </w:p>
    <w:p w14:paraId="55FE5069" w14:textId="77777777" w:rsidR="00B41904" w:rsidRPr="006774D3" w:rsidRDefault="00B41904" w:rsidP="00B41904">
      <w:pPr>
        <w:ind w:right="-2"/>
        <w:rPr>
          <w:color w:val="000000"/>
          <w:sz w:val="22"/>
          <w:szCs w:val="22"/>
        </w:rPr>
      </w:pPr>
    </w:p>
    <w:p w14:paraId="05B8C101" w14:textId="77777777" w:rsidR="00D363A7" w:rsidRPr="006774D3" w:rsidRDefault="00635B44" w:rsidP="00F77C66">
      <w:pPr>
        <w:pStyle w:val="BodyText3"/>
        <w:keepNext/>
        <w:rPr>
          <w:color w:val="000000"/>
          <w:szCs w:val="22"/>
        </w:rPr>
      </w:pPr>
      <w:r w:rsidRPr="006774D3">
        <w:rPr>
          <w:color w:val="000000"/>
          <w:szCs w:val="22"/>
        </w:rPr>
        <w:t>H</w:t>
      </w:r>
      <w:r w:rsidR="00D363A7" w:rsidRPr="006774D3">
        <w:rPr>
          <w:color w:val="000000"/>
          <w:szCs w:val="22"/>
        </w:rPr>
        <w:t>afið samband við fulltrúa markaðsleyfishafa á hverjum stað</w:t>
      </w:r>
      <w:r w:rsidRPr="006774D3">
        <w:rPr>
          <w:color w:val="000000"/>
          <w:szCs w:val="22"/>
        </w:rPr>
        <w:t xml:space="preserve"> ef óskað er upplýsinga um lyfið</w:t>
      </w:r>
      <w:r w:rsidR="00D363A7" w:rsidRPr="006774D3">
        <w:rPr>
          <w:color w:val="000000"/>
          <w:szCs w:val="22"/>
        </w:rPr>
        <w:t>:</w:t>
      </w:r>
    </w:p>
    <w:p w14:paraId="05B8C102" w14:textId="77777777" w:rsidR="00BE5B13" w:rsidRPr="006774D3" w:rsidRDefault="00BE5B13" w:rsidP="00E22B2C">
      <w:pPr>
        <w:keepNext/>
        <w:widowControl w:val="0"/>
        <w:ind w:right="-448"/>
        <w:rPr>
          <w:color w:val="000000"/>
          <w:sz w:val="22"/>
          <w:szCs w:val="22"/>
        </w:rPr>
      </w:pPr>
    </w:p>
    <w:tbl>
      <w:tblPr>
        <w:tblW w:w="9300" w:type="dxa"/>
        <w:tblLayout w:type="fixed"/>
        <w:tblLook w:val="0000" w:firstRow="0" w:lastRow="0" w:firstColumn="0" w:lastColumn="0" w:noHBand="0" w:noVBand="0"/>
      </w:tblPr>
      <w:tblGrid>
        <w:gridCol w:w="4650"/>
        <w:gridCol w:w="4650"/>
      </w:tblGrid>
      <w:tr w:rsidR="00BE5B13" w:rsidRPr="006774D3" w14:paraId="05B8C10B" w14:textId="77777777" w:rsidTr="00B3755B">
        <w:trPr>
          <w:cantSplit/>
        </w:trPr>
        <w:tc>
          <w:tcPr>
            <w:tcW w:w="4650" w:type="dxa"/>
          </w:tcPr>
          <w:p w14:paraId="05B8C103" w14:textId="77777777" w:rsidR="00BE5B13" w:rsidRPr="006774D3" w:rsidRDefault="00BE5B13" w:rsidP="00F77C66">
            <w:pPr>
              <w:rPr>
                <w:b/>
                <w:color w:val="000000"/>
                <w:sz w:val="22"/>
                <w:szCs w:val="22"/>
              </w:rPr>
            </w:pPr>
            <w:r w:rsidRPr="006774D3">
              <w:rPr>
                <w:b/>
                <w:color w:val="000000"/>
                <w:sz w:val="22"/>
                <w:szCs w:val="22"/>
              </w:rPr>
              <w:t>België/Belgique/Belgien</w:t>
            </w:r>
          </w:p>
          <w:p w14:paraId="05B8C104" w14:textId="77777777" w:rsidR="00BE5B13" w:rsidRPr="006774D3" w:rsidRDefault="00BE5B13" w:rsidP="00F77C66">
            <w:pPr>
              <w:rPr>
                <w:color w:val="000000"/>
                <w:sz w:val="22"/>
                <w:szCs w:val="22"/>
              </w:rPr>
            </w:pPr>
            <w:r w:rsidRPr="006774D3">
              <w:rPr>
                <w:color w:val="000000"/>
                <w:sz w:val="22"/>
                <w:szCs w:val="22"/>
              </w:rPr>
              <w:t>Novartis Pharma N.V.</w:t>
            </w:r>
          </w:p>
          <w:p w14:paraId="05B8C105" w14:textId="77777777" w:rsidR="00BE5B13" w:rsidRPr="006774D3" w:rsidRDefault="00BE5B13" w:rsidP="00F77C66">
            <w:pPr>
              <w:rPr>
                <w:color w:val="000000"/>
                <w:sz w:val="22"/>
                <w:szCs w:val="22"/>
              </w:rPr>
            </w:pPr>
            <w:r w:rsidRPr="006774D3">
              <w:rPr>
                <w:color w:val="000000"/>
                <w:sz w:val="22"/>
                <w:szCs w:val="22"/>
              </w:rPr>
              <w:t>Tél/Tel: +32 2 246 16 11</w:t>
            </w:r>
          </w:p>
          <w:p w14:paraId="05B8C106" w14:textId="77777777" w:rsidR="00BE5B13" w:rsidRPr="006774D3" w:rsidRDefault="00BE5B13" w:rsidP="00F77C66">
            <w:pPr>
              <w:rPr>
                <w:b/>
                <w:color w:val="000000"/>
                <w:sz w:val="22"/>
                <w:szCs w:val="22"/>
              </w:rPr>
            </w:pPr>
          </w:p>
        </w:tc>
        <w:tc>
          <w:tcPr>
            <w:tcW w:w="4650" w:type="dxa"/>
          </w:tcPr>
          <w:p w14:paraId="05B8C107" w14:textId="77777777" w:rsidR="00BE5B13" w:rsidRPr="006774D3" w:rsidRDefault="00BE5B13" w:rsidP="00F77C66">
            <w:pPr>
              <w:rPr>
                <w:b/>
                <w:color w:val="000000"/>
                <w:sz w:val="22"/>
                <w:szCs w:val="22"/>
              </w:rPr>
            </w:pPr>
            <w:r w:rsidRPr="006774D3">
              <w:rPr>
                <w:b/>
                <w:color w:val="000000"/>
                <w:sz w:val="22"/>
                <w:szCs w:val="22"/>
              </w:rPr>
              <w:t>Lietuva</w:t>
            </w:r>
          </w:p>
          <w:p w14:paraId="05B8C108" w14:textId="7D41E48A" w:rsidR="00BE5B13" w:rsidRPr="006774D3" w:rsidRDefault="00DB085C" w:rsidP="00F77C66">
            <w:pPr>
              <w:rPr>
                <w:color w:val="000000"/>
                <w:sz w:val="22"/>
                <w:szCs w:val="22"/>
              </w:rPr>
            </w:pPr>
            <w:r w:rsidRPr="006774D3">
              <w:rPr>
                <w:color w:val="000000"/>
                <w:sz w:val="22"/>
                <w:szCs w:val="22"/>
              </w:rPr>
              <w:t>SIA Novartis Baltics Lietuvos filialas</w:t>
            </w:r>
          </w:p>
          <w:p w14:paraId="05B8C109" w14:textId="77777777" w:rsidR="00BE5B13" w:rsidRPr="006774D3" w:rsidRDefault="00BE5B13" w:rsidP="00F77C66">
            <w:pPr>
              <w:rPr>
                <w:color w:val="000000"/>
                <w:sz w:val="22"/>
                <w:szCs w:val="22"/>
              </w:rPr>
            </w:pPr>
            <w:r w:rsidRPr="006774D3">
              <w:rPr>
                <w:color w:val="000000"/>
                <w:sz w:val="22"/>
                <w:szCs w:val="22"/>
              </w:rPr>
              <w:t>Tel: +370 5 269 16 50</w:t>
            </w:r>
          </w:p>
          <w:p w14:paraId="05B8C10A" w14:textId="77777777" w:rsidR="00BE5B13" w:rsidRPr="006774D3" w:rsidRDefault="00BE5B13" w:rsidP="00F77C66">
            <w:pPr>
              <w:rPr>
                <w:color w:val="000000"/>
                <w:sz w:val="22"/>
                <w:szCs w:val="22"/>
              </w:rPr>
            </w:pPr>
          </w:p>
        </w:tc>
      </w:tr>
      <w:tr w:rsidR="00BE5B13" w:rsidRPr="006774D3" w14:paraId="05B8C114" w14:textId="77777777" w:rsidTr="00B3755B">
        <w:trPr>
          <w:cantSplit/>
        </w:trPr>
        <w:tc>
          <w:tcPr>
            <w:tcW w:w="4650" w:type="dxa"/>
          </w:tcPr>
          <w:p w14:paraId="05B8C10C" w14:textId="77777777" w:rsidR="00BE5B13" w:rsidRPr="006774D3" w:rsidRDefault="00BE5B13" w:rsidP="00F77C66">
            <w:pPr>
              <w:rPr>
                <w:b/>
                <w:color w:val="000000"/>
                <w:sz w:val="22"/>
                <w:szCs w:val="22"/>
              </w:rPr>
            </w:pPr>
            <w:r w:rsidRPr="006774D3">
              <w:rPr>
                <w:b/>
                <w:color w:val="000000"/>
                <w:sz w:val="22"/>
                <w:szCs w:val="22"/>
              </w:rPr>
              <w:t>България</w:t>
            </w:r>
          </w:p>
          <w:p w14:paraId="05B8C10D" w14:textId="77777777" w:rsidR="00BE5B13" w:rsidRPr="006774D3" w:rsidRDefault="00C7731A" w:rsidP="00F77C66">
            <w:pPr>
              <w:rPr>
                <w:color w:val="000000"/>
                <w:sz w:val="22"/>
                <w:szCs w:val="22"/>
              </w:rPr>
            </w:pPr>
            <w:r w:rsidRPr="006774D3">
              <w:rPr>
                <w:color w:val="000000"/>
                <w:sz w:val="22"/>
                <w:szCs w:val="22"/>
              </w:rPr>
              <w:t>Novartis Bulgaria EOOD</w:t>
            </w:r>
          </w:p>
          <w:p w14:paraId="05B8C10E" w14:textId="77777777" w:rsidR="00BE5B13" w:rsidRPr="006774D3" w:rsidRDefault="00BE5B13" w:rsidP="00F77C66">
            <w:pPr>
              <w:rPr>
                <w:color w:val="000000"/>
                <w:sz w:val="22"/>
                <w:szCs w:val="22"/>
              </w:rPr>
            </w:pPr>
            <w:r w:rsidRPr="006774D3">
              <w:rPr>
                <w:color w:val="000000"/>
                <w:sz w:val="22"/>
                <w:szCs w:val="22"/>
              </w:rPr>
              <w:t>Тел.: +359 2 489 98 28</w:t>
            </w:r>
          </w:p>
          <w:p w14:paraId="05B8C10F" w14:textId="77777777" w:rsidR="00BE5B13" w:rsidRPr="006774D3" w:rsidRDefault="00BE5B13" w:rsidP="00F77C66">
            <w:pPr>
              <w:rPr>
                <w:b/>
                <w:color w:val="000000"/>
                <w:sz w:val="22"/>
                <w:szCs w:val="22"/>
              </w:rPr>
            </w:pPr>
          </w:p>
        </w:tc>
        <w:tc>
          <w:tcPr>
            <w:tcW w:w="4650" w:type="dxa"/>
          </w:tcPr>
          <w:p w14:paraId="05B8C110" w14:textId="77777777" w:rsidR="00BE5B13" w:rsidRPr="006774D3" w:rsidRDefault="00BE5B13" w:rsidP="00F77C66">
            <w:pPr>
              <w:rPr>
                <w:b/>
                <w:color w:val="000000"/>
                <w:sz w:val="22"/>
                <w:szCs w:val="22"/>
              </w:rPr>
            </w:pPr>
            <w:r w:rsidRPr="006774D3">
              <w:rPr>
                <w:b/>
                <w:color w:val="000000"/>
                <w:sz w:val="22"/>
                <w:szCs w:val="22"/>
              </w:rPr>
              <w:t>Luxembourg/Luxemburg</w:t>
            </w:r>
          </w:p>
          <w:p w14:paraId="05B8C111" w14:textId="77777777" w:rsidR="00BE5B13" w:rsidRPr="006774D3" w:rsidRDefault="00BE5B13" w:rsidP="00F77C66">
            <w:pPr>
              <w:rPr>
                <w:color w:val="000000"/>
                <w:sz w:val="22"/>
                <w:szCs w:val="22"/>
              </w:rPr>
            </w:pPr>
            <w:r w:rsidRPr="006774D3">
              <w:rPr>
                <w:color w:val="000000"/>
                <w:sz w:val="22"/>
                <w:szCs w:val="22"/>
              </w:rPr>
              <w:t>Novartis Pharma N.V.</w:t>
            </w:r>
          </w:p>
          <w:p w14:paraId="05B8C112" w14:textId="77777777" w:rsidR="00BE5B13" w:rsidRPr="006774D3" w:rsidRDefault="00BE5B13" w:rsidP="00F77C66">
            <w:pPr>
              <w:rPr>
                <w:color w:val="000000"/>
                <w:sz w:val="22"/>
                <w:szCs w:val="22"/>
              </w:rPr>
            </w:pPr>
            <w:r w:rsidRPr="006774D3">
              <w:rPr>
                <w:color w:val="000000"/>
                <w:sz w:val="22"/>
                <w:szCs w:val="22"/>
              </w:rPr>
              <w:t>Tél/Tel: +32 2 246 16 11</w:t>
            </w:r>
          </w:p>
          <w:p w14:paraId="05B8C113" w14:textId="77777777" w:rsidR="00BE5B13" w:rsidRPr="006774D3" w:rsidRDefault="00BE5B13" w:rsidP="00F77C66">
            <w:pPr>
              <w:rPr>
                <w:color w:val="000000"/>
                <w:sz w:val="22"/>
                <w:szCs w:val="22"/>
              </w:rPr>
            </w:pPr>
          </w:p>
        </w:tc>
      </w:tr>
      <w:tr w:rsidR="00BE5B13" w:rsidRPr="006774D3" w14:paraId="05B8C11C" w14:textId="77777777" w:rsidTr="00B3755B">
        <w:trPr>
          <w:cantSplit/>
        </w:trPr>
        <w:tc>
          <w:tcPr>
            <w:tcW w:w="4650" w:type="dxa"/>
          </w:tcPr>
          <w:p w14:paraId="05B8C115" w14:textId="77777777" w:rsidR="00BE5B13" w:rsidRPr="006774D3" w:rsidRDefault="00BE5B13" w:rsidP="00F77C66">
            <w:pPr>
              <w:rPr>
                <w:b/>
                <w:color w:val="000000"/>
                <w:sz w:val="22"/>
                <w:szCs w:val="22"/>
              </w:rPr>
            </w:pPr>
            <w:r w:rsidRPr="006774D3">
              <w:rPr>
                <w:b/>
                <w:color w:val="000000"/>
                <w:sz w:val="22"/>
                <w:szCs w:val="22"/>
              </w:rPr>
              <w:t>Česká republika</w:t>
            </w:r>
          </w:p>
          <w:p w14:paraId="05B8C116" w14:textId="77777777" w:rsidR="00BE5B13" w:rsidRPr="006774D3" w:rsidRDefault="00BE5B13" w:rsidP="00F77C66">
            <w:pPr>
              <w:rPr>
                <w:color w:val="000000"/>
                <w:sz w:val="22"/>
                <w:szCs w:val="22"/>
              </w:rPr>
            </w:pPr>
            <w:r w:rsidRPr="006774D3">
              <w:rPr>
                <w:color w:val="000000"/>
                <w:sz w:val="22"/>
                <w:szCs w:val="22"/>
              </w:rPr>
              <w:t>Novartis s.r.o.</w:t>
            </w:r>
          </w:p>
          <w:p w14:paraId="05B8C117" w14:textId="77777777" w:rsidR="00BE5B13" w:rsidRPr="006774D3" w:rsidRDefault="00BE5B13" w:rsidP="00F77C66">
            <w:pPr>
              <w:rPr>
                <w:color w:val="000000"/>
                <w:sz w:val="22"/>
                <w:szCs w:val="22"/>
              </w:rPr>
            </w:pPr>
            <w:r w:rsidRPr="006774D3">
              <w:rPr>
                <w:color w:val="000000"/>
                <w:sz w:val="22"/>
                <w:szCs w:val="22"/>
              </w:rPr>
              <w:t>Tel: +420 225 775 111</w:t>
            </w:r>
          </w:p>
          <w:p w14:paraId="05B8C118" w14:textId="77777777" w:rsidR="00BE5B13" w:rsidRPr="006774D3" w:rsidRDefault="00BE5B13" w:rsidP="00F77C66">
            <w:pPr>
              <w:rPr>
                <w:b/>
                <w:color w:val="000000"/>
                <w:sz w:val="22"/>
                <w:szCs w:val="22"/>
              </w:rPr>
            </w:pPr>
          </w:p>
        </w:tc>
        <w:tc>
          <w:tcPr>
            <w:tcW w:w="4650" w:type="dxa"/>
          </w:tcPr>
          <w:p w14:paraId="05B8C119" w14:textId="77777777" w:rsidR="00BE5B13" w:rsidRPr="006774D3" w:rsidRDefault="00BE5B13" w:rsidP="00F77C66">
            <w:pPr>
              <w:rPr>
                <w:b/>
                <w:color w:val="000000"/>
                <w:sz w:val="22"/>
                <w:szCs w:val="22"/>
              </w:rPr>
            </w:pPr>
            <w:r w:rsidRPr="006774D3">
              <w:rPr>
                <w:b/>
                <w:color w:val="000000"/>
                <w:sz w:val="22"/>
                <w:szCs w:val="22"/>
              </w:rPr>
              <w:t>Magyarország</w:t>
            </w:r>
          </w:p>
          <w:p w14:paraId="05B8C11A" w14:textId="77777777" w:rsidR="00BE5B13" w:rsidRPr="006774D3" w:rsidRDefault="00BE5B13" w:rsidP="00F77C66">
            <w:pPr>
              <w:rPr>
                <w:color w:val="000000"/>
                <w:sz w:val="22"/>
                <w:szCs w:val="22"/>
              </w:rPr>
            </w:pPr>
            <w:r w:rsidRPr="006774D3">
              <w:rPr>
                <w:color w:val="000000"/>
                <w:sz w:val="22"/>
                <w:szCs w:val="22"/>
              </w:rPr>
              <w:t>Novartis Hungária Kft.</w:t>
            </w:r>
          </w:p>
          <w:p w14:paraId="05B8C11B" w14:textId="77777777" w:rsidR="00BE5B13" w:rsidRPr="006774D3" w:rsidRDefault="00BE5B13" w:rsidP="00F77C66">
            <w:pPr>
              <w:rPr>
                <w:color w:val="000000"/>
                <w:sz w:val="22"/>
                <w:szCs w:val="22"/>
              </w:rPr>
            </w:pPr>
            <w:r w:rsidRPr="006774D3">
              <w:rPr>
                <w:color w:val="000000"/>
                <w:sz w:val="22"/>
                <w:szCs w:val="22"/>
              </w:rPr>
              <w:t>Tel.: +36 1 457 65 00</w:t>
            </w:r>
          </w:p>
        </w:tc>
      </w:tr>
      <w:tr w:rsidR="00BE5B13" w:rsidRPr="006774D3" w14:paraId="05B8C124" w14:textId="77777777" w:rsidTr="00B3755B">
        <w:trPr>
          <w:cantSplit/>
        </w:trPr>
        <w:tc>
          <w:tcPr>
            <w:tcW w:w="4650" w:type="dxa"/>
          </w:tcPr>
          <w:p w14:paraId="05B8C11D" w14:textId="77777777" w:rsidR="00BE5B13" w:rsidRPr="006774D3" w:rsidRDefault="00BE5B13" w:rsidP="00F77C66">
            <w:pPr>
              <w:rPr>
                <w:b/>
                <w:color w:val="000000"/>
                <w:sz w:val="22"/>
                <w:szCs w:val="22"/>
              </w:rPr>
            </w:pPr>
            <w:r w:rsidRPr="006774D3">
              <w:rPr>
                <w:b/>
                <w:color w:val="000000"/>
                <w:sz w:val="22"/>
                <w:szCs w:val="22"/>
              </w:rPr>
              <w:t>Danmark</w:t>
            </w:r>
          </w:p>
          <w:p w14:paraId="05B8C11E" w14:textId="77777777" w:rsidR="00BE5B13" w:rsidRPr="006774D3" w:rsidRDefault="00BE5B13" w:rsidP="00F77C66">
            <w:pPr>
              <w:rPr>
                <w:color w:val="000000"/>
                <w:sz w:val="22"/>
                <w:szCs w:val="22"/>
              </w:rPr>
            </w:pPr>
            <w:r w:rsidRPr="006774D3">
              <w:rPr>
                <w:color w:val="000000"/>
                <w:sz w:val="22"/>
                <w:szCs w:val="22"/>
              </w:rPr>
              <w:t>Novartis Healthcare A/S</w:t>
            </w:r>
          </w:p>
          <w:p w14:paraId="05B8C11F" w14:textId="77777777" w:rsidR="00BE5B13" w:rsidRPr="006774D3" w:rsidRDefault="00BE5B13" w:rsidP="00F77C66">
            <w:pPr>
              <w:rPr>
                <w:color w:val="000000"/>
                <w:sz w:val="22"/>
                <w:szCs w:val="22"/>
              </w:rPr>
            </w:pPr>
            <w:r w:rsidRPr="006774D3">
              <w:rPr>
                <w:color w:val="000000"/>
                <w:sz w:val="22"/>
                <w:szCs w:val="22"/>
              </w:rPr>
              <w:t>Tlf: +45 39 16 84 00</w:t>
            </w:r>
          </w:p>
          <w:p w14:paraId="05B8C120" w14:textId="77777777" w:rsidR="00BE5B13" w:rsidRPr="006774D3" w:rsidRDefault="00BE5B13" w:rsidP="00F77C66">
            <w:pPr>
              <w:rPr>
                <w:b/>
                <w:color w:val="000000"/>
                <w:sz w:val="22"/>
                <w:szCs w:val="22"/>
              </w:rPr>
            </w:pPr>
          </w:p>
        </w:tc>
        <w:tc>
          <w:tcPr>
            <w:tcW w:w="4650" w:type="dxa"/>
          </w:tcPr>
          <w:p w14:paraId="05B8C121" w14:textId="77777777" w:rsidR="00BE5B13" w:rsidRPr="006774D3" w:rsidRDefault="00BE5B13" w:rsidP="00F77C66">
            <w:pPr>
              <w:rPr>
                <w:b/>
                <w:color w:val="000000"/>
                <w:sz w:val="22"/>
                <w:szCs w:val="22"/>
              </w:rPr>
            </w:pPr>
            <w:r w:rsidRPr="006774D3">
              <w:rPr>
                <w:b/>
                <w:color w:val="000000"/>
                <w:sz w:val="22"/>
                <w:szCs w:val="22"/>
              </w:rPr>
              <w:t>Malta</w:t>
            </w:r>
          </w:p>
          <w:p w14:paraId="05B8C122" w14:textId="77777777" w:rsidR="00BE5B13" w:rsidRPr="006774D3" w:rsidRDefault="00BE5B13" w:rsidP="00F77C66">
            <w:pPr>
              <w:rPr>
                <w:color w:val="000000"/>
                <w:sz w:val="22"/>
                <w:szCs w:val="22"/>
              </w:rPr>
            </w:pPr>
            <w:r w:rsidRPr="006774D3">
              <w:rPr>
                <w:color w:val="000000"/>
                <w:sz w:val="22"/>
                <w:szCs w:val="22"/>
              </w:rPr>
              <w:t>Novartis Pharma Services Inc.</w:t>
            </w:r>
          </w:p>
          <w:p w14:paraId="05B8C123" w14:textId="77777777" w:rsidR="00BE5B13" w:rsidRPr="006774D3" w:rsidRDefault="00BE5B13" w:rsidP="00F77C66">
            <w:pPr>
              <w:rPr>
                <w:color w:val="000000"/>
                <w:sz w:val="22"/>
                <w:szCs w:val="22"/>
              </w:rPr>
            </w:pPr>
            <w:r w:rsidRPr="006774D3">
              <w:rPr>
                <w:color w:val="000000"/>
                <w:sz w:val="22"/>
                <w:szCs w:val="22"/>
              </w:rPr>
              <w:t>Tel: +356 2122 2872</w:t>
            </w:r>
          </w:p>
        </w:tc>
      </w:tr>
      <w:tr w:rsidR="00BE5B13" w:rsidRPr="006774D3" w14:paraId="05B8C12C" w14:textId="77777777" w:rsidTr="00B3755B">
        <w:trPr>
          <w:cantSplit/>
        </w:trPr>
        <w:tc>
          <w:tcPr>
            <w:tcW w:w="4650" w:type="dxa"/>
          </w:tcPr>
          <w:p w14:paraId="05B8C125" w14:textId="77777777" w:rsidR="00BE5B13" w:rsidRPr="006774D3" w:rsidRDefault="00BE5B13" w:rsidP="00F77C66">
            <w:pPr>
              <w:rPr>
                <w:b/>
                <w:color w:val="000000"/>
                <w:sz w:val="22"/>
                <w:szCs w:val="22"/>
              </w:rPr>
            </w:pPr>
            <w:r w:rsidRPr="006774D3">
              <w:rPr>
                <w:b/>
                <w:color w:val="000000"/>
                <w:sz w:val="22"/>
                <w:szCs w:val="22"/>
              </w:rPr>
              <w:t>Deutschland</w:t>
            </w:r>
          </w:p>
          <w:p w14:paraId="05B8C126" w14:textId="77777777" w:rsidR="00BE5B13" w:rsidRPr="006774D3" w:rsidRDefault="00BE5B13" w:rsidP="00F77C66">
            <w:pPr>
              <w:rPr>
                <w:color w:val="000000"/>
                <w:sz w:val="22"/>
                <w:szCs w:val="22"/>
              </w:rPr>
            </w:pPr>
            <w:r w:rsidRPr="006774D3">
              <w:rPr>
                <w:color w:val="000000"/>
                <w:sz w:val="22"/>
                <w:szCs w:val="22"/>
              </w:rPr>
              <w:t>Novartis Pharma GmbH</w:t>
            </w:r>
          </w:p>
          <w:p w14:paraId="05B8C127" w14:textId="77777777" w:rsidR="00BE5B13" w:rsidRPr="006774D3" w:rsidRDefault="00BE5B13" w:rsidP="00F77C66">
            <w:pPr>
              <w:rPr>
                <w:color w:val="000000"/>
                <w:sz w:val="22"/>
                <w:szCs w:val="22"/>
              </w:rPr>
            </w:pPr>
            <w:r w:rsidRPr="006774D3">
              <w:rPr>
                <w:color w:val="000000"/>
                <w:sz w:val="22"/>
                <w:szCs w:val="22"/>
              </w:rPr>
              <w:t>Tel: +49 911 273 0</w:t>
            </w:r>
          </w:p>
          <w:p w14:paraId="05B8C128" w14:textId="77777777" w:rsidR="00BE5B13" w:rsidRPr="006774D3" w:rsidRDefault="00BE5B13" w:rsidP="00F77C66">
            <w:pPr>
              <w:rPr>
                <w:b/>
                <w:color w:val="000000"/>
                <w:sz w:val="22"/>
                <w:szCs w:val="22"/>
              </w:rPr>
            </w:pPr>
          </w:p>
        </w:tc>
        <w:tc>
          <w:tcPr>
            <w:tcW w:w="4650" w:type="dxa"/>
          </w:tcPr>
          <w:p w14:paraId="05B8C129" w14:textId="77777777" w:rsidR="00BE5B13" w:rsidRPr="006774D3" w:rsidRDefault="00BE5B13" w:rsidP="00F77C66">
            <w:pPr>
              <w:rPr>
                <w:b/>
                <w:color w:val="000000"/>
                <w:sz w:val="22"/>
                <w:szCs w:val="22"/>
              </w:rPr>
            </w:pPr>
            <w:r w:rsidRPr="006774D3">
              <w:rPr>
                <w:b/>
                <w:color w:val="000000"/>
                <w:sz w:val="22"/>
                <w:szCs w:val="22"/>
              </w:rPr>
              <w:t>Nederland</w:t>
            </w:r>
          </w:p>
          <w:p w14:paraId="05B8C12A" w14:textId="77777777" w:rsidR="00BE5B13" w:rsidRPr="00C62B6C" w:rsidRDefault="00BE5B13" w:rsidP="00F77C66">
            <w:pPr>
              <w:rPr>
                <w:color w:val="000000"/>
                <w:sz w:val="22"/>
                <w:szCs w:val="22"/>
              </w:rPr>
            </w:pPr>
            <w:r w:rsidRPr="00C62B6C">
              <w:rPr>
                <w:color w:val="000000"/>
                <w:sz w:val="22"/>
                <w:szCs w:val="22"/>
              </w:rPr>
              <w:t>Novartis Pharma B.V.</w:t>
            </w:r>
          </w:p>
          <w:p w14:paraId="05B8C12B" w14:textId="63E974B2" w:rsidR="00BE5B13" w:rsidRPr="006774D3" w:rsidRDefault="00BE5B13" w:rsidP="00F77C66">
            <w:pPr>
              <w:rPr>
                <w:color w:val="000000"/>
                <w:sz w:val="22"/>
                <w:szCs w:val="22"/>
              </w:rPr>
            </w:pPr>
            <w:r w:rsidRPr="00C62B6C">
              <w:rPr>
                <w:color w:val="000000"/>
                <w:sz w:val="22"/>
                <w:szCs w:val="22"/>
              </w:rPr>
              <w:t xml:space="preserve">Tel: +31 </w:t>
            </w:r>
            <w:r w:rsidR="006774D3" w:rsidRPr="00C62B6C">
              <w:rPr>
                <w:color w:val="000000"/>
                <w:sz w:val="22"/>
                <w:szCs w:val="22"/>
                <w:lang w:val="de-CH"/>
              </w:rPr>
              <w:t>88 04 52</w:t>
            </w:r>
            <w:r w:rsidR="006774D3" w:rsidRPr="00C62B6C">
              <w:rPr>
                <w:color w:val="000000"/>
                <w:sz w:val="22"/>
                <w:szCs w:val="22"/>
              </w:rPr>
              <w:t xml:space="preserve"> </w:t>
            </w:r>
            <w:r w:rsidR="00084587" w:rsidRPr="00C62B6C">
              <w:rPr>
                <w:color w:val="000000"/>
                <w:sz w:val="22"/>
                <w:szCs w:val="22"/>
              </w:rPr>
              <w:t>555</w:t>
            </w:r>
          </w:p>
        </w:tc>
      </w:tr>
      <w:tr w:rsidR="00BE5B13" w:rsidRPr="006774D3" w14:paraId="05B8C134" w14:textId="77777777" w:rsidTr="00B3755B">
        <w:trPr>
          <w:cantSplit/>
        </w:trPr>
        <w:tc>
          <w:tcPr>
            <w:tcW w:w="4650" w:type="dxa"/>
          </w:tcPr>
          <w:p w14:paraId="05B8C12D" w14:textId="77777777" w:rsidR="00BE5B13" w:rsidRPr="006774D3" w:rsidRDefault="00BE5B13" w:rsidP="00F77C66">
            <w:pPr>
              <w:rPr>
                <w:b/>
                <w:color w:val="000000"/>
                <w:sz w:val="22"/>
                <w:szCs w:val="22"/>
              </w:rPr>
            </w:pPr>
            <w:r w:rsidRPr="006774D3">
              <w:rPr>
                <w:b/>
                <w:color w:val="000000"/>
                <w:sz w:val="22"/>
                <w:szCs w:val="22"/>
              </w:rPr>
              <w:lastRenderedPageBreak/>
              <w:t>Eesti</w:t>
            </w:r>
          </w:p>
          <w:p w14:paraId="05B8C12E" w14:textId="77777777" w:rsidR="00BE5B13" w:rsidRPr="006774D3" w:rsidRDefault="00DB085C" w:rsidP="00F77C66">
            <w:pPr>
              <w:rPr>
                <w:color w:val="000000"/>
                <w:sz w:val="22"/>
                <w:szCs w:val="22"/>
              </w:rPr>
            </w:pPr>
            <w:r w:rsidRPr="006774D3">
              <w:rPr>
                <w:color w:val="000000"/>
                <w:sz w:val="22"/>
                <w:szCs w:val="22"/>
              </w:rPr>
              <w:t>SIA Novartis Baltics Eesti filiaal</w:t>
            </w:r>
          </w:p>
          <w:p w14:paraId="05B8C12F" w14:textId="77777777" w:rsidR="00BE5B13" w:rsidRPr="006774D3" w:rsidRDefault="00BE5B13" w:rsidP="00F77C66">
            <w:pPr>
              <w:rPr>
                <w:color w:val="000000"/>
                <w:sz w:val="22"/>
                <w:szCs w:val="22"/>
              </w:rPr>
            </w:pPr>
            <w:r w:rsidRPr="006774D3">
              <w:rPr>
                <w:color w:val="000000"/>
                <w:sz w:val="22"/>
                <w:szCs w:val="22"/>
              </w:rPr>
              <w:t>Tel: +372 66 30 810</w:t>
            </w:r>
          </w:p>
          <w:p w14:paraId="05B8C130" w14:textId="77777777" w:rsidR="00BE5B13" w:rsidRPr="006774D3" w:rsidRDefault="00BE5B13" w:rsidP="00F77C66">
            <w:pPr>
              <w:rPr>
                <w:b/>
                <w:color w:val="000000"/>
                <w:sz w:val="22"/>
                <w:szCs w:val="22"/>
              </w:rPr>
            </w:pPr>
          </w:p>
        </w:tc>
        <w:tc>
          <w:tcPr>
            <w:tcW w:w="4650" w:type="dxa"/>
          </w:tcPr>
          <w:p w14:paraId="05B8C131" w14:textId="77777777" w:rsidR="00BE5B13" w:rsidRPr="006774D3" w:rsidRDefault="00BE5B13" w:rsidP="00F77C66">
            <w:pPr>
              <w:rPr>
                <w:b/>
                <w:color w:val="000000"/>
                <w:sz w:val="22"/>
                <w:szCs w:val="22"/>
              </w:rPr>
            </w:pPr>
            <w:r w:rsidRPr="006774D3">
              <w:rPr>
                <w:b/>
                <w:color w:val="000000"/>
                <w:sz w:val="22"/>
                <w:szCs w:val="22"/>
              </w:rPr>
              <w:t>Norge</w:t>
            </w:r>
          </w:p>
          <w:p w14:paraId="05B8C132" w14:textId="77777777" w:rsidR="00BE5B13" w:rsidRPr="006774D3" w:rsidRDefault="00BE5B13" w:rsidP="00F77C66">
            <w:pPr>
              <w:rPr>
                <w:color w:val="000000"/>
                <w:sz w:val="22"/>
                <w:szCs w:val="22"/>
              </w:rPr>
            </w:pPr>
            <w:r w:rsidRPr="006774D3">
              <w:rPr>
                <w:color w:val="000000"/>
                <w:sz w:val="22"/>
                <w:szCs w:val="22"/>
              </w:rPr>
              <w:t>Novartis Norge AS</w:t>
            </w:r>
          </w:p>
          <w:p w14:paraId="05B8C133" w14:textId="77777777" w:rsidR="00BE5B13" w:rsidRPr="006774D3" w:rsidRDefault="00BE5B13" w:rsidP="00F77C66">
            <w:pPr>
              <w:rPr>
                <w:color w:val="000000"/>
                <w:sz w:val="22"/>
                <w:szCs w:val="22"/>
              </w:rPr>
            </w:pPr>
            <w:r w:rsidRPr="006774D3">
              <w:rPr>
                <w:color w:val="000000"/>
                <w:sz w:val="22"/>
                <w:szCs w:val="22"/>
              </w:rPr>
              <w:t>Tlf: +47 23 05 20 00</w:t>
            </w:r>
          </w:p>
        </w:tc>
      </w:tr>
      <w:tr w:rsidR="00BE5B13" w:rsidRPr="006774D3" w14:paraId="05B8C13C" w14:textId="77777777" w:rsidTr="00B3755B">
        <w:trPr>
          <w:cantSplit/>
        </w:trPr>
        <w:tc>
          <w:tcPr>
            <w:tcW w:w="4650" w:type="dxa"/>
          </w:tcPr>
          <w:p w14:paraId="05B8C135" w14:textId="77777777" w:rsidR="00BE5B13" w:rsidRPr="006774D3" w:rsidRDefault="00BE5B13" w:rsidP="00F77C66">
            <w:pPr>
              <w:rPr>
                <w:b/>
                <w:color w:val="000000"/>
                <w:sz w:val="22"/>
                <w:szCs w:val="22"/>
              </w:rPr>
            </w:pPr>
            <w:r w:rsidRPr="006774D3">
              <w:rPr>
                <w:b/>
                <w:color w:val="000000"/>
                <w:sz w:val="22"/>
                <w:szCs w:val="22"/>
              </w:rPr>
              <w:t>Ελλάδα</w:t>
            </w:r>
          </w:p>
          <w:p w14:paraId="05B8C136" w14:textId="77777777" w:rsidR="00BE5B13" w:rsidRPr="006774D3" w:rsidRDefault="00BE5B13" w:rsidP="00F77C66">
            <w:pPr>
              <w:rPr>
                <w:color w:val="000000"/>
                <w:sz w:val="22"/>
                <w:szCs w:val="22"/>
              </w:rPr>
            </w:pPr>
            <w:r w:rsidRPr="006774D3">
              <w:rPr>
                <w:color w:val="000000"/>
                <w:sz w:val="22"/>
                <w:szCs w:val="22"/>
              </w:rPr>
              <w:t>Novartis (Hellas) A.E.B.E.</w:t>
            </w:r>
          </w:p>
          <w:p w14:paraId="05B8C137" w14:textId="77777777" w:rsidR="00BE5B13" w:rsidRPr="006774D3" w:rsidRDefault="00BE5B13" w:rsidP="00F77C66">
            <w:pPr>
              <w:rPr>
                <w:color w:val="000000"/>
                <w:sz w:val="22"/>
                <w:szCs w:val="22"/>
              </w:rPr>
            </w:pPr>
            <w:r w:rsidRPr="006774D3">
              <w:rPr>
                <w:color w:val="000000"/>
                <w:sz w:val="22"/>
                <w:szCs w:val="22"/>
              </w:rPr>
              <w:t>Τηλ: +30 210 281 17 12</w:t>
            </w:r>
          </w:p>
          <w:p w14:paraId="05B8C138" w14:textId="77777777" w:rsidR="00BE5B13" w:rsidRPr="006774D3" w:rsidRDefault="00BE5B13" w:rsidP="00F77C66">
            <w:pPr>
              <w:rPr>
                <w:b/>
                <w:color w:val="000000"/>
                <w:sz w:val="22"/>
                <w:szCs w:val="22"/>
              </w:rPr>
            </w:pPr>
          </w:p>
        </w:tc>
        <w:tc>
          <w:tcPr>
            <w:tcW w:w="4650" w:type="dxa"/>
          </w:tcPr>
          <w:p w14:paraId="05B8C139" w14:textId="77777777" w:rsidR="00BE5B13" w:rsidRPr="006774D3" w:rsidRDefault="00BE5B13" w:rsidP="00F77C66">
            <w:pPr>
              <w:rPr>
                <w:b/>
                <w:color w:val="000000"/>
                <w:sz w:val="22"/>
                <w:szCs w:val="22"/>
              </w:rPr>
            </w:pPr>
            <w:r w:rsidRPr="006774D3">
              <w:rPr>
                <w:b/>
                <w:color w:val="000000"/>
                <w:sz w:val="22"/>
                <w:szCs w:val="22"/>
              </w:rPr>
              <w:t>Österreich</w:t>
            </w:r>
          </w:p>
          <w:p w14:paraId="05B8C13A" w14:textId="77777777" w:rsidR="00BE5B13" w:rsidRPr="006774D3" w:rsidRDefault="00BE5B13" w:rsidP="00F77C66">
            <w:pPr>
              <w:rPr>
                <w:color w:val="000000"/>
                <w:sz w:val="22"/>
                <w:szCs w:val="22"/>
              </w:rPr>
            </w:pPr>
            <w:r w:rsidRPr="006774D3">
              <w:rPr>
                <w:color w:val="000000"/>
                <w:sz w:val="22"/>
                <w:szCs w:val="22"/>
              </w:rPr>
              <w:t>Novartis Pharma GmbH</w:t>
            </w:r>
          </w:p>
          <w:p w14:paraId="05B8C13B" w14:textId="77777777" w:rsidR="00BE5B13" w:rsidRPr="006774D3" w:rsidRDefault="00BE5B13" w:rsidP="00F77C66">
            <w:pPr>
              <w:rPr>
                <w:color w:val="000000"/>
                <w:sz w:val="22"/>
                <w:szCs w:val="22"/>
              </w:rPr>
            </w:pPr>
            <w:r w:rsidRPr="006774D3">
              <w:rPr>
                <w:color w:val="000000"/>
                <w:sz w:val="22"/>
                <w:szCs w:val="22"/>
              </w:rPr>
              <w:t>Tel: +43 1 86 6570</w:t>
            </w:r>
          </w:p>
        </w:tc>
      </w:tr>
      <w:tr w:rsidR="00BE5B13" w:rsidRPr="006774D3" w14:paraId="05B8C144" w14:textId="77777777" w:rsidTr="00B3755B">
        <w:trPr>
          <w:cantSplit/>
        </w:trPr>
        <w:tc>
          <w:tcPr>
            <w:tcW w:w="4650" w:type="dxa"/>
          </w:tcPr>
          <w:p w14:paraId="05B8C13D" w14:textId="77777777" w:rsidR="00BE5B13" w:rsidRPr="006774D3" w:rsidRDefault="00BE5B13" w:rsidP="00F77C66">
            <w:pPr>
              <w:rPr>
                <w:b/>
                <w:color w:val="000000"/>
                <w:sz w:val="22"/>
                <w:szCs w:val="22"/>
              </w:rPr>
            </w:pPr>
            <w:r w:rsidRPr="006774D3">
              <w:rPr>
                <w:b/>
                <w:color w:val="000000"/>
                <w:sz w:val="22"/>
                <w:szCs w:val="22"/>
              </w:rPr>
              <w:t>España</w:t>
            </w:r>
          </w:p>
          <w:p w14:paraId="05B8C13E" w14:textId="77777777" w:rsidR="00BE5B13" w:rsidRPr="006774D3" w:rsidRDefault="00BE5B13" w:rsidP="00F77C66">
            <w:pPr>
              <w:rPr>
                <w:color w:val="000000"/>
                <w:sz w:val="22"/>
                <w:szCs w:val="22"/>
              </w:rPr>
            </w:pPr>
            <w:r w:rsidRPr="006774D3">
              <w:rPr>
                <w:color w:val="000000"/>
                <w:sz w:val="22"/>
                <w:szCs w:val="22"/>
              </w:rPr>
              <w:t>Novartis Farmacéutica, S.A.</w:t>
            </w:r>
          </w:p>
          <w:p w14:paraId="05B8C13F" w14:textId="77777777" w:rsidR="00BE5B13" w:rsidRPr="006774D3" w:rsidRDefault="00BE5B13" w:rsidP="00F77C66">
            <w:pPr>
              <w:rPr>
                <w:color w:val="000000"/>
                <w:sz w:val="22"/>
                <w:szCs w:val="22"/>
              </w:rPr>
            </w:pPr>
            <w:r w:rsidRPr="006774D3">
              <w:rPr>
                <w:color w:val="000000"/>
                <w:sz w:val="22"/>
                <w:szCs w:val="22"/>
              </w:rPr>
              <w:t>Tel: +34 93 306 42 00</w:t>
            </w:r>
          </w:p>
          <w:p w14:paraId="05B8C140" w14:textId="77777777" w:rsidR="00BE5B13" w:rsidRPr="006774D3" w:rsidRDefault="00BE5B13" w:rsidP="00F77C66">
            <w:pPr>
              <w:rPr>
                <w:b/>
                <w:color w:val="000000"/>
                <w:sz w:val="22"/>
                <w:szCs w:val="22"/>
              </w:rPr>
            </w:pPr>
          </w:p>
        </w:tc>
        <w:tc>
          <w:tcPr>
            <w:tcW w:w="4650" w:type="dxa"/>
          </w:tcPr>
          <w:p w14:paraId="05B8C141" w14:textId="77777777" w:rsidR="00BE5B13" w:rsidRPr="006774D3" w:rsidRDefault="00BE5B13" w:rsidP="00F77C66">
            <w:pPr>
              <w:rPr>
                <w:b/>
                <w:color w:val="000000"/>
                <w:sz w:val="22"/>
                <w:szCs w:val="22"/>
              </w:rPr>
            </w:pPr>
            <w:r w:rsidRPr="006774D3">
              <w:rPr>
                <w:b/>
                <w:color w:val="000000"/>
                <w:sz w:val="22"/>
                <w:szCs w:val="22"/>
              </w:rPr>
              <w:t>Polska</w:t>
            </w:r>
          </w:p>
          <w:p w14:paraId="05B8C142" w14:textId="77777777" w:rsidR="00BE5B13" w:rsidRPr="006774D3" w:rsidRDefault="00BE5B13" w:rsidP="00F77C66">
            <w:pPr>
              <w:rPr>
                <w:color w:val="000000"/>
                <w:sz w:val="22"/>
                <w:szCs w:val="22"/>
              </w:rPr>
            </w:pPr>
            <w:r w:rsidRPr="006774D3">
              <w:rPr>
                <w:color w:val="000000"/>
                <w:sz w:val="22"/>
                <w:szCs w:val="22"/>
              </w:rPr>
              <w:t>Novartis Poland Sp. z o.o.</w:t>
            </w:r>
          </w:p>
          <w:p w14:paraId="05B8C143" w14:textId="77777777" w:rsidR="00BE5B13" w:rsidRPr="006774D3" w:rsidRDefault="00BE5B13" w:rsidP="00F77C66">
            <w:pPr>
              <w:rPr>
                <w:color w:val="000000"/>
                <w:sz w:val="22"/>
                <w:szCs w:val="22"/>
              </w:rPr>
            </w:pPr>
            <w:r w:rsidRPr="006774D3">
              <w:rPr>
                <w:color w:val="000000"/>
                <w:sz w:val="22"/>
                <w:szCs w:val="22"/>
              </w:rPr>
              <w:t xml:space="preserve">Tel.: +48 22 </w:t>
            </w:r>
            <w:r w:rsidRPr="006774D3">
              <w:rPr>
                <w:sz w:val="22"/>
                <w:szCs w:val="22"/>
              </w:rPr>
              <w:t>375 4888</w:t>
            </w:r>
          </w:p>
        </w:tc>
      </w:tr>
      <w:tr w:rsidR="00BE5B13" w:rsidRPr="006774D3" w14:paraId="05B8C14C" w14:textId="77777777" w:rsidTr="00B3755B">
        <w:trPr>
          <w:cantSplit/>
        </w:trPr>
        <w:tc>
          <w:tcPr>
            <w:tcW w:w="4650" w:type="dxa"/>
          </w:tcPr>
          <w:p w14:paraId="05B8C145" w14:textId="77777777" w:rsidR="00BE5B13" w:rsidRPr="006774D3" w:rsidRDefault="00BE5B13" w:rsidP="00F77C66">
            <w:pPr>
              <w:rPr>
                <w:b/>
                <w:color w:val="000000"/>
                <w:sz w:val="22"/>
                <w:szCs w:val="22"/>
              </w:rPr>
            </w:pPr>
            <w:r w:rsidRPr="006774D3">
              <w:rPr>
                <w:b/>
                <w:color w:val="000000"/>
                <w:sz w:val="22"/>
                <w:szCs w:val="22"/>
              </w:rPr>
              <w:t>France</w:t>
            </w:r>
          </w:p>
          <w:p w14:paraId="05B8C146" w14:textId="77777777" w:rsidR="00BE5B13" w:rsidRPr="006774D3" w:rsidRDefault="00BE5B13" w:rsidP="00F77C66">
            <w:pPr>
              <w:rPr>
                <w:color w:val="000000"/>
                <w:sz w:val="22"/>
                <w:szCs w:val="22"/>
              </w:rPr>
            </w:pPr>
            <w:r w:rsidRPr="006774D3">
              <w:rPr>
                <w:color w:val="000000"/>
                <w:sz w:val="22"/>
                <w:szCs w:val="22"/>
              </w:rPr>
              <w:t>Novartis Pharma S.A.S.</w:t>
            </w:r>
          </w:p>
          <w:p w14:paraId="05B8C147" w14:textId="77777777" w:rsidR="00BE5B13" w:rsidRPr="006774D3" w:rsidRDefault="00BE5B13" w:rsidP="00F77C66">
            <w:pPr>
              <w:rPr>
                <w:color w:val="000000"/>
                <w:sz w:val="22"/>
                <w:szCs w:val="22"/>
              </w:rPr>
            </w:pPr>
            <w:r w:rsidRPr="006774D3">
              <w:rPr>
                <w:color w:val="000000"/>
                <w:sz w:val="22"/>
                <w:szCs w:val="22"/>
              </w:rPr>
              <w:t>Tél: +33 1 55 47 66 00</w:t>
            </w:r>
          </w:p>
          <w:p w14:paraId="05B8C148" w14:textId="77777777" w:rsidR="00BE5B13" w:rsidRPr="006774D3" w:rsidRDefault="00BE5B13" w:rsidP="00F77C66">
            <w:pPr>
              <w:rPr>
                <w:b/>
                <w:color w:val="000000"/>
                <w:sz w:val="22"/>
                <w:szCs w:val="22"/>
              </w:rPr>
            </w:pPr>
          </w:p>
        </w:tc>
        <w:tc>
          <w:tcPr>
            <w:tcW w:w="4650" w:type="dxa"/>
          </w:tcPr>
          <w:p w14:paraId="05B8C149" w14:textId="77777777" w:rsidR="00BE5B13" w:rsidRPr="006774D3" w:rsidRDefault="00BE5B13" w:rsidP="00F77C66">
            <w:pPr>
              <w:rPr>
                <w:b/>
                <w:color w:val="000000"/>
                <w:sz w:val="22"/>
                <w:szCs w:val="22"/>
              </w:rPr>
            </w:pPr>
            <w:r w:rsidRPr="006774D3">
              <w:rPr>
                <w:b/>
                <w:color w:val="000000"/>
                <w:sz w:val="22"/>
                <w:szCs w:val="22"/>
              </w:rPr>
              <w:t>Portugal</w:t>
            </w:r>
          </w:p>
          <w:p w14:paraId="05B8C14A" w14:textId="77777777" w:rsidR="00BE5B13" w:rsidRPr="006774D3" w:rsidRDefault="00BE5B13" w:rsidP="00F77C66">
            <w:pPr>
              <w:rPr>
                <w:color w:val="000000"/>
                <w:sz w:val="22"/>
                <w:szCs w:val="22"/>
              </w:rPr>
            </w:pPr>
            <w:r w:rsidRPr="006774D3">
              <w:rPr>
                <w:color w:val="000000"/>
                <w:sz w:val="22"/>
                <w:szCs w:val="22"/>
              </w:rPr>
              <w:t>Novartis Farma - Produtos Farmacêuticos, S.A.</w:t>
            </w:r>
          </w:p>
          <w:p w14:paraId="05B8C14B" w14:textId="77777777" w:rsidR="00BE5B13" w:rsidRPr="006774D3" w:rsidRDefault="00BE5B13" w:rsidP="00F77C66">
            <w:pPr>
              <w:rPr>
                <w:color w:val="000000"/>
                <w:sz w:val="22"/>
                <w:szCs w:val="22"/>
              </w:rPr>
            </w:pPr>
            <w:r w:rsidRPr="006774D3">
              <w:rPr>
                <w:color w:val="000000"/>
                <w:sz w:val="22"/>
                <w:szCs w:val="22"/>
              </w:rPr>
              <w:t>Tel: +351 21 000 8600</w:t>
            </w:r>
          </w:p>
        </w:tc>
      </w:tr>
      <w:tr w:rsidR="00BE5B13" w:rsidRPr="006774D3" w14:paraId="05B8C154" w14:textId="77777777" w:rsidTr="00B3755B">
        <w:trPr>
          <w:cantSplit/>
        </w:trPr>
        <w:tc>
          <w:tcPr>
            <w:tcW w:w="4650" w:type="dxa"/>
          </w:tcPr>
          <w:p w14:paraId="05B8C14D" w14:textId="77777777" w:rsidR="00BE5B13" w:rsidRPr="006774D3" w:rsidRDefault="00BE5B13" w:rsidP="00F77C66">
            <w:pPr>
              <w:rPr>
                <w:rFonts w:eastAsia="PMingLiU"/>
                <w:b/>
                <w:sz w:val="22"/>
                <w:szCs w:val="22"/>
              </w:rPr>
            </w:pPr>
            <w:r w:rsidRPr="006774D3">
              <w:rPr>
                <w:rFonts w:eastAsia="PMingLiU"/>
                <w:b/>
                <w:sz w:val="22"/>
                <w:szCs w:val="22"/>
              </w:rPr>
              <w:t>Hrvatska</w:t>
            </w:r>
          </w:p>
          <w:p w14:paraId="05B8C14E" w14:textId="77777777" w:rsidR="00BE5B13" w:rsidRPr="006774D3" w:rsidRDefault="00BE5B13" w:rsidP="00F77C66">
            <w:pPr>
              <w:rPr>
                <w:sz w:val="22"/>
                <w:szCs w:val="22"/>
              </w:rPr>
            </w:pPr>
            <w:r w:rsidRPr="006774D3">
              <w:rPr>
                <w:sz w:val="22"/>
                <w:szCs w:val="22"/>
              </w:rPr>
              <w:t>Novartis Hrvatska d.o.o.</w:t>
            </w:r>
          </w:p>
          <w:p w14:paraId="05B8C14F" w14:textId="77777777" w:rsidR="00BE5B13" w:rsidRPr="006774D3" w:rsidRDefault="00BE5B13" w:rsidP="00F77C66">
            <w:pPr>
              <w:rPr>
                <w:sz w:val="22"/>
                <w:szCs w:val="22"/>
              </w:rPr>
            </w:pPr>
            <w:r w:rsidRPr="006774D3">
              <w:rPr>
                <w:sz w:val="22"/>
                <w:szCs w:val="22"/>
              </w:rPr>
              <w:t>Tel. +385 1 6274 220</w:t>
            </w:r>
          </w:p>
          <w:p w14:paraId="05B8C150" w14:textId="77777777" w:rsidR="00BE5B13" w:rsidRPr="006774D3" w:rsidRDefault="00BE5B13" w:rsidP="00F77C66">
            <w:pPr>
              <w:rPr>
                <w:b/>
                <w:color w:val="000000"/>
                <w:sz w:val="22"/>
                <w:szCs w:val="22"/>
              </w:rPr>
            </w:pPr>
          </w:p>
        </w:tc>
        <w:tc>
          <w:tcPr>
            <w:tcW w:w="4650" w:type="dxa"/>
          </w:tcPr>
          <w:p w14:paraId="05B8C151" w14:textId="77777777" w:rsidR="00BE5B13" w:rsidRPr="006774D3" w:rsidRDefault="00BE5B13" w:rsidP="00F77C66">
            <w:pPr>
              <w:rPr>
                <w:b/>
                <w:color w:val="000000"/>
                <w:sz w:val="22"/>
                <w:szCs w:val="22"/>
              </w:rPr>
            </w:pPr>
            <w:r w:rsidRPr="006774D3">
              <w:rPr>
                <w:b/>
                <w:color w:val="000000"/>
                <w:sz w:val="22"/>
                <w:szCs w:val="22"/>
              </w:rPr>
              <w:t>România</w:t>
            </w:r>
          </w:p>
          <w:p w14:paraId="05B8C152" w14:textId="77777777" w:rsidR="00BE5B13" w:rsidRPr="006774D3" w:rsidRDefault="00BE5B13" w:rsidP="00F77C66">
            <w:pPr>
              <w:rPr>
                <w:color w:val="000000"/>
                <w:sz w:val="22"/>
                <w:szCs w:val="22"/>
              </w:rPr>
            </w:pPr>
            <w:r w:rsidRPr="006774D3">
              <w:rPr>
                <w:color w:val="000000"/>
                <w:sz w:val="22"/>
                <w:szCs w:val="22"/>
              </w:rPr>
              <w:t xml:space="preserve">Novartis Pharma Services </w:t>
            </w:r>
            <w:r w:rsidRPr="006774D3">
              <w:rPr>
                <w:color w:val="2F2F2F"/>
                <w:sz w:val="22"/>
                <w:szCs w:val="22"/>
              </w:rPr>
              <w:t>Romania SRL</w:t>
            </w:r>
          </w:p>
          <w:p w14:paraId="05B8C153" w14:textId="77777777" w:rsidR="00BE5B13" w:rsidRPr="006774D3" w:rsidRDefault="00BE5B13" w:rsidP="00F77C66">
            <w:pPr>
              <w:rPr>
                <w:color w:val="000000"/>
                <w:sz w:val="22"/>
                <w:szCs w:val="22"/>
              </w:rPr>
            </w:pPr>
            <w:r w:rsidRPr="006774D3">
              <w:rPr>
                <w:color w:val="000000"/>
                <w:sz w:val="22"/>
                <w:szCs w:val="22"/>
              </w:rPr>
              <w:t>Tel: +40 21 31299 01</w:t>
            </w:r>
          </w:p>
        </w:tc>
      </w:tr>
      <w:tr w:rsidR="00BE5B13" w:rsidRPr="006774D3" w14:paraId="05B8C15C" w14:textId="77777777" w:rsidTr="00B3755B">
        <w:trPr>
          <w:cantSplit/>
        </w:trPr>
        <w:tc>
          <w:tcPr>
            <w:tcW w:w="4650" w:type="dxa"/>
          </w:tcPr>
          <w:p w14:paraId="05B8C155" w14:textId="77777777" w:rsidR="00BE5B13" w:rsidRPr="006774D3" w:rsidRDefault="00BE5B13" w:rsidP="00F77C66">
            <w:pPr>
              <w:rPr>
                <w:b/>
                <w:color w:val="000000"/>
                <w:sz w:val="22"/>
                <w:szCs w:val="22"/>
              </w:rPr>
            </w:pPr>
            <w:r w:rsidRPr="006774D3">
              <w:rPr>
                <w:b/>
                <w:color w:val="000000"/>
                <w:sz w:val="22"/>
                <w:szCs w:val="22"/>
              </w:rPr>
              <w:t>Ireland</w:t>
            </w:r>
          </w:p>
          <w:p w14:paraId="05B8C156" w14:textId="77777777" w:rsidR="00BE5B13" w:rsidRPr="006774D3" w:rsidRDefault="00BE5B13" w:rsidP="00F77C66">
            <w:pPr>
              <w:rPr>
                <w:color w:val="000000"/>
                <w:sz w:val="22"/>
                <w:szCs w:val="22"/>
              </w:rPr>
            </w:pPr>
            <w:r w:rsidRPr="006774D3">
              <w:rPr>
                <w:color w:val="000000"/>
                <w:sz w:val="22"/>
                <w:szCs w:val="22"/>
              </w:rPr>
              <w:t>Novartis Ireland Limited</w:t>
            </w:r>
          </w:p>
          <w:p w14:paraId="05B8C157" w14:textId="77777777" w:rsidR="00BE5B13" w:rsidRPr="006774D3" w:rsidRDefault="00BE5B13" w:rsidP="00F77C66">
            <w:pPr>
              <w:rPr>
                <w:color w:val="000000"/>
                <w:sz w:val="22"/>
                <w:szCs w:val="22"/>
              </w:rPr>
            </w:pPr>
            <w:r w:rsidRPr="006774D3">
              <w:rPr>
                <w:color w:val="000000"/>
                <w:sz w:val="22"/>
                <w:szCs w:val="22"/>
              </w:rPr>
              <w:t>Tel: +353 1 260 12 55</w:t>
            </w:r>
          </w:p>
          <w:p w14:paraId="05B8C158" w14:textId="77777777" w:rsidR="00BE5B13" w:rsidRPr="006774D3" w:rsidRDefault="00BE5B13" w:rsidP="00F77C66">
            <w:pPr>
              <w:rPr>
                <w:b/>
                <w:color w:val="000000"/>
                <w:sz w:val="22"/>
                <w:szCs w:val="22"/>
              </w:rPr>
            </w:pPr>
          </w:p>
        </w:tc>
        <w:tc>
          <w:tcPr>
            <w:tcW w:w="4650" w:type="dxa"/>
          </w:tcPr>
          <w:p w14:paraId="05B8C159" w14:textId="77777777" w:rsidR="00BE5B13" w:rsidRPr="006774D3" w:rsidRDefault="00BE5B13" w:rsidP="00F77C66">
            <w:pPr>
              <w:rPr>
                <w:b/>
                <w:color w:val="000000"/>
                <w:sz w:val="22"/>
                <w:szCs w:val="22"/>
              </w:rPr>
            </w:pPr>
            <w:r w:rsidRPr="006774D3">
              <w:rPr>
                <w:b/>
                <w:color w:val="000000"/>
                <w:sz w:val="22"/>
                <w:szCs w:val="22"/>
              </w:rPr>
              <w:t>Slovenija</w:t>
            </w:r>
          </w:p>
          <w:p w14:paraId="05B8C15A" w14:textId="77777777" w:rsidR="00BE5B13" w:rsidRPr="006774D3" w:rsidRDefault="00BE5B13" w:rsidP="00F77C66">
            <w:pPr>
              <w:rPr>
                <w:color w:val="000000"/>
                <w:sz w:val="22"/>
                <w:szCs w:val="22"/>
              </w:rPr>
            </w:pPr>
            <w:r w:rsidRPr="006774D3">
              <w:rPr>
                <w:color w:val="000000"/>
                <w:sz w:val="22"/>
                <w:szCs w:val="22"/>
              </w:rPr>
              <w:t>Novartis Pharma Services Inc.</w:t>
            </w:r>
          </w:p>
          <w:p w14:paraId="05B8C15B" w14:textId="77777777" w:rsidR="00BE5B13" w:rsidRPr="006774D3" w:rsidRDefault="00BE5B13" w:rsidP="00F77C66">
            <w:pPr>
              <w:rPr>
                <w:color w:val="000000"/>
                <w:sz w:val="22"/>
                <w:szCs w:val="22"/>
              </w:rPr>
            </w:pPr>
            <w:r w:rsidRPr="006774D3">
              <w:rPr>
                <w:color w:val="000000"/>
                <w:sz w:val="22"/>
                <w:szCs w:val="22"/>
              </w:rPr>
              <w:t>Tel: +386 1 300 75 50</w:t>
            </w:r>
          </w:p>
        </w:tc>
      </w:tr>
      <w:tr w:rsidR="00BE5B13" w:rsidRPr="006774D3" w14:paraId="05B8C165" w14:textId="77777777" w:rsidTr="00B3755B">
        <w:trPr>
          <w:cantSplit/>
        </w:trPr>
        <w:tc>
          <w:tcPr>
            <w:tcW w:w="4650" w:type="dxa"/>
          </w:tcPr>
          <w:p w14:paraId="05B8C15D" w14:textId="77777777" w:rsidR="00BE5B13" w:rsidRPr="006774D3" w:rsidRDefault="00BE5B13" w:rsidP="00F77C66">
            <w:pPr>
              <w:rPr>
                <w:b/>
                <w:color w:val="000000"/>
                <w:sz w:val="22"/>
                <w:szCs w:val="22"/>
              </w:rPr>
            </w:pPr>
            <w:r w:rsidRPr="006774D3">
              <w:rPr>
                <w:b/>
                <w:color w:val="000000"/>
                <w:sz w:val="22"/>
                <w:szCs w:val="22"/>
              </w:rPr>
              <w:t>Ísland</w:t>
            </w:r>
          </w:p>
          <w:p w14:paraId="05B8C15E" w14:textId="77777777" w:rsidR="00BE5B13" w:rsidRPr="006774D3" w:rsidRDefault="00BE5B13" w:rsidP="00F77C66">
            <w:pPr>
              <w:rPr>
                <w:color w:val="000000"/>
                <w:sz w:val="22"/>
                <w:szCs w:val="22"/>
              </w:rPr>
            </w:pPr>
            <w:r w:rsidRPr="006774D3">
              <w:rPr>
                <w:color w:val="000000"/>
                <w:sz w:val="22"/>
                <w:szCs w:val="22"/>
              </w:rPr>
              <w:t>Vistor hf.</w:t>
            </w:r>
          </w:p>
          <w:p w14:paraId="05B8C15F" w14:textId="77777777" w:rsidR="00BE5B13" w:rsidRPr="006774D3" w:rsidRDefault="00BE5B13" w:rsidP="00F77C66">
            <w:pPr>
              <w:rPr>
                <w:color w:val="000000"/>
                <w:sz w:val="22"/>
                <w:szCs w:val="22"/>
              </w:rPr>
            </w:pPr>
            <w:r w:rsidRPr="006774D3">
              <w:rPr>
                <w:color w:val="000000"/>
                <w:sz w:val="22"/>
                <w:szCs w:val="22"/>
              </w:rPr>
              <w:t>Sími: +354 535 7000</w:t>
            </w:r>
          </w:p>
          <w:p w14:paraId="05B8C160" w14:textId="77777777" w:rsidR="00BE5B13" w:rsidRPr="006774D3" w:rsidRDefault="00BE5B13" w:rsidP="00F77C66">
            <w:pPr>
              <w:rPr>
                <w:b/>
                <w:color w:val="000000"/>
                <w:sz w:val="22"/>
                <w:szCs w:val="22"/>
              </w:rPr>
            </w:pPr>
          </w:p>
        </w:tc>
        <w:tc>
          <w:tcPr>
            <w:tcW w:w="4650" w:type="dxa"/>
          </w:tcPr>
          <w:p w14:paraId="05B8C161" w14:textId="77777777" w:rsidR="00BE5B13" w:rsidRPr="006774D3" w:rsidRDefault="00BE5B13" w:rsidP="00F77C66">
            <w:pPr>
              <w:rPr>
                <w:b/>
                <w:color w:val="000000"/>
                <w:sz w:val="22"/>
                <w:szCs w:val="22"/>
              </w:rPr>
            </w:pPr>
            <w:r w:rsidRPr="006774D3">
              <w:rPr>
                <w:b/>
                <w:color w:val="000000"/>
                <w:sz w:val="22"/>
                <w:szCs w:val="22"/>
              </w:rPr>
              <w:t>Slovenská republika</w:t>
            </w:r>
          </w:p>
          <w:p w14:paraId="05B8C162" w14:textId="77777777" w:rsidR="00BE5B13" w:rsidRPr="006774D3" w:rsidRDefault="00BE5B13" w:rsidP="00F77C66">
            <w:pPr>
              <w:rPr>
                <w:color w:val="000000"/>
                <w:sz w:val="22"/>
                <w:szCs w:val="22"/>
              </w:rPr>
            </w:pPr>
            <w:r w:rsidRPr="006774D3">
              <w:rPr>
                <w:color w:val="000000"/>
                <w:sz w:val="22"/>
                <w:szCs w:val="22"/>
              </w:rPr>
              <w:t>Novartis Slovakia s.r.o.</w:t>
            </w:r>
          </w:p>
          <w:p w14:paraId="05B8C163" w14:textId="77777777" w:rsidR="00BE5B13" w:rsidRPr="006774D3" w:rsidRDefault="00BE5B13" w:rsidP="00F77C66">
            <w:pPr>
              <w:rPr>
                <w:color w:val="000000"/>
                <w:sz w:val="22"/>
                <w:szCs w:val="22"/>
              </w:rPr>
            </w:pPr>
            <w:r w:rsidRPr="006774D3">
              <w:rPr>
                <w:color w:val="000000"/>
                <w:sz w:val="22"/>
                <w:szCs w:val="22"/>
              </w:rPr>
              <w:t>Tel: +421 2 5542 5439</w:t>
            </w:r>
          </w:p>
          <w:p w14:paraId="05B8C164" w14:textId="77777777" w:rsidR="00BE5B13" w:rsidRPr="006774D3" w:rsidRDefault="00BE5B13" w:rsidP="00F77C66">
            <w:pPr>
              <w:rPr>
                <w:color w:val="000000"/>
                <w:sz w:val="22"/>
                <w:szCs w:val="22"/>
              </w:rPr>
            </w:pPr>
          </w:p>
        </w:tc>
      </w:tr>
      <w:tr w:rsidR="00BE5B13" w:rsidRPr="006774D3" w14:paraId="05B8C16D" w14:textId="77777777" w:rsidTr="00B3755B">
        <w:trPr>
          <w:cantSplit/>
        </w:trPr>
        <w:tc>
          <w:tcPr>
            <w:tcW w:w="4650" w:type="dxa"/>
          </w:tcPr>
          <w:p w14:paraId="05B8C166" w14:textId="77777777" w:rsidR="00BE5B13" w:rsidRPr="006774D3" w:rsidRDefault="00BE5B13" w:rsidP="00F77C66">
            <w:pPr>
              <w:rPr>
                <w:b/>
                <w:color w:val="000000"/>
                <w:sz w:val="22"/>
                <w:szCs w:val="22"/>
              </w:rPr>
            </w:pPr>
            <w:r w:rsidRPr="006774D3">
              <w:rPr>
                <w:b/>
                <w:color w:val="000000"/>
                <w:sz w:val="22"/>
                <w:szCs w:val="22"/>
              </w:rPr>
              <w:t>Italia</w:t>
            </w:r>
          </w:p>
          <w:p w14:paraId="05B8C167" w14:textId="77777777" w:rsidR="00BE5B13" w:rsidRPr="006774D3" w:rsidRDefault="00BE5B13" w:rsidP="00F77C66">
            <w:pPr>
              <w:rPr>
                <w:color w:val="000000"/>
                <w:sz w:val="22"/>
                <w:szCs w:val="22"/>
              </w:rPr>
            </w:pPr>
            <w:r w:rsidRPr="006774D3">
              <w:rPr>
                <w:color w:val="000000"/>
                <w:sz w:val="22"/>
                <w:szCs w:val="22"/>
              </w:rPr>
              <w:t>Novartis Farma S.p.A.</w:t>
            </w:r>
          </w:p>
          <w:p w14:paraId="05B8C168" w14:textId="77777777" w:rsidR="00BE5B13" w:rsidRPr="006774D3" w:rsidRDefault="00BE5B13" w:rsidP="00F77C66">
            <w:pPr>
              <w:rPr>
                <w:b/>
                <w:color w:val="000000"/>
                <w:sz w:val="22"/>
                <w:szCs w:val="22"/>
              </w:rPr>
            </w:pPr>
            <w:r w:rsidRPr="006774D3">
              <w:rPr>
                <w:color w:val="000000"/>
                <w:sz w:val="22"/>
                <w:szCs w:val="22"/>
              </w:rPr>
              <w:t>Tel: +39 02 96 54 1</w:t>
            </w:r>
          </w:p>
        </w:tc>
        <w:tc>
          <w:tcPr>
            <w:tcW w:w="4650" w:type="dxa"/>
          </w:tcPr>
          <w:p w14:paraId="05B8C169" w14:textId="77777777" w:rsidR="00BE5B13" w:rsidRPr="006774D3" w:rsidRDefault="00BE5B13" w:rsidP="00F77C66">
            <w:pPr>
              <w:rPr>
                <w:b/>
                <w:color w:val="000000"/>
                <w:sz w:val="22"/>
                <w:szCs w:val="22"/>
              </w:rPr>
            </w:pPr>
            <w:r w:rsidRPr="006774D3">
              <w:rPr>
                <w:b/>
                <w:color w:val="000000"/>
                <w:sz w:val="22"/>
                <w:szCs w:val="22"/>
              </w:rPr>
              <w:t>Suomi/Finland</w:t>
            </w:r>
          </w:p>
          <w:p w14:paraId="05B8C16A" w14:textId="77777777" w:rsidR="00BE5B13" w:rsidRPr="006774D3" w:rsidRDefault="00BE5B13" w:rsidP="00F77C66">
            <w:pPr>
              <w:rPr>
                <w:color w:val="000000"/>
                <w:sz w:val="22"/>
                <w:szCs w:val="22"/>
              </w:rPr>
            </w:pPr>
            <w:r w:rsidRPr="006774D3">
              <w:rPr>
                <w:color w:val="000000"/>
                <w:sz w:val="22"/>
                <w:szCs w:val="22"/>
              </w:rPr>
              <w:t>Novartis Finland Oy</w:t>
            </w:r>
          </w:p>
          <w:p w14:paraId="05B8C16B" w14:textId="77777777" w:rsidR="00BE5B13" w:rsidRPr="006774D3" w:rsidRDefault="00BE5B13" w:rsidP="00F77C66">
            <w:pPr>
              <w:rPr>
                <w:color w:val="000000"/>
                <w:sz w:val="22"/>
                <w:szCs w:val="22"/>
              </w:rPr>
            </w:pPr>
            <w:r w:rsidRPr="006774D3">
              <w:rPr>
                <w:color w:val="000000"/>
                <w:sz w:val="22"/>
                <w:szCs w:val="22"/>
              </w:rPr>
              <w:t xml:space="preserve">Puh/Tel: </w:t>
            </w:r>
            <w:r w:rsidRPr="006774D3">
              <w:rPr>
                <w:color w:val="000000"/>
                <w:sz w:val="22"/>
                <w:szCs w:val="22"/>
                <w:lang w:bidi="he-IL"/>
              </w:rPr>
              <w:t>+358 (0)10 6133 200</w:t>
            </w:r>
          </w:p>
          <w:p w14:paraId="05B8C16C" w14:textId="77777777" w:rsidR="00BE5B13" w:rsidRPr="006774D3" w:rsidRDefault="00BE5B13" w:rsidP="00F77C66">
            <w:pPr>
              <w:rPr>
                <w:color w:val="000000"/>
                <w:sz w:val="22"/>
                <w:szCs w:val="22"/>
              </w:rPr>
            </w:pPr>
          </w:p>
        </w:tc>
      </w:tr>
      <w:tr w:rsidR="00BE5B13" w:rsidRPr="006774D3" w14:paraId="05B8C176" w14:textId="77777777" w:rsidTr="00B3755B">
        <w:trPr>
          <w:cantSplit/>
        </w:trPr>
        <w:tc>
          <w:tcPr>
            <w:tcW w:w="4650" w:type="dxa"/>
          </w:tcPr>
          <w:p w14:paraId="05B8C16E" w14:textId="77777777" w:rsidR="00BE5B13" w:rsidRPr="006774D3" w:rsidRDefault="00BE5B13" w:rsidP="00F77C66">
            <w:pPr>
              <w:rPr>
                <w:b/>
                <w:color w:val="000000"/>
                <w:sz w:val="22"/>
                <w:szCs w:val="22"/>
              </w:rPr>
            </w:pPr>
            <w:r w:rsidRPr="006774D3">
              <w:rPr>
                <w:b/>
                <w:color w:val="000000"/>
                <w:sz w:val="22"/>
                <w:szCs w:val="22"/>
              </w:rPr>
              <w:t>Κύπρος</w:t>
            </w:r>
          </w:p>
          <w:p w14:paraId="05B8C16F" w14:textId="77777777" w:rsidR="00BE5B13" w:rsidRPr="006774D3" w:rsidRDefault="00BE5B13" w:rsidP="00F77C66">
            <w:pPr>
              <w:rPr>
                <w:color w:val="000000"/>
                <w:sz w:val="22"/>
                <w:szCs w:val="22"/>
              </w:rPr>
            </w:pPr>
            <w:r w:rsidRPr="006774D3">
              <w:rPr>
                <w:color w:val="000000"/>
                <w:sz w:val="22"/>
                <w:szCs w:val="22"/>
                <w:lang w:bidi="he-IL"/>
              </w:rPr>
              <w:t>Novartis Pharma Services Inc.</w:t>
            </w:r>
          </w:p>
          <w:p w14:paraId="05B8C170" w14:textId="77777777" w:rsidR="00BE5B13" w:rsidRPr="006774D3" w:rsidRDefault="00BE5B13" w:rsidP="00F77C66">
            <w:pPr>
              <w:rPr>
                <w:color w:val="000000"/>
                <w:sz w:val="22"/>
                <w:szCs w:val="22"/>
              </w:rPr>
            </w:pPr>
            <w:r w:rsidRPr="006774D3">
              <w:rPr>
                <w:color w:val="000000"/>
                <w:sz w:val="22"/>
                <w:szCs w:val="22"/>
              </w:rPr>
              <w:t>Τηλ: +357 22 690 690</w:t>
            </w:r>
          </w:p>
          <w:p w14:paraId="05B8C171" w14:textId="77777777" w:rsidR="00BE5B13" w:rsidRPr="006774D3" w:rsidRDefault="00BE5B13" w:rsidP="00F77C66">
            <w:pPr>
              <w:rPr>
                <w:b/>
                <w:color w:val="000000"/>
                <w:sz w:val="22"/>
                <w:szCs w:val="22"/>
              </w:rPr>
            </w:pPr>
          </w:p>
        </w:tc>
        <w:tc>
          <w:tcPr>
            <w:tcW w:w="4650" w:type="dxa"/>
          </w:tcPr>
          <w:p w14:paraId="05B8C172" w14:textId="77777777" w:rsidR="00BE5B13" w:rsidRPr="006774D3" w:rsidRDefault="00BE5B13" w:rsidP="00F77C66">
            <w:pPr>
              <w:rPr>
                <w:b/>
                <w:color w:val="000000"/>
                <w:sz w:val="22"/>
                <w:szCs w:val="22"/>
              </w:rPr>
            </w:pPr>
            <w:r w:rsidRPr="006774D3">
              <w:rPr>
                <w:b/>
                <w:color w:val="000000"/>
                <w:sz w:val="22"/>
                <w:szCs w:val="22"/>
              </w:rPr>
              <w:t>Sverige</w:t>
            </w:r>
          </w:p>
          <w:p w14:paraId="05B8C173" w14:textId="77777777" w:rsidR="00BE5B13" w:rsidRPr="006774D3" w:rsidRDefault="00BE5B13" w:rsidP="00F77C66">
            <w:pPr>
              <w:rPr>
                <w:color w:val="000000"/>
                <w:sz w:val="22"/>
                <w:szCs w:val="22"/>
              </w:rPr>
            </w:pPr>
            <w:r w:rsidRPr="006774D3">
              <w:rPr>
                <w:color w:val="000000"/>
                <w:sz w:val="22"/>
                <w:szCs w:val="22"/>
              </w:rPr>
              <w:t>Novartis Sverige AB</w:t>
            </w:r>
          </w:p>
          <w:p w14:paraId="05B8C174" w14:textId="77777777" w:rsidR="00BE5B13" w:rsidRPr="006774D3" w:rsidRDefault="00BE5B13" w:rsidP="00F77C66">
            <w:pPr>
              <w:rPr>
                <w:color w:val="000000"/>
                <w:sz w:val="22"/>
                <w:szCs w:val="22"/>
              </w:rPr>
            </w:pPr>
            <w:r w:rsidRPr="006774D3">
              <w:rPr>
                <w:color w:val="000000"/>
                <w:sz w:val="22"/>
                <w:szCs w:val="22"/>
              </w:rPr>
              <w:t>Tel: +46 8 732 32 00</w:t>
            </w:r>
          </w:p>
          <w:p w14:paraId="05B8C175" w14:textId="77777777" w:rsidR="00BE5B13" w:rsidRPr="006774D3" w:rsidRDefault="00BE5B13" w:rsidP="00F77C66">
            <w:pPr>
              <w:rPr>
                <w:color w:val="000000"/>
                <w:sz w:val="22"/>
                <w:szCs w:val="22"/>
              </w:rPr>
            </w:pPr>
          </w:p>
        </w:tc>
      </w:tr>
      <w:tr w:rsidR="00BE5B13" w:rsidRPr="006774D3" w14:paraId="05B8C17F" w14:textId="77777777" w:rsidTr="00B3755B">
        <w:trPr>
          <w:cantSplit/>
        </w:trPr>
        <w:tc>
          <w:tcPr>
            <w:tcW w:w="4650" w:type="dxa"/>
          </w:tcPr>
          <w:p w14:paraId="05B8C177" w14:textId="77777777" w:rsidR="00BE5B13" w:rsidRPr="006774D3" w:rsidRDefault="00BE5B13" w:rsidP="00F77C66">
            <w:pPr>
              <w:rPr>
                <w:b/>
                <w:color w:val="000000"/>
                <w:sz w:val="22"/>
                <w:szCs w:val="22"/>
              </w:rPr>
            </w:pPr>
            <w:r w:rsidRPr="006774D3">
              <w:rPr>
                <w:b/>
                <w:color w:val="000000"/>
                <w:sz w:val="22"/>
                <w:szCs w:val="22"/>
              </w:rPr>
              <w:t>Latvija</w:t>
            </w:r>
          </w:p>
          <w:p w14:paraId="05B8C178" w14:textId="3382F82B" w:rsidR="00BE5B13" w:rsidRPr="006774D3" w:rsidRDefault="00C7731A" w:rsidP="00F77C66">
            <w:pPr>
              <w:rPr>
                <w:color w:val="000000"/>
                <w:sz w:val="22"/>
                <w:szCs w:val="22"/>
              </w:rPr>
            </w:pPr>
            <w:r w:rsidRPr="006774D3">
              <w:rPr>
                <w:color w:val="000000"/>
                <w:sz w:val="22"/>
                <w:szCs w:val="22"/>
              </w:rPr>
              <w:t>SIA Novartis Baltics</w:t>
            </w:r>
          </w:p>
          <w:p w14:paraId="05B8C179" w14:textId="77777777" w:rsidR="00BE5B13" w:rsidRPr="006774D3" w:rsidRDefault="00BE5B13" w:rsidP="00F77C66">
            <w:pPr>
              <w:rPr>
                <w:color w:val="000000"/>
                <w:sz w:val="22"/>
                <w:szCs w:val="22"/>
              </w:rPr>
            </w:pPr>
            <w:r w:rsidRPr="006774D3">
              <w:rPr>
                <w:color w:val="000000"/>
                <w:sz w:val="22"/>
                <w:szCs w:val="22"/>
              </w:rPr>
              <w:t>Tel: +371 67 887 070</w:t>
            </w:r>
          </w:p>
          <w:p w14:paraId="05B8C17A" w14:textId="77777777" w:rsidR="00BE5B13" w:rsidRPr="006774D3" w:rsidRDefault="00BE5B13" w:rsidP="00F77C66">
            <w:pPr>
              <w:rPr>
                <w:b/>
                <w:color w:val="000000"/>
                <w:sz w:val="22"/>
                <w:szCs w:val="22"/>
              </w:rPr>
            </w:pPr>
          </w:p>
        </w:tc>
        <w:tc>
          <w:tcPr>
            <w:tcW w:w="4650" w:type="dxa"/>
          </w:tcPr>
          <w:p w14:paraId="05B8C17B" w14:textId="77777777" w:rsidR="00BE5B13" w:rsidRPr="006774D3" w:rsidRDefault="00BE5B13" w:rsidP="00F77C66">
            <w:pPr>
              <w:rPr>
                <w:b/>
                <w:color w:val="000000"/>
                <w:sz w:val="22"/>
                <w:szCs w:val="22"/>
              </w:rPr>
            </w:pPr>
            <w:r w:rsidRPr="006774D3">
              <w:rPr>
                <w:b/>
                <w:color w:val="000000"/>
                <w:sz w:val="22"/>
                <w:szCs w:val="22"/>
              </w:rPr>
              <w:t>United Kingdom</w:t>
            </w:r>
          </w:p>
          <w:p w14:paraId="05B8C17C" w14:textId="77777777" w:rsidR="00BE5B13" w:rsidRPr="006774D3" w:rsidRDefault="00BE5B13" w:rsidP="00F77C66">
            <w:pPr>
              <w:rPr>
                <w:color w:val="000000"/>
                <w:sz w:val="22"/>
                <w:szCs w:val="22"/>
              </w:rPr>
            </w:pPr>
            <w:r w:rsidRPr="006774D3">
              <w:rPr>
                <w:color w:val="000000"/>
                <w:sz w:val="22"/>
                <w:szCs w:val="22"/>
              </w:rPr>
              <w:t>Novartis Pharmaceuticals UK Ltd.</w:t>
            </w:r>
          </w:p>
          <w:p w14:paraId="05B8C17D" w14:textId="77777777" w:rsidR="00BE5B13" w:rsidRPr="006774D3" w:rsidRDefault="00BE5B13" w:rsidP="00F77C66">
            <w:pPr>
              <w:rPr>
                <w:color w:val="000000"/>
                <w:sz w:val="22"/>
                <w:szCs w:val="22"/>
              </w:rPr>
            </w:pPr>
            <w:r w:rsidRPr="006774D3">
              <w:rPr>
                <w:color w:val="000000"/>
                <w:sz w:val="22"/>
                <w:szCs w:val="22"/>
              </w:rPr>
              <w:t>Tel: +44 1276 698370</w:t>
            </w:r>
          </w:p>
          <w:p w14:paraId="05B8C17E" w14:textId="77777777" w:rsidR="00BE5B13" w:rsidRPr="006774D3" w:rsidRDefault="00BE5B13" w:rsidP="00F77C66">
            <w:pPr>
              <w:rPr>
                <w:color w:val="000000"/>
                <w:sz w:val="22"/>
                <w:szCs w:val="22"/>
              </w:rPr>
            </w:pPr>
          </w:p>
        </w:tc>
      </w:tr>
    </w:tbl>
    <w:p w14:paraId="05B8C180" w14:textId="77777777" w:rsidR="00BE5B13" w:rsidRPr="006774D3" w:rsidRDefault="00BE5B13" w:rsidP="00F77C66">
      <w:pPr>
        <w:widowControl w:val="0"/>
        <w:ind w:right="-449"/>
        <w:rPr>
          <w:color w:val="000000"/>
          <w:sz w:val="22"/>
          <w:szCs w:val="22"/>
        </w:rPr>
      </w:pPr>
    </w:p>
    <w:p w14:paraId="05B8C181" w14:textId="77777777" w:rsidR="00D363A7" w:rsidRPr="006774D3" w:rsidRDefault="00D363A7" w:rsidP="00F77C66">
      <w:pPr>
        <w:rPr>
          <w:b/>
          <w:color w:val="000000"/>
          <w:sz w:val="22"/>
          <w:szCs w:val="22"/>
        </w:rPr>
      </w:pPr>
      <w:r w:rsidRPr="006774D3">
        <w:rPr>
          <w:b/>
          <w:color w:val="000000"/>
          <w:sz w:val="22"/>
          <w:szCs w:val="22"/>
        </w:rPr>
        <w:t xml:space="preserve">Þessi fylgiseðill var síðast </w:t>
      </w:r>
      <w:r w:rsidR="00635B44" w:rsidRPr="006774D3">
        <w:rPr>
          <w:b/>
          <w:color w:val="000000"/>
          <w:sz w:val="22"/>
          <w:szCs w:val="22"/>
        </w:rPr>
        <w:t>uppfærður</w:t>
      </w:r>
    </w:p>
    <w:p w14:paraId="05B8C182" w14:textId="77777777" w:rsidR="00D363A7" w:rsidRPr="006774D3" w:rsidRDefault="00D363A7" w:rsidP="00F77C66">
      <w:pPr>
        <w:rPr>
          <w:color w:val="000000"/>
          <w:sz w:val="22"/>
          <w:szCs w:val="22"/>
        </w:rPr>
      </w:pPr>
    </w:p>
    <w:p w14:paraId="05B8C183" w14:textId="77777777" w:rsidR="00635B44" w:rsidRPr="006774D3" w:rsidRDefault="00635B44" w:rsidP="00E22B2C">
      <w:pPr>
        <w:keepNext/>
        <w:rPr>
          <w:b/>
          <w:sz w:val="22"/>
          <w:szCs w:val="22"/>
        </w:rPr>
      </w:pPr>
      <w:r w:rsidRPr="006774D3">
        <w:rPr>
          <w:b/>
          <w:sz w:val="22"/>
          <w:szCs w:val="22"/>
        </w:rPr>
        <w:t>Upplýsingar sem hægt er að nálgast annars staðar</w:t>
      </w:r>
    </w:p>
    <w:p w14:paraId="05B8C184" w14:textId="77777777" w:rsidR="00D363A7" w:rsidRPr="006774D3" w:rsidRDefault="00D363A7" w:rsidP="00F77C66">
      <w:pPr>
        <w:rPr>
          <w:color w:val="000000"/>
          <w:sz w:val="22"/>
          <w:szCs w:val="22"/>
        </w:rPr>
      </w:pPr>
      <w:r w:rsidRPr="006774D3">
        <w:rPr>
          <w:sz w:val="22"/>
          <w:szCs w:val="22"/>
        </w:rPr>
        <w:t xml:space="preserve">Ítarlegar upplýsingar um lyfið eru birtar á </w:t>
      </w:r>
      <w:r w:rsidR="00C26825" w:rsidRPr="006774D3">
        <w:rPr>
          <w:sz w:val="22"/>
          <w:szCs w:val="22"/>
        </w:rPr>
        <w:t xml:space="preserve">vef </w:t>
      </w:r>
      <w:r w:rsidRPr="006774D3">
        <w:rPr>
          <w:sz w:val="22"/>
          <w:szCs w:val="22"/>
        </w:rPr>
        <w:t xml:space="preserve">Lyfjastofnunar Evrópu </w:t>
      </w:r>
      <w:r w:rsidRPr="006774D3">
        <w:rPr>
          <w:color w:val="000000"/>
          <w:sz w:val="22"/>
        </w:rPr>
        <w:t>http://www.ema.europa.eu</w:t>
      </w:r>
    </w:p>
    <w:p w14:paraId="05B8C185" w14:textId="77777777" w:rsidR="00D363A7" w:rsidRPr="006774D3" w:rsidRDefault="00D363A7" w:rsidP="00F77C66">
      <w:pPr>
        <w:pStyle w:val="Authors"/>
        <w:keepNext w:val="0"/>
        <w:spacing w:before="0"/>
        <w:jc w:val="center"/>
        <w:rPr>
          <w:rFonts w:ascii="Times New Roman" w:hAnsi="Times New Roman"/>
          <w:b/>
          <w:color w:val="000000"/>
          <w:szCs w:val="22"/>
          <w:lang w:val="is-IS"/>
        </w:rPr>
      </w:pPr>
      <w:r w:rsidRPr="006774D3">
        <w:rPr>
          <w:rFonts w:ascii="Times New Roman" w:hAnsi="Times New Roman"/>
          <w:color w:val="000000"/>
          <w:szCs w:val="22"/>
          <w:lang w:val="is-IS"/>
        </w:rPr>
        <w:br w:type="page"/>
      </w:r>
      <w:r w:rsidR="00C26825" w:rsidRPr="006774D3">
        <w:rPr>
          <w:rFonts w:ascii="Times New Roman" w:hAnsi="Times New Roman"/>
          <w:b/>
          <w:color w:val="000000"/>
          <w:szCs w:val="22"/>
          <w:lang w:val="is-IS"/>
        </w:rPr>
        <w:lastRenderedPageBreak/>
        <w:t>Fylgiseðill: Upplýsingar fyrir notanda lyfsins</w:t>
      </w:r>
    </w:p>
    <w:p w14:paraId="05B8C186" w14:textId="77777777" w:rsidR="00D363A7" w:rsidRPr="006774D3" w:rsidRDefault="00D363A7" w:rsidP="00F77C66">
      <w:pPr>
        <w:outlineLvl w:val="0"/>
        <w:rPr>
          <w:color w:val="000000"/>
          <w:sz w:val="22"/>
          <w:szCs w:val="22"/>
        </w:rPr>
      </w:pPr>
    </w:p>
    <w:p w14:paraId="05B8C187" w14:textId="77777777" w:rsidR="00D363A7" w:rsidRPr="006774D3" w:rsidRDefault="00D363A7" w:rsidP="00F77C66">
      <w:pPr>
        <w:jc w:val="center"/>
        <w:outlineLvl w:val="0"/>
        <w:rPr>
          <w:b/>
          <w:color w:val="000000"/>
          <w:sz w:val="22"/>
          <w:szCs w:val="22"/>
        </w:rPr>
      </w:pPr>
      <w:r w:rsidRPr="006774D3">
        <w:rPr>
          <w:b/>
          <w:color w:val="000000"/>
          <w:sz w:val="22"/>
          <w:szCs w:val="22"/>
        </w:rPr>
        <w:t>Glivec 100 mg filmuhúðaðar töflur</w:t>
      </w:r>
    </w:p>
    <w:p w14:paraId="79273F18" w14:textId="0009CAB2" w:rsidR="00CF33A2" w:rsidRPr="006774D3" w:rsidRDefault="00CF33A2" w:rsidP="00CF33A2">
      <w:pPr>
        <w:jc w:val="center"/>
        <w:outlineLvl w:val="0"/>
        <w:rPr>
          <w:b/>
          <w:color w:val="000000"/>
          <w:sz w:val="22"/>
          <w:szCs w:val="22"/>
        </w:rPr>
      </w:pPr>
      <w:r w:rsidRPr="006774D3">
        <w:rPr>
          <w:b/>
          <w:color w:val="000000"/>
          <w:sz w:val="22"/>
          <w:szCs w:val="22"/>
        </w:rPr>
        <w:t xml:space="preserve">Glivec </w:t>
      </w:r>
      <w:r>
        <w:rPr>
          <w:b/>
          <w:color w:val="000000"/>
          <w:sz w:val="22"/>
          <w:szCs w:val="22"/>
        </w:rPr>
        <w:t>4</w:t>
      </w:r>
      <w:r w:rsidRPr="006774D3">
        <w:rPr>
          <w:b/>
          <w:color w:val="000000"/>
          <w:sz w:val="22"/>
          <w:szCs w:val="22"/>
        </w:rPr>
        <w:t>00 mg filmuhúðaðar töflur</w:t>
      </w:r>
    </w:p>
    <w:p w14:paraId="05B8C188" w14:textId="77777777" w:rsidR="00D363A7" w:rsidRPr="006774D3" w:rsidRDefault="003A7308" w:rsidP="00F77C66">
      <w:pPr>
        <w:jc w:val="center"/>
        <w:outlineLvl w:val="0"/>
        <w:rPr>
          <w:color w:val="000000"/>
          <w:sz w:val="22"/>
          <w:szCs w:val="22"/>
        </w:rPr>
      </w:pPr>
      <w:r w:rsidRPr="006774D3">
        <w:rPr>
          <w:color w:val="000000"/>
          <w:sz w:val="22"/>
          <w:szCs w:val="22"/>
        </w:rPr>
        <w:t>i</w:t>
      </w:r>
      <w:r w:rsidR="00D363A7" w:rsidRPr="006774D3">
        <w:rPr>
          <w:color w:val="000000"/>
          <w:sz w:val="22"/>
          <w:szCs w:val="22"/>
        </w:rPr>
        <w:t>matinib</w:t>
      </w:r>
    </w:p>
    <w:p w14:paraId="05B8C189" w14:textId="77777777" w:rsidR="00D363A7" w:rsidRPr="006774D3" w:rsidRDefault="00D363A7" w:rsidP="00F77C66">
      <w:pPr>
        <w:outlineLvl w:val="0"/>
        <w:rPr>
          <w:color w:val="000000"/>
          <w:sz w:val="22"/>
          <w:szCs w:val="22"/>
        </w:rPr>
      </w:pPr>
    </w:p>
    <w:p w14:paraId="05B8C18A" w14:textId="77777777" w:rsidR="002578B2" w:rsidRPr="006774D3" w:rsidRDefault="00EA2A58" w:rsidP="00F77C66">
      <w:pPr>
        <w:rPr>
          <w:sz w:val="22"/>
          <w:szCs w:val="22"/>
        </w:rPr>
      </w:pPr>
      <w:r w:rsidRPr="006774D3">
        <w:rPr>
          <w:noProof/>
          <w:sz w:val="22"/>
          <w:szCs w:val="20"/>
          <w:lang w:eastAsia="en-GB"/>
        </w:rPr>
        <w:drawing>
          <wp:inline distT="0" distB="0" distL="0" distR="0" wp14:anchorId="05B8C4D4" wp14:editId="05B8C4D5">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2578B2" w:rsidRPr="006774D3">
        <w:rPr>
          <w:sz w:val="22"/>
          <w:szCs w:val="22"/>
        </w:rPr>
        <w:t>Þetta lyf er undir sérstöku eftirliti til að nýjar upplýsingar um öryggi lyfsins komist fljótt og örugglega til skila. Allir geta hjálpað til við þetta með því að tilkynna aukaverkanir sem koma fram. Aftast í kafla 4 eru upplýsingar um hvernig tilkynna á aukaverkanir.</w:t>
      </w:r>
    </w:p>
    <w:p w14:paraId="05B8C18B" w14:textId="77777777" w:rsidR="00D363A7" w:rsidRPr="006774D3" w:rsidRDefault="00D363A7" w:rsidP="00F77C66">
      <w:pPr>
        <w:outlineLvl w:val="0"/>
        <w:rPr>
          <w:color w:val="000000"/>
          <w:sz w:val="22"/>
          <w:szCs w:val="22"/>
        </w:rPr>
      </w:pPr>
    </w:p>
    <w:p w14:paraId="05B8C18C" w14:textId="77777777" w:rsidR="004A6901" w:rsidRPr="006774D3" w:rsidRDefault="004A6901" w:rsidP="00F77C66">
      <w:pPr>
        <w:ind w:right="-2"/>
        <w:rPr>
          <w:b/>
          <w:color w:val="000000"/>
          <w:sz w:val="22"/>
          <w:szCs w:val="22"/>
        </w:rPr>
      </w:pPr>
      <w:r w:rsidRPr="006774D3">
        <w:rPr>
          <w:b/>
          <w:color w:val="000000"/>
          <w:sz w:val="22"/>
          <w:szCs w:val="22"/>
        </w:rPr>
        <w:t>Lesið allan fylgiseðilinn vandlega áður en byrjað er að nota lyfið. Í honum eru mikilvægar upplýsingar.</w:t>
      </w:r>
    </w:p>
    <w:p w14:paraId="05B8C18D"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Geymið fylgiseðilinn. Nauðsynlegt getur verið að lesa hann síðar.</w:t>
      </w:r>
    </w:p>
    <w:p w14:paraId="05B8C18E"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Leitið til læknisins, lyfjafræðings eða hjúkrunarfræðingsins ef þörf er á frekari upplýsingum.</w:t>
      </w:r>
    </w:p>
    <w:p w14:paraId="05B8C18F"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Þessu lyfi hefur verið ávísað til persónulegra nota. Ekki má gefa það öðrum. Það getur valdið þeim skaða, jafnvel þótt um sömu sjúkdómseinkenni sé að ræða.</w:t>
      </w:r>
    </w:p>
    <w:p w14:paraId="05B8C190" w14:textId="77777777" w:rsidR="004A6901" w:rsidRPr="006774D3" w:rsidRDefault="004A6901" w:rsidP="00F77C66">
      <w:pPr>
        <w:numPr>
          <w:ilvl w:val="12"/>
          <w:numId w:val="0"/>
        </w:numPr>
        <w:ind w:left="567" w:right="-29" w:hanging="567"/>
        <w:rPr>
          <w:color w:val="000000"/>
          <w:sz w:val="22"/>
          <w:szCs w:val="22"/>
        </w:rPr>
      </w:pPr>
      <w:r w:rsidRPr="006774D3">
        <w:rPr>
          <w:color w:val="000000"/>
          <w:sz w:val="22"/>
          <w:szCs w:val="22"/>
        </w:rPr>
        <w:t>-</w:t>
      </w:r>
      <w:r w:rsidRPr="006774D3">
        <w:rPr>
          <w:color w:val="000000"/>
          <w:sz w:val="22"/>
          <w:szCs w:val="22"/>
        </w:rPr>
        <w:tab/>
        <w:t>Látið lækninn, lyfjafræðing eða hjúkrunarfræðinginn vita um allar aukaverkanir. Þetta gildir einnig um aukaverkanir sem ekki er minnst á í þessum fylgiseðli.</w:t>
      </w:r>
      <w:r w:rsidR="004B606D" w:rsidRPr="006774D3">
        <w:rPr>
          <w:color w:val="000000"/>
          <w:sz w:val="22"/>
          <w:szCs w:val="22"/>
        </w:rPr>
        <w:t xml:space="preserve"> Sjá kafla 4.</w:t>
      </w:r>
    </w:p>
    <w:p w14:paraId="05B8C191" w14:textId="77777777" w:rsidR="004A6901" w:rsidRPr="006774D3" w:rsidRDefault="004A6901" w:rsidP="00F77C66">
      <w:pPr>
        <w:pStyle w:val="EndnoteText"/>
        <w:spacing w:before="0" w:after="0"/>
        <w:ind w:left="0" w:firstLine="0"/>
        <w:rPr>
          <w:color w:val="000000"/>
          <w:sz w:val="22"/>
          <w:szCs w:val="22"/>
          <w:lang w:val="is-IS"/>
        </w:rPr>
      </w:pPr>
    </w:p>
    <w:p w14:paraId="05B8C192" w14:textId="77777777" w:rsidR="004A6901" w:rsidRPr="006774D3" w:rsidRDefault="004A6901" w:rsidP="00F77C66">
      <w:pPr>
        <w:pStyle w:val="EndnoteText"/>
        <w:spacing w:before="0" w:after="0"/>
        <w:ind w:left="0" w:firstLine="0"/>
        <w:rPr>
          <w:color w:val="000000"/>
          <w:sz w:val="22"/>
          <w:szCs w:val="22"/>
          <w:lang w:val="is-IS"/>
        </w:rPr>
      </w:pPr>
    </w:p>
    <w:p w14:paraId="05B8C193" w14:textId="77777777" w:rsidR="004A6901" w:rsidRPr="006774D3" w:rsidRDefault="004A6901" w:rsidP="00F77C66">
      <w:pPr>
        <w:numPr>
          <w:ilvl w:val="12"/>
          <w:numId w:val="0"/>
        </w:numPr>
        <w:ind w:right="-2"/>
        <w:rPr>
          <w:color w:val="000000"/>
          <w:sz w:val="22"/>
          <w:szCs w:val="22"/>
        </w:rPr>
      </w:pPr>
      <w:r w:rsidRPr="006774D3">
        <w:rPr>
          <w:b/>
          <w:color w:val="000000"/>
          <w:sz w:val="22"/>
          <w:szCs w:val="22"/>
        </w:rPr>
        <w:t>Í fylgiseðlinum eru eftirfarandi kaflar</w:t>
      </w:r>
      <w:r w:rsidRPr="006774D3">
        <w:rPr>
          <w:color w:val="000000"/>
          <w:sz w:val="22"/>
          <w:szCs w:val="22"/>
        </w:rPr>
        <w:t>:</w:t>
      </w:r>
    </w:p>
    <w:p w14:paraId="05B8C194" w14:textId="77777777" w:rsidR="004A6901" w:rsidRPr="006774D3" w:rsidRDefault="004A6901" w:rsidP="00F77C66">
      <w:pPr>
        <w:numPr>
          <w:ilvl w:val="12"/>
          <w:numId w:val="0"/>
        </w:numPr>
        <w:ind w:right="-29"/>
        <w:rPr>
          <w:color w:val="000000"/>
          <w:sz w:val="22"/>
          <w:szCs w:val="22"/>
        </w:rPr>
      </w:pPr>
      <w:r w:rsidRPr="006774D3">
        <w:rPr>
          <w:color w:val="000000"/>
          <w:sz w:val="22"/>
          <w:szCs w:val="22"/>
        </w:rPr>
        <w:t>1.</w:t>
      </w:r>
      <w:r w:rsidRPr="006774D3">
        <w:rPr>
          <w:color w:val="000000"/>
          <w:sz w:val="22"/>
          <w:szCs w:val="22"/>
        </w:rPr>
        <w:tab/>
        <w:t>Upplýsingar um Glivec og við hverju það er notað</w:t>
      </w:r>
    </w:p>
    <w:p w14:paraId="05B8C195" w14:textId="77777777" w:rsidR="004A6901" w:rsidRPr="006774D3" w:rsidRDefault="004A6901" w:rsidP="00F77C66">
      <w:pPr>
        <w:numPr>
          <w:ilvl w:val="12"/>
          <w:numId w:val="0"/>
        </w:numPr>
        <w:ind w:right="-29"/>
        <w:rPr>
          <w:color w:val="000000"/>
          <w:sz w:val="22"/>
          <w:szCs w:val="22"/>
        </w:rPr>
      </w:pPr>
      <w:r w:rsidRPr="006774D3">
        <w:rPr>
          <w:color w:val="000000"/>
          <w:sz w:val="22"/>
          <w:szCs w:val="22"/>
        </w:rPr>
        <w:t>2.</w:t>
      </w:r>
      <w:r w:rsidRPr="006774D3">
        <w:rPr>
          <w:color w:val="000000"/>
          <w:sz w:val="22"/>
          <w:szCs w:val="22"/>
        </w:rPr>
        <w:tab/>
        <w:t>Áður en byrjað er að nota Glivec</w:t>
      </w:r>
    </w:p>
    <w:p w14:paraId="05B8C196" w14:textId="77777777" w:rsidR="004A6901" w:rsidRPr="006774D3" w:rsidRDefault="004A6901" w:rsidP="00F77C66">
      <w:pPr>
        <w:numPr>
          <w:ilvl w:val="12"/>
          <w:numId w:val="0"/>
        </w:numPr>
        <w:ind w:right="-29"/>
        <w:rPr>
          <w:color w:val="000000"/>
          <w:sz w:val="22"/>
          <w:szCs w:val="22"/>
        </w:rPr>
      </w:pPr>
      <w:r w:rsidRPr="006774D3">
        <w:rPr>
          <w:color w:val="000000"/>
          <w:sz w:val="22"/>
          <w:szCs w:val="22"/>
        </w:rPr>
        <w:t>3.</w:t>
      </w:r>
      <w:r w:rsidRPr="006774D3">
        <w:rPr>
          <w:color w:val="000000"/>
          <w:sz w:val="22"/>
          <w:szCs w:val="22"/>
        </w:rPr>
        <w:tab/>
        <w:t>Hvernig nota á Glivec</w:t>
      </w:r>
    </w:p>
    <w:p w14:paraId="05B8C197" w14:textId="77777777" w:rsidR="004A6901" w:rsidRPr="006774D3" w:rsidRDefault="004A6901" w:rsidP="00F77C66">
      <w:pPr>
        <w:numPr>
          <w:ilvl w:val="12"/>
          <w:numId w:val="0"/>
        </w:numPr>
        <w:ind w:right="-29"/>
        <w:rPr>
          <w:color w:val="000000"/>
          <w:sz w:val="22"/>
          <w:szCs w:val="22"/>
        </w:rPr>
      </w:pPr>
      <w:r w:rsidRPr="006774D3">
        <w:rPr>
          <w:color w:val="000000"/>
          <w:sz w:val="22"/>
          <w:szCs w:val="22"/>
        </w:rPr>
        <w:t>4.</w:t>
      </w:r>
      <w:r w:rsidRPr="006774D3">
        <w:rPr>
          <w:color w:val="000000"/>
          <w:sz w:val="22"/>
          <w:szCs w:val="22"/>
        </w:rPr>
        <w:tab/>
        <w:t>Hugsanlegar aukaverkanir</w:t>
      </w:r>
    </w:p>
    <w:p w14:paraId="05B8C198" w14:textId="77777777" w:rsidR="004A6901" w:rsidRPr="006774D3" w:rsidRDefault="004A6901" w:rsidP="00F77C66">
      <w:pPr>
        <w:numPr>
          <w:ilvl w:val="12"/>
          <w:numId w:val="0"/>
        </w:numPr>
        <w:ind w:right="-29"/>
        <w:rPr>
          <w:color w:val="000000"/>
          <w:sz w:val="22"/>
          <w:szCs w:val="22"/>
        </w:rPr>
      </w:pPr>
      <w:r w:rsidRPr="006774D3">
        <w:rPr>
          <w:color w:val="000000"/>
          <w:sz w:val="22"/>
          <w:szCs w:val="22"/>
        </w:rPr>
        <w:t>5.</w:t>
      </w:r>
      <w:r w:rsidRPr="006774D3">
        <w:rPr>
          <w:color w:val="000000"/>
          <w:sz w:val="22"/>
          <w:szCs w:val="22"/>
        </w:rPr>
        <w:tab/>
        <w:t>Hvernig geyma á Glivec</w:t>
      </w:r>
    </w:p>
    <w:p w14:paraId="05B8C199" w14:textId="77777777" w:rsidR="004A6901" w:rsidRPr="006774D3" w:rsidRDefault="004A6901" w:rsidP="00F77C66">
      <w:pPr>
        <w:numPr>
          <w:ilvl w:val="12"/>
          <w:numId w:val="0"/>
        </w:numPr>
        <w:rPr>
          <w:color w:val="000000"/>
          <w:sz w:val="22"/>
          <w:szCs w:val="22"/>
        </w:rPr>
      </w:pPr>
      <w:r w:rsidRPr="006774D3">
        <w:rPr>
          <w:color w:val="000000"/>
          <w:sz w:val="22"/>
          <w:szCs w:val="22"/>
        </w:rPr>
        <w:t>6.</w:t>
      </w:r>
      <w:r w:rsidRPr="006774D3">
        <w:rPr>
          <w:color w:val="000000"/>
          <w:sz w:val="22"/>
          <w:szCs w:val="22"/>
        </w:rPr>
        <w:tab/>
        <w:t>Pakkningar og aðrar upplýsingar</w:t>
      </w:r>
    </w:p>
    <w:p w14:paraId="05B8C19A" w14:textId="77777777" w:rsidR="004A6901" w:rsidRPr="006774D3" w:rsidRDefault="004A6901" w:rsidP="00F77C66">
      <w:pPr>
        <w:rPr>
          <w:color w:val="000000"/>
          <w:sz w:val="22"/>
          <w:szCs w:val="22"/>
        </w:rPr>
      </w:pPr>
    </w:p>
    <w:p w14:paraId="05B8C19B" w14:textId="77777777" w:rsidR="004A6901" w:rsidRPr="006774D3" w:rsidRDefault="004A6901" w:rsidP="00F77C66">
      <w:pPr>
        <w:rPr>
          <w:color w:val="000000"/>
          <w:sz w:val="22"/>
          <w:szCs w:val="22"/>
        </w:rPr>
      </w:pPr>
    </w:p>
    <w:p w14:paraId="05B8C19C" w14:textId="77777777" w:rsidR="004A6901" w:rsidRPr="006774D3" w:rsidRDefault="004A6901" w:rsidP="00E22B2C">
      <w:pPr>
        <w:keepNext/>
        <w:ind w:right="-2"/>
        <w:rPr>
          <w:color w:val="000000"/>
          <w:sz w:val="22"/>
          <w:szCs w:val="22"/>
        </w:rPr>
      </w:pPr>
      <w:r w:rsidRPr="006774D3">
        <w:rPr>
          <w:b/>
          <w:color w:val="000000"/>
          <w:sz w:val="22"/>
          <w:szCs w:val="22"/>
        </w:rPr>
        <w:t>1.</w:t>
      </w:r>
      <w:r w:rsidRPr="006774D3">
        <w:rPr>
          <w:b/>
          <w:color w:val="000000"/>
          <w:sz w:val="22"/>
          <w:szCs w:val="22"/>
        </w:rPr>
        <w:tab/>
        <w:t>Upplýsingar um Glivec og við hverju það er notað</w:t>
      </w:r>
    </w:p>
    <w:p w14:paraId="05B8C19D" w14:textId="77777777" w:rsidR="004A6901" w:rsidRPr="006774D3" w:rsidRDefault="004A6901" w:rsidP="00E22B2C">
      <w:pPr>
        <w:keepNext/>
        <w:rPr>
          <w:color w:val="000000"/>
          <w:sz w:val="22"/>
          <w:szCs w:val="22"/>
        </w:rPr>
      </w:pPr>
    </w:p>
    <w:p w14:paraId="05B8C19E" w14:textId="77777777" w:rsidR="004A6901" w:rsidRPr="006774D3" w:rsidRDefault="004A6901" w:rsidP="00F77C66">
      <w:pPr>
        <w:rPr>
          <w:color w:val="000000"/>
          <w:sz w:val="22"/>
          <w:szCs w:val="22"/>
        </w:rPr>
      </w:pPr>
      <w:r w:rsidRPr="006774D3">
        <w:rPr>
          <w:color w:val="000000"/>
          <w:sz w:val="22"/>
          <w:szCs w:val="22"/>
        </w:rPr>
        <w:t>Glivec er lyf sem inniheldur virkt efni sem kallast imatinib. Við neðangreinda sjúkdóma hemur þetta lyf vöxt óeðlilegra frumna. Þar á meðal eru nokkrar gerðir af krabbameini.</w:t>
      </w:r>
    </w:p>
    <w:p w14:paraId="05B8C19F" w14:textId="77777777" w:rsidR="004A6901" w:rsidRPr="006774D3" w:rsidRDefault="004A6901" w:rsidP="00F77C66">
      <w:pPr>
        <w:rPr>
          <w:color w:val="000000"/>
          <w:sz w:val="22"/>
          <w:szCs w:val="22"/>
        </w:rPr>
      </w:pPr>
    </w:p>
    <w:p w14:paraId="05B8C1A0" w14:textId="77777777" w:rsidR="004A6901" w:rsidRPr="006774D3" w:rsidRDefault="004A6901" w:rsidP="00E22B2C">
      <w:pPr>
        <w:keepNext/>
        <w:rPr>
          <w:b/>
          <w:color w:val="000000"/>
          <w:sz w:val="22"/>
          <w:szCs w:val="22"/>
        </w:rPr>
      </w:pPr>
      <w:r w:rsidRPr="006774D3">
        <w:rPr>
          <w:b/>
          <w:color w:val="000000"/>
          <w:sz w:val="22"/>
          <w:szCs w:val="22"/>
        </w:rPr>
        <w:t>Glivec er til meðferðar hjá fullorðnum og börnum við:</w:t>
      </w:r>
    </w:p>
    <w:p w14:paraId="05B8C1A1" w14:textId="77777777" w:rsidR="004A6901" w:rsidRPr="006774D3" w:rsidRDefault="004A6901" w:rsidP="00E22B2C">
      <w:pPr>
        <w:keepNext/>
        <w:rPr>
          <w:color w:val="000000"/>
          <w:sz w:val="22"/>
          <w:szCs w:val="22"/>
        </w:rPr>
      </w:pPr>
    </w:p>
    <w:p w14:paraId="05B8C1A2"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Langvinnu kyrningahvítblæði (CML).</w:t>
      </w:r>
      <w:r w:rsidRPr="006774D3">
        <w:rPr>
          <w:color w:val="000000"/>
          <w:sz w:val="22"/>
          <w:szCs w:val="22"/>
        </w:rPr>
        <w:t xml:space="preserve"> Hvítblæði er krabbamein hvítra blóðkorna. Þessar hvítfrumur hjálpa yfirleitt líkamanum að berjast gegn sýkingu. Langvinnt kyrningahvítblæði er tegund hvítblæðis þar sem ákveðnar óeðlilegar hvítfrumur (sem nefnast kyrningar) byrja að fjölga sér stjórnlaust.</w:t>
      </w:r>
    </w:p>
    <w:p w14:paraId="05B8C1A3" w14:textId="77777777" w:rsidR="00151DC5" w:rsidRPr="006774D3" w:rsidRDefault="00151DC5" w:rsidP="00F77C66">
      <w:pPr>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Fíladelfíulitnings</w:t>
      </w:r>
      <w:r w:rsidRPr="006774D3">
        <w:rPr>
          <w:b/>
          <w:color w:val="000000"/>
          <w:sz w:val="22"/>
          <w:szCs w:val="22"/>
        </w:rPr>
        <w:noBreakHyphen/>
        <w:t>jákvæðu bráðu eitilfrumuhvítblæði (Ph</w:t>
      </w:r>
      <w:r w:rsidRPr="006774D3">
        <w:rPr>
          <w:b/>
          <w:color w:val="000000"/>
          <w:sz w:val="22"/>
          <w:szCs w:val="22"/>
        </w:rPr>
        <w:noBreakHyphen/>
        <w:t>jákvætt ALL).</w:t>
      </w:r>
      <w:r w:rsidRPr="006774D3">
        <w:rPr>
          <w:color w:val="000000"/>
          <w:sz w:val="22"/>
          <w:szCs w:val="22"/>
        </w:rPr>
        <w:t xml:space="preserve"> Hvítblæði er krabbamein í hvítum blóðkornum. Þessar hvítfrumur hjálpa yfirleitt líkamanum að berjast gegn sýkingu. Brátt eitilfrumuhvítblæði er sérstök gerð hvítblæðis þar sem ákveðnar óeðlilegar hvítfrumur (sem nefnast eitilkímfrumur) fjölga sér stjórnlaust. Glivec hamlar fjölgun þessara frumna.</w:t>
      </w:r>
    </w:p>
    <w:p w14:paraId="05B8C1A4" w14:textId="77777777" w:rsidR="004A6901" w:rsidRPr="006774D3" w:rsidRDefault="004A6901" w:rsidP="00F77C66">
      <w:pPr>
        <w:rPr>
          <w:color w:val="000000"/>
          <w:sz w:val="22"/>
          <w:szCs w:val="22"/>
        </w:rPr>
      </w:pPr>
    </w:p>
    <w:p w14:paraId="05B8C1A5" w14:textId="77777777" w:rsidR="004A6901" w:rsidRPr="006774D3" w:rsidRDefault="004A6901" w:rsidP="00E22B2C">
      <w:pPr>
        <w:pStyle w:val="EndnoteText"/>
        <w:keepNext/>
        <w:spacing w:before="0" w:after="0"/>
        <w:ind w:left="0" w:firstLine="0"/>
        <w:rPr>
          <w:b/>
          <w:color w:val="000000"/>
          <w:sz w:val="22"/>
          <w:szCs w:val="22"/>
          <w:lang w:val="is-IS"/>
        </w:rPr>
      </w:pPr>
      <w:r w:rsidRPr="006774D3">
        <w:rPr>
          <w:b/>
          <w:color w:val="000000"/>
          <w:sz w:val="22"/>
          <w:szCs w:val="22"/>
          <w:lang w:val="is-IS"/>
        </w:rPr>
        <w:t>Glivec er einnig til meðferðar hjá fullorðnum við:</w:t>
      </w:r>
    </w:p>
    <w:p w14:paraId="05B8C1A6" w14:textId="77777777" w:rsidR="004A6901" w:rsidRPr="006774D3" w:rsidRDefault="004A6901" w:rsidP="00E22B2C">
      <w:pPr>
        <w:keepNext/>
        <w:rPr>
          <w:color w:val="000000"/>
          <w:sz w:val="22"/>
          <w:szCs w:val="22"/>
        </w:rPr>
      </w:pPr>
    </w:p>
    <w:p w14:paraId="05B8C1A7"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r>
      <w:r w:rsidRPr="006774D3">
        <w:rPr>
          <w:b/>
          <w:color w:val="000000"/>
          <w:sz w:val="22"/>
          <w:szCs w:val="22"/>
          <w:lang w:val="is-IS"/>
        </w:rPr>
        <w:t>Mergrangvaxtarsjúkdómum/mergfrumnafjölgunarsjúkdómum (myelo</w:t>
      </w:r>
      <w:r w:rsidRPr="006774D3">
        <w:rPr>
          <w:b/>
          <w:color w:val="000000"/>
          <w:sz w:val="22"/>
          <w:szCs w:val="22"/>
          <w:lang w:val="is-IS"/>
        </w:rPr>
        <w:softHyphen/>
        <w:t>dys</w:t>
      </w:r>
      <w:r w:rsidRPr="006774D3">
        <w:rPr>
          <w:b/>
          <w:color w:val="000000"/>
          <w:sz w:val="22"/>
          <w:szCs w:val="22"/>
          <w:lang w:val="is-IS"/>
        </w:rPr>
        <w:softHyphen/>
        <w:t>plastic/myelo</w:t>
      </w:r>
      <w:r w:rsidRPr="006774D3">
        <w:rPr>
          <w:b/>
          <w:color w:val="000000"/>
          <w:sz w:val="22"/>
          <w:szCs w:val="22"/>
          <w:lang w:val="is-IS"/>
        </w:rPr>
        <w:softHyphen/>
        <w:t>proliferative diseases [MDS/MPD]).</w:t>
      </w:r>
      <w:r w:rsidRPr="006774D3">
        <w:rPr>
          <w:color w:val="000000"/>
          <w:sz w:val="22"/>
          <w:szCs w:val="22"/>
          <w:lang w:val="is-IS"/>
        </w:rPr>
        <w:t xml:space="preserve"> Þetta er hópur blóðsjúkdóma þar sem sumar blóðfrumur byrja að fjölga sér stjórnlaust. Glivec hamlar fjölgun þessara frumna hjá ákveðnum undirhópum sjúkdómanna.</w:t>
      </w:r>
    </w:p>
    <w:p w14:paraId="05B8C1A8"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r>
      <w:r w:rsidRPr="006774D3">
        <w:rPr>
          <w:b/>
          <w:color w:val="000000"/>
          <w:sz w:val="22"/>
          <w:szCs w:val="22"/>
          <w:lang w:val="is-IS"/>
        </w:rPr>
        <w:t>Rauðkyrningagersheilkenni (HES) og/eða langvarandi rauðkyrningahvítblæði (CEL).</w:t>
      </w:r>
      <w:r w:rsidRPr="006774D3">
        <w:rPr>
          <w:color w:val="000000"/>
          <w:sz w:val="22"/>
          <w:szCs w:val="22"/>
          <w:lang w:val="is-IS"/>
        </w:rPr>
        <w:t xml:space="preserve"> Þetta eru blóðsjúk</w:t>
      </w:r>
      <w:r w:rsidRPr="006774D3">
        <w:rPr>
          <w:color w:val="000000"/>
          <w:sz w:val="22"/>
          <w:szCs w:val="22"/>
          <w:lang w:val="is-IS"/>
        </w:rPr>
        <w:softHyphen/>
        <w:t>dómar þar sem ákveðnar blóðfrumur (sem kallast rauðkyrningar) byrja að fjölga sér stjórnlaust. Glivec hamlar fjölgun þessara frumna hjá ákveðnum undirhópum sjúkdómanna.</w:t>
      </w:r>
    </w:p>
    <w:p w14:paraId="05B8C1A9"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lastRenderedPageBreak/>
        <w:t>-</w:t>
      </w:r>
      <w:r w:rsidRPr="006774D3">
        <w:rPr>
          <w:color w:val="000000"/>
          <w:sz w:val="22"/>
          <w:szCs w:val="22"/>
          <w:lang w:val="is-IS"/>
        </w:rPr>
        <w:tab/>
      </w:r>
      <w:r w:rsidRPr="006774D3">
        <w:rPr>
          <w:b/>
          <w:color w:val="000000"/>
          <w:sz w:val="22"/>
          <w:szCs w:val="22"/>
          <w:lang w:val="is-IS"/>
        </w:rPr>
        <w:t>Æxli í uppistöðuvef maga og þarma (GIST).</w:t>
      </w:r>
      <w:r w:rsidRPr="006774D3">
        <w:rPr>
          <w:color w:val="000000"/>
          <w:sz w:val="22"/>
          <w:szCs w:val="22"/>
          <w:lang w:val="is-IS"/>
        </w:rPr>
        <w:t xml:space="preserve"> GIST er krabbamein í maga og þörmum. Það kemur upp vegna óhefts frumuvaxtar í stoðvef þessara líffæra.</w:t>
      </w:r>
    </w:p>
    <w:p w14:paraId="05B8C1AA" w14:textId="77777777" w:rsidR="004A6901" w:rsidRPr="006774D3" w:rsidRDefault="004A6901" w:rsidP="00E22B2C">
      <w:pPr>
        <w:keepNext/>
        <w:keepLines/>
        <w:ind w:left="567" w:hanging="567"/>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Gnúpahúðbandvefssarkmeini (dermatofibro</w:t>
      </w:r>
      <w:r w:rsidRPr="006774D3">
        <w:rPr>
          <w:b/>
          <w:color w:val="000000"/>
          <w:sz w:val="22"/>
          <w:szCs w:val="22"/>
        </w:rPr>
        <w:softHyphen/>
        <w:t>sarcoma protuberans [DFSP]).</w:t>
      </w:r>
      <w:r w:rsidRPr="006774D3">
        <w:rPr>
          <w:color w:val="000000"/>
          <w:sz w:val="22"/>
          <w:szCs w:val="22"/>
        </w:rPr>
        <w:t xml:space="preserve"> DFSP er krabbamein í vef undir húðinni, þar sem sumar frumur byrja að fjölga sér stjórnlaust. Glivec hamlar vexti þessara frumna.</w:t>
      </w:r>
    </w:p>
    <w:p w14:paraId="05B8C1AB" w14:textId="77777777" w:rsidR="004A6901" w:rsidRPr="006774D3" w:rsidRDefault="004A6901" w:rsidP="00F77C66">
      <w:pPr>
        <w:ind w:left="567" w:hanging="567"/>
        <w:rPr>
          <w:color w:val="000000"/>
          <w:sz w:val="22"/>
          <w:szCs w:val="22"/>
        </w:rPr>
      </w:pPr>
      <w:r w:rsidRPr="006774D3">
        <w:rPr>
          <w:color w:val="000000"/>
          <w:sz w:val="22"/>
          <w:szCs w:val="22"/>
        </w:rPr>
        <w:t>Hér eftir verða skammstafanirnar notaðar þegar fjallað er um þessa sjúkdóma í fylgiseðlinum.</w:t>
      </w:r>
    </w:p>
    <w:p w14:paraId="05B8C1AC" w14:textId="77777777" w:rsidR="004A6901" w:rsidRPr="006774D3" w:rsidRDefault="004A6901" w:rsidP="00F77C66">
      <w:pPr>
        <w:rPr>
          <w:color w:val="000000"/>
          <w:sz w:val="22"/>
          <w:szCs w:val="22"/>
        </w:rPr>
      </w:pPr>
    </w:p>
    <w:p w14:paraId="05B8C1AD" w14:textId="77777777" w:rsidR="004A6901" w:rsidRPr="006774D3" w:rsidRDefault="004A6901" w:rsidP="00F77C66">
      <w:pPr>
        <w:rPr>
          <w:color w:val="000000"/>
          <w:sz w:val="22"/>
          <w:szCs w:val="22"/>
        </w:rPr>
      </w:pPr>
      <w:r w:rsidRPr="006774D3">
        <w:rPr>
          <w:color w:val="000000"/>
          <w:sz w:val="22"/>
          <w:szCs w:val="22"/>
        </w:rPr>
        <w:t>Ef þú hefur einhverjar spurningar um hvernig Glivec verkar eða hvers vegna þessu lyfi hefur verið ávísað skal leita til læknisins.</w:t>
      </w:r>
    </w:p>
    <w:p w14:paraId="05B8C1AE" w14:textId="77777777" w:rsidR="004A6901" w:rsidRPr="006774D3" w:rsidRDefault="004A6901" w:rsidP="00F77C66">
      <w:pPr>
        <w:rPr>
          <w:color w:val="000000"/>
          <w:sz w:val="22"/>
          <w:szCs w:val="22"/>
        </w:rPr>
      </w:pPr>
    </w:p>
    <w:p w14:paraId="05B8C1AF" w14:textId="77777777" w:rsidR="004A6901" w:rsidRPr="006774D3" w:rsidRDefault="004A6901" w:rsidP="00F77C66">
      <w:pPr>
        <w:rPr>
          <w:color w:val="000000"/>
          <w:sz w:val="22"/>
          <w:szCs w:val="22"/>
        </w:rPr>
      </w:pPr>
    </w:p>
    <w:p w14:paraId="05B8C1B0" w14:textId="77777777" w:rsidR="004A6901" w:rsidRPr="006774D3" w:rsidRDefault="004A6901" w:rsidP="00F77C66">
      <w:pPr>
        <w:keepNext/>
        <w:ind w:right="-2"/>
        <w:rPr>
          <w:color w:val="000000"/>
          <w:sz w:val="22"/>
          <w:szCs w:val="22"/>
        </w:rPr>
      </w:pPr>
      <w:r w:rsidRPr="006774D3">
        <w:rPr>
          <w:b/>
          <w:color w:val="000000"/>
          <w:sz w:val="22"/>
          <w:szCs w:val="22"/>
        </w:rPr>
        <w:t>2.</w:t>
      </w:r>
      <w:r w:rsidRPr="006774D3">
        <w:rPr>
          <w:b/>
          <w:color w:val="000000"/>
          <w:sz w:val="22"/>
          <w:szCs w:val="22"/>
        </w:rPr>
        <w:tab/>
        <w:t>Áður en byrjað er að nota Glivec</w:t>
      </w:r>
    </w:p>
    <w:p w14:paraId="05B8C1B1" w14:textId="77777777" w:rsidR="004A6901" w:rsidRPr="006774D3" w:rsidRDefault="004A6901" w:rsidP="00F77C66">
      <w:pPr>
        <w:keepNext/>
        <w:rPr>
          <w:color w:val="000000"/>
          <w:sz w:val="22"/>
          <w:szCs w:val="22"/>
        </w:rPr>
      </w:pPr>
    </w:p>
    <w:p w14:paraId="05B8C1B2" w14:textId="77777777" w:rsidR="004A6901" w:rsidRPr="006774D3" w:rsidRDefault="004A6901" w:rsidP="00F77C66">
      <w:pPr>
        <w:keepNext/>
        <w:rPr>
          <w:color w:val="000000"/>
          <w:sz w:val="22"/>
          <w:szCs w:val="22"/>
        </w:rPr>
      </w:pPr>
      <w:r w:rsidRPr="006774D3">
        <w:rPr>
          <w:color w:val="000000"/>
          <w:sz w:val="22"/>
          <w:szCs w:val="22"/>
        </w:rPr>
        <w:t>Einungis læknir með reynslu af lyfjum til meðferðar við blóðkrabbameinum eða æxlum mun ávísa Glivec.</w:t>
      </w:r>
    </w:p>
    <w:p w14:paraId="05B8C1B3" w14:textId="77777777" w:rsidR="004A6901" w:rsidRPr="006774D3" w:rsidRDefault="004A6901" w:rsidP="00F77C66">
      <w:pPr>
        <w:rPr>
          <w:color w:val="000000"/>
          <w:sz w:val="22"/>
          <w:szCs w:val="22"/>
        </w:rPr>
      </w:pPr>
    </w:p>
    <w:p w14:paraId="05B8C1B4" w14:textId="77777777" w:rsidR="004A6901" w:rsidRPr="006774D3" w:rsidRDefault="004A6901" w:rsidP="00F77C66">
      <w:pPr>
        <w:rPr>
          <w:color w:val="000000"/>
          <w:sz w:val="22"/>
          <w:szCs w:val="22"/>
        </w:rPr>
      </w:pPr>
      <w:r w:rsidRPr="006774D3">
        <w:rPr>
          <w:color w:val="000000"/>
          <w:sz w:val="22"/>
          <w:szCs w:val="22"/>
        </w:rPr>
        <w:t>Fara skal nákvæmlega eftir öllum fyrirmælum læknisins, jafnvel þótt þau séu frábrugðin almennu upplýsingunum í þessum fylgiseðli.</w:t>
      </w:r>
    </w:p>
    <w:p w14:paraId="05B8C1B5" w14:textId="77777777" w:rsidR="004A6901" w:rsidRPr="006774D3" w:rsidRDefault="004A6901" w:rsidP="00F77C66">
      <w:pPr>
        <w:pStyle w:val="EndnoteText"/>
        <w:overflowPunct w:val="0"/>
        <w:autoSpaceDE w:val="0"/>
        <w:autoSpaceDN w:val="0"/>
        <w:adjustRightInd w:val="0"/>
        <w:spacing w:before="0" w:after="0"/>
        <w:ind w:left="0" w:firstLine="0"/>
        <w:textAlignment w:val="baseline"/>
        <w:rPr>
          <w:color w:val="000000"/>
          <w:sz w:val="22"/>
          <w:szCs w:val="22"/>
          <w:lang w:val="is-IS"/>
        </w:rPr>
      </w:pPr>
    </w:p>
    <w:p w14:paraId="05B8C1B6" w14:textId="77777777" w:rsidR="004A6901" w:rsidRPr="006774D3" w:rsidRDefault="004A6901" w:rsidP="00F77C66">
      <w:pPr>
        <w:keepNext/>
        <w:ind w:right="-2"/>
        <w:outlineLvl w:val="0"/>
        <w:rPr>
          <w:color w:val="000000"/>
          <w:sz w:val="22"/>
          <w:szCs w:val="22"/>
        </w:rPr>
      </w:pPr>
      <w:r w:rsidRPr="006774D3">
        <w:rPr>
          <w:b/>
          <w:color w:val="000000"/>
          <w:sz w:val="22"/>
          <w:szCs w:val="22"/>
        </w:rPr>
        <w:t>Ekki má nota Glivec:</w:t>
      </w:r>
    </w:p>
    <w:p w14:paraId="05B8C1B7" w14:textId="77777777" w:rsidR="004A6901" w:rsidRPr="006774D3" w:rsidRDefault="004A6901" w:rsidP="00F77C66">
      <w:pPr>
        <w:pStyle w:val="EndnoteText"/>
        <w:keepN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ef um er að ræða ofnæmi fyrir imatinibi eða einhverju öðru innihaldsefni lyfsins (talin upp í kafla 6).</w:t>
      </w:r>
    </w:p>
    <w:p w14:paraId="05B8C1B8" w14:textId="77777777" w:rsidR="004A6901" w:rsidRPr="006774D3" w:rsidRDefault="004A6901" w:rsidP="00E22B2C">
      <w:pPr>
        <w:pStyle w:val="EndnoteText"/>
        <w:spacing w:before="0" w:after="0"/>
        <w:ind w:left="567" w:hanging="567"/>
        <w:rPr>
          <w:color w:val="000000"/>
          <w:sz w:val="22"/>
          <w:szCs w:val="22"/>
          <w:lang w:val="is-IS"/>
        </w:rPr>
      </w:pPr>
      <w:r w:rsidRPr="006774D3">
        <w:rPr>
          <w:color w:val="000000"/>
          <w:sz w:val="22"/>
          <w:szCs w:val="22"/>
          <w:lang w:val="is-IS"/>
        </w:rPr>
        <w:t xml:space="preserve">Ef þetta á við um þig </w:t>
      </w:r>
      <w:r w:rsidRPr="006774D3">
        <w:rPr>
          <w:b/>
          <w:color w:val="000000"/>
          <w:sz w:val="22"/>
          <w:szCs w:val="22"/>
          <w:lang w:val="is-IS"/>
        </w:rPr>
        <w:t>skaltu láta lækninn vita án þess að nota Glivec.</w:t>
      </w:r>
    </w:p>
    <w:p w14:paraId="05B8C1B9" w14:textId="77777777" w:rsidR="004A6901" w:rsidRPr="006774D3" w:rsidRDefault="004A6901" w:rsidP="00F77C66">
      <w:pPr>
        <w:pStyle w:val="EndnoteText"/>
        <w:spacing w:before="0" w:after="0"/>
        <w:ind w:left="567" w:hanging="567"/>
        <w:rPr>
          <w:color w:val="000000"/>
          <w:sz w:val="22"/>
          <w:szCs w:val="22"/>
          <w:lang w:val="is-IS"/>
        </w:rPr>
      </w:pPr>
    </w:p>
    <w:p w14:paraId="05B8C1BA" w14:textId="77777777" w:rsidR="004A6901" w:rsidRPr="006774D3" w:rsidRDefault="004A6901" w:rsidP="00F77C66">
      <w:pPr>
        <w:pStyle w:val="EndnoteText"/>
        <w:spacing w:before="0" w:after="0"/>
        <w:ind w:left="567" w:hanging="567"/>
        <w:rPr>
          <w:color w:val="000000"/>
          <w:sz w:val="22"/>
          <w:szCs w:val="22"/>
          <w:lang w:val="is-IS"/>
        </w:rPr>
      </w:pPr>
      <w:r w:rsidRPr="006774D3">
        <w:rPr>
          <w:color w:val="000000"/>
          <w:sz w:val="22"/>
          <w:szCs w:val="22"/>
          <w:lang w:val="is-IS"/>
        </w:rPr>
        <w:t>Ef þú telur að þú kunnir að vera með ofnæmi en ert ekki viss, skaltu leita ráða hjá lækninum.</w:t>
      </w:r>
    </w:p>
    <w:p w14:paraId="05B8C1BB" w14:textId="77777777" w:rsidR="004A6901" w:rsidRPr="006774D3" w:rsidRDefault="004A6901" w:rsidP="00F77C66">
      <w:pPr>
        <w:numPr>
          <w:ilvl w:val="12"/>
          <w:numId w:val="0"/>
        </w:numPr>
        <w:ind w:right="-2"/>
        <w:rPr>
          <w:color w:val="000000"/>
          <w:sz w:val="22"/>
          <w:szCs w:val="22"/>
        </w:rPr>
      </w:pPr>
    </w:p>
    <w:p w14:paraId="05B8C1BC" w14:textId="77777777" w:rsidR="004A6901" w:rsidRPr="006774D3" w:rsidRDefault="004A6901" w:rsidP="00F77C66">
      <w:pPr>
        <w:pStyle w:val="BodyText"/>
        <w:keepNext/>
        <w:numPr>
          <w:ilvl w:val="12"/>
          <w:numId w:val="0"/>
        </w:numPr>
        <w:outlineLvl w:val="0"/>
        <w:rPr>
          <w:color w:val="000000"/>
          <w:szCs w:val="22"/>
        </w:rPr>
      </w:pPr>
      <w:r w:rsidRPr="006774D3">
        <w:rPr>
          <w:color w:val="000000"/>
          <w:szCs w:val="22"/>
        </w:rPr>
        <w:t>Varnaðarorð og varúðarreglur</w:t>
      </w:r>
    </w:p>
    <w:p w14:paraId="05B8C1BD" w14:textId="77777777" w:rsidR="004A6901" w:rsidRPr="006774D3" w:rsidRDefault="004A6901" w:rsidP="00F77C66">
      <w:pPr>
        <w:pStyle w:val="EndnoteText"/>
        <w:keepNext/>
        <w:spacing w:before="0" w:after="0"/>
        <w:ind w:left="0" w:firstLine="0"/>
        <w:rPr>
          <w:color w:val="000000"/>
          <w:sz w:val="22"/>
          <w:szCs w:val="22"/>
          <w:lang w:val="is-IS"/>
        </w:rPr>
      </w:pPr>
      <w:r w:rsidRPr="006774D3">
        <w:rPr>
          <w:color w:val="000000"/>
          <w:sz w:val="22"/>
          <w:szCs w:val="22"/>
          <w:lang w:val="is-IS"/>
        </w:rPr>
        <w:t>Leitið ráða hjá lækninum áður en Glivec er notað:</w:t>
      </w:r>
    </w:p>
    <w:p w14:paraId="05B8C1BE" w14:textId="77777777" w:rsidR="004A6901" w:rsidRPr="006774D3" w:rsidRDefault="004A6901" w:rsidP="00E22B2C">
      <w:pPr>
        <w:pStyle w:val="EndnoteText"/>
        <w:spacing w:before="0" w:after="0"/>
        <w:ind w:left="0" w:firstLine="0"/>
        <w:rPr>
          <w:color w:val="000000"/>
          <w:sz w:val="22"/>
          <w:szCs w:val="22"/>
          <w:lang w:val="is-IS"/>
        </w:rPr>
      </w:pPr>
      <w:r w:rsidRPr="006774D3">
        <w:rPr>
          <w:color w:val="000000"/>
          <w:sz w:val="22"/>
          <w:szCs w:val="22"/>
          <w:lang w:val="is-IS"/>
        </w:rPr>
        <w:t>-</w:t>
      </w:r>
      <w:r w:rsidRPr="006774D3">
        <w:rPr>
          <w:color w:val="000000"/>
          <w:sz w:val="22"/>
          <w:szCs w:val="22"/>
          <w:lang w:val="is-IS"/>
        </w:rPr>
        <w:tab/>
        <w:t>ef þú ert með eða hefur einhvern tímann verið með lifrar-, nýrna- eða hjartasjúkdóm.</w:t>
      </w:r>
    </w:p>
    <w:p w14:paraId="05B8C1BF" w14:textId="77777777" w:rsidR="004A6901" w:rsidRPr="006774D3" w:rsidRDefault="004A6901" w:rsidP="00E22B2C">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ef þú ert að nota lyfið levotyroxin vegna þess að skjaldkirtillinn hefur verið fjarlægður.</w:t>
      </w:r>
    </w:p>
    <w:p w14:paraId="05B8C1C0" w14:textId="77777777" w:rsidR="00965D3C" w:rsidRPr="006774D3" w:rsidRDefault="002871A2" w:rsidP="00E22B2C">
      <w:pPr>
        <w:pStyle w:val="EndnoteText"/>
        <w:spacing w:before="0" w:after="0"/>
        <w:ind w:left="567" w:hanging="567"/>
        <w:rPr>
          <w:sz w:val="22"/>
          <w:lang w:val="is-IS"/>
        </w:rPr>
      </w:pPr>
      <w:r w:rsidRPr="006774D3">
        <w:rPr>
          <w:sz w:val="22"/>
          <w:lang w:val="is-IS"/>
        </w:rPr>
        <w:t>-</w:t>
      </w:r>
      <w:r w:rsidRPr="006774D3">
        <w:rPr>
          <w:sz w:val="22"/>
          <w:lang w:val="is-IS"/>
        </w:rPr>
        <w:tab/>
        <w:t>ef þú hefur nokkurn tíma fengið eða gætir núna verið með lifrarbólgu B sýkingu. Þetta er vegna þess að Glivec gæti endurvirkjað lifrarbólgu B sýkingu, sem getur í sumum tilvikum orðið banvæn. Áður en meðferð er hafin mun læknirinn skoða sjúklinga vandlega með tilliti til einkenna sýkingarinnar.</w:t>
      </w:r>
    </w:p>
    <w:p w14:paraId="05B8C1C1" w14:textId="77777777" w:rsidR="002871A2" w:rsidRPr="006774D3" w:rsidRDefault="00965D3C" w:rsidP="00F77C66">
      <w:pPr>
        <w:pStyle w:val="EndnoteText"/>
        <w:keepNext/>
        <w:spacing w:before="0" w:after="0"/>
        <w:ind w:left="567" w:hanging="567"/>
        <w:rPr>
          <w:color w:val="000000"/>
          <w:sz w:val="22"/>
          <w:szCs w:val="22"/>
          <w:lang w:val="is-IS"/>
        </w:rPr>
      </w:pPr>
      <w:r w:rsidRPr="006774D3">
        <w:rPr>
          <w:sz w:val="22"/>
          <w:lang w:val="is-IS"/>
        </w:rPr>
        <w:t>-</w:t>
      </w:r>
      <w:r w:rsidRPr="006774D3">
        <w:rPr>
          <w:sz w:val="22"/>
          <w:lang w:val="is-IS"/>
        </w:rPr>
        <w:tab/>
        <w:t xml:space="preserve">ef þú færð marbletti, blæðingar, hita, þreytu og ringlun á meðan Glivec er notað skaltu hafa samband við lækninn. Þetta geta verið einkenni um skemmdir í æðum sem kallast </w:t>
      </w:r>
      <w:r w:rsidRPr="006774D3">
        <w:rPr>
          <w:color w:val="000000"/>
          <w:sz w:val="22"/>
          <w:szCs w:val="22"/>
          <w:lang w:val="is-IS"/>
        </w:rPr>
        <w:t>segaöræðakvilli</w:t>
      </w:r>
      <w:r w:rsidRPr="006774D3">
        <w:rPr>
          <w:sz w:val="22"/>
          <w:lang w:val="is-IS"/>
        </w:rPr>
        <w:t>.</w:t>
      </w:r>
    </w:p>
    <w:p w14:paraId="05B8C1C2" w14:textId="77777777" w:rsidR="004A6901" w:rsidRPr="006774D3" w:rsidRDefault="004A6901" w:rsidP="00F77C66">
      <w:pPr>
        <w:ind w:right="-2"/>
        <w:rPr>
          <w:color w:val="000000"/>
          <w:sz w:val="22"/>
          <w:szCs w:val="22"/>
        </w:rPr>
      </w:pPr>
      <w:r w:rsidRPr="006774D3">
        <w:rPr>
          <w:color w:val="000000"/>
          <w:sz w:val="22"/>
          <w:szCs w:val="22"/>
        </w:rPr>
        <w:t xml:space="preserve">Ef eitthvað af þessu á við </w:t>
      </w:r>
      <w:r w:rsidRPr="006774D3">
        <w:rPr>
          <w:b/>
          <w:color w:val="000000"/>
          <w:sz w:val="22"/>
          <w:szCs w:val="22"/>
        </w:rPr>
        <w:t>skal láta lækninn vita áður en byrjað er að nota Glivec</w:t>
      </w:r>
      <w:r w:rsidRPr="006774D3">
        <w:rPr>
          <w:color w:val="000000"/>
          <w:sz w:val="22"/>
          <w:szCs w:val="22"/>
        </w:rPr>
        <w:t>.</w:t>
      </w:r>
    </w:p>
    <w:p w14:paraId="05B8C1C3" w14:textId="77777777" w:rsidR="00DB085C" w:rsidRPr="006774D3" w:rsidRDefault="00DB085C" w:rsidP="00F77C66">
      <w:pPr>
        <w:ind w:right="-2"/>
        <w:rPr>
          <w:color w:val="000000"/>
          <w:sz w:val="22"/>
          <w:szCs w:val="22"/>
        </w:rPr>
      </w:pPr>
    </w:p>
    <w:p w14:paraId="05B8C1C4" w14:textId="77777777" w:rsidR="00DB085C" w:rsidRPr="006774D3" w:rsidRDefault="00DB085C" w:rsidP="00F77C66">
      <w:pPr>
        <w:ind w:right="-2"/>
        <w:rPr>
          <w:color w:val="000000"/>
          <w:sz w:val="22"/>
          <w:szCs w:val="22"/>
        </w:rPr>
      </w:pPr>
      <w:r w:rsidRPr="006774D3">
        <w:rPr>
          <w:color w:val="000000"/>
          <w:sz w:val="22"/>
          <w:szCs w:val="22"/>
        </w:rPr>
        <w:t>Þú getur orðið viðkvæmari fyrir sól meðan á meðferð með Glivec stendur. Það er mikilvægt að hylja húðsvæði sem eru berskjölduð fyrir sól og nota sólarvörn með háum sólvarnarstuðli (SPF). Þessar varúðarráðstafanir eiga einnig við um börn.</w:t>
      </w:r>
    </w:p>
    <w:p w14:paraId="05B8C1C5" w14:textId="77777777" w:rsidR="004A6901" w:rsidRPr="006774D3" w:rsidRDefault="004A6901" w:rsidP="00F77C66">
      <w:pPr>
        <w:ind w:right="-2"/>
        <w:rPr>
          <w:color w:val="000000"/>
          <w:sz w:val="22"/>
          <w:szCs w:val="22"/>
        </w:rPr>
      </w:pPr>
    </w:p>
    <w:p w14:paraId="05B8C1C6" w14:textId="77777777" w:rsidR="004A6901" w:rsidRPr="006774D3" w:rsidRDefault="004A6901" w:rsidP="00F77C66">
      <w:pPr>
        <w:ind w:right="-2"/>
        <w:rPr>
          <w:color w:val="000000"/>
          <w:sz w:val="22"/>
          <w:szCs w:val="22"/>
        </w:rPr>
      </w:pPr>
      <w:r w:rsidRPr="006774D3">
        <w:rPr>
          <w:b/>
          <w:color w:val="000000"/>
          <w:sz w:val="22"/>
          <w:szCs w:val="22"/>
        </w:rPr>
        <w:t>Meðan á meðferð með Glivec stendur skaltu láta lækninn tafarlaust vita</w:t>
      </w:r>
      <w:r w:rsidRPr="006774D3">
        <w:rPr>
          <w:color w:val="000000"/>
          <w:sz w:val="22"/>
          <w:szCs w:val="22"/>
        </w:rPr>
        <w:t xml:space="preserve"> ef þú þyngist hratt. Glivec getur valdið því að vatn safnast fyrir í líkamanum (veruleg vökvasöfnun).</w:t>
      </w:r>
    </w:p>
    <w:p w14:paraId="05B8C1C7" w14:textId="77777777" w:rsidR="004A6901" w:rsidRPr="006774D3" w:rsidRDefault="004A6901" w:rsidP="00F77C66">
      <w:pPr>
        <w:ind w:right="-2"/>
        <w:rPr>
          <w:color w:val="000000"/>
          <w:sz w:val="22"/>
          <w:szCs w:val="22"/>
        </w:rPr>
      </w:pPr>
    </w:p>
    <w:p w14:paraId="05B8C1C8" w14:textId="77777777" w:rsidR="004A6901" w:rsidRPr="006774D3" w:rsidRDefault="004A6901" w:rsidP="00F77C66">
      <w:pPr>
        <w:ind w:right="-2"/>
        <w:rPr>
          <w:color w:val="000000"/>
          <w:sz w:val="22"/>
          <w:szCs w:val="22"/>
        </w:rPr>
      </w:pPr>
      <w:r w:rsidRPr="006774D3">
        <w:rPr>
          <w:color w:val="000000"/>
          <w:sz w:val="22"/>
          <w:szCs w:val="22"/>
        </w:rPr>
        <w:t>Á meðan þú notar Glivec mun læknirinn fylgjast reglulega með því hvort lyfið virkar. Einnig verður fylgst reglulega með blóðhag og þyngd þann tíma sem Glivec er notað.</w:t>
      </w:r>
    </w:p>
    <w:p w14:paraId="05B8C1C9" w14:textId="77777777" w:rsidR="004A6901" w:rsidRPr="006774D3" w:rsidRDefault="004A6901" w:rsidP="00F77C66">
      <w:pPr>
        <w:ind w:right="-2"/>
        <w:rPr>
          <w:color w:val="000000"/>
          <w:sz w:val="22"/>
          <w:szCs w:val="22"/>
        </w:rPr>
      </w:pPr>
    </w:p>
    <w:p w14:paraId="05B8C1CA" w14:textId="77777777" w:rsidR="004A6901" w:rsidRPr="006774D3" w:rsidRDefault="004A6901" w:rsidP="00E22B2C">
      <w:pPr>
        <w:keepNext/>
        <w:rPr>
          <w:b/>
          <w:color w:val="000000"/>
          <w:sz w:val="22"/>
          <w:szCs w:val="22"/>
        </w:rPr>
      </w:pPr>
      <w:r w:rsidRPr="006774D3">
        <w:rPr>
          <w:b/>
          <w:color w:val="000000"/>
          <w:sz w:val="22"/>
          <w:szCs w:val="22"/>
        </w:rPr>
        <w:t>Börn og unglingar</w:t>
      </w:r>
    </w:p>
    <w:p w14:paraId="05B8C1CB" w14:textId="77777777" w:rsidR="004A6901" w:rsidRPr="006774D3" w:rsidRDefault="004A6901" w:rsidP="00F77C66">
      <w:pPr>
        <w:ind w:right="-2"/>
        <w:rPr>
          <w:color w:val="000000"/>
          <w:sz w:val="22"/>
          <w:szCs w:val="22"/>
        </w:rPr>
      </w:pPr>
      <w:r w:rsidRPr="006774D3">
        <w:rPr>
          <w:color w:val="000000"/>
          <w:sz w:val="22"/>
          <w:szCs w:val="22"/>
        </w:rPr>
        <w:t>Glivec er einnig ætlað til meðferðar hjá börnum með CML. Engin reynsla er af notkun Glivec handa börnum yngri en 2 ára sem eru með CML. Takmörkuð reynsla er af meðferð hjá börnum með Ph-jákvætt ALL</w:t>
      </w:r>
      <w:r w:rsidR="00241D8B" w:rsidRPr="006774D3">
        <w:rPr>
          <w:color w:val="000000"/>
          <w:sz w:val="22"/>
          <w:szCs w:val="22"/>
        </w:rPr>
        <w:t xml:space="preserve"> og mjög takmörkuð reynsla er af meðferð hjá börnum með MDS/MPD, DFSP, GIST og HES/CEL</w:t>
      </w:r>
      <w:r w:rsidRPr="006774D3">
        <w:rPr>
          <w:color w:val="000000"/>
          <w:sz w:val="22"/>
          <w:szCs w:val="22"/>
        </w:rPr>
        <w:t>.</w:t>
      </w:r>
    </w:p>
    <w:p w14:paraId="05B8C1CC" w14:textId="77777777" w:rsidR="004A6901" w:rsidRPr="006774D3" w:rsidRDefault="004A6901" w:rsidP="00F77C66">
      <w:pPr>
        <w:ind w:right="-2"/>
        <w:rPr>
          <w:color w:val="000000"/>
          <w:sz w:val="22"/>
          <w:szCs w:val="22"/>
        </w:rPr>
      </w:pPr>
    </w:p>
    <w:p w14:paraId="05B8C1CD" w14:textId="77777777" w:rsidR="004A6901" w:rsidRPr="006774D3" w:rsidRDefault="004A6901" w:rsidP="00F77C66">
      <w:pPr>
        <w:ind w:right="-2"/>
        <w:rPr>
          <w:color w:val="000000"/>
          <w:sz w:val="22"/>
          <w:szCs w:val="22"/>
        </w:rPr>
      </w:pPr>
      <w:r w:rsidRPr="006774D3">
        <w:rPr>
          <w:color w:val="000000"/>
          <w:sz w:val="22"/>
          <w:szCs w:val="22"/>
        </w:rPr>
        <w:t>Verið getur að sum börn og unglingar sem taka Glivec stækki hægar en eðlilegt er. Læknirinn mun fylgjast með vextinum í reglulegum heimsóknum til hans.</w:t>
      </w:r>
    </w:p>
    <w:p w14:paraId="05B8C1CE" w14:textId="77777777" w:rsidR="004A6901" w:rsidRPr="006774D3" w:rsidRDefault="004A6901" w:rsidP="00F77C66">
      <w:pPr>
        <w:ind w:right="-2"/>
        <w:rPr>
          <w:color w:val="000000"/>
          <w:sz w:val="22"/>
          <w:szCs w:val="22"/>
        </w:rPr>
      </w:pPr>
    </w:p>
    <w:p w14:paraId="05B8C1CF" w14:textId="77777777" w:rsidR="004A6901" w:rsidRPr="006774D3" w:rsidRDefault="004A6901" w:rsidP="00F77C66">
      <w:pPr>
        <w:keepNext/>
        <w:ind w:right="-2"/>
        <w:rPr>
          <w:color w:val="000000"/>
          <w:sz w:val="22"/>
          <w:szCs w:val="22"/>
        </w:rPr>
      </w:pPr>
      <w:r w:rsidRPr="006774D3">
        <w:rPr>
          <w:b/>
          <w:color w:val="000000"/>
          <w:sz w:val="22"/>
          <w:szCs w:val="22"/>
        </w:rPr>
        <w:t>Notkun annarra lyfja samhliða Glivec</w:t>
      </w:r>
    </w:p>
    <w:p w14:paraId="05B8C1D0" w14:textId="77777777" w:rsidR="004A6901" w:rsidRPr="006774D3" w:rsidRDefault="004A6901" w:rsidP="00E22B2C">
      <w:pPr>
        <w:numPr>
          <w:ilvl w:val="12"/>
          <w:numId w:val="0"/>
        </w:numPr>
        <w:ind w:right="-28"/>
        <w:rPr>
          <w:color w:val="000000"/>
          <w:sz w:val="22"/>
          <w:szCs w:val="22"/>
        </w:rPr>
      </w:pPr>
      <w:r w:rsidRPr="006774D3">
        <w:rPr>
          <w:color w:val="000000"/>
          <w:sz w:val="22"/>
          <w:szCs w:val="22"/>
        </w:rPr>
        <w:t>Látið lækninn eða lyfjafræðing vita um öll önnur lyf sem eru notuð, hafa nýlega verið notuð eða kynnu að verða notuð, þar með talið lyf sem fengin eru án lyfseðils (svo sem paracetamol) og einnig náttúrulyf (svo sem jóhannesarjurt [jónsmessurunni, St. John’s wort]). Við samhliða notkun geta sum lyf haft áhrif á verkun Glivec. Þau geta aukið eða dregið úr verkun Glivec, valdið meiri aukaverkunum eða dregið úr árangri meðferðar með Glivec. Glivec getur haft sömu áhrif á sum önnur lyf.</w:t>
      </w:r>
    </w:p>
    <w:p w14:paraId="05B8C1D1" w14:textId="77777777" w:rsidR="00F16D8B" w:rsidRPr="006774D3" w:rsidRDefault="00F16D8B" w:rsidP="00F77C66">
      <w:pPr>
        <w:ind w:right="-2"/>
        <w:rPr>
          <w:color w:val="000000"/>
          <w:sz w:val="22"/>
          <w:szCs w:val="22"/>
        </w:rPr>
      </w:pPr>
    </w:p>
    <w:p w14:paraId="05B8C1D2" w14:textId="77777777" w:rsidR="00F16D8B" w:rsidRPr="006774D3" w:rsidRDefault="00F16D8B" w:rsidP="00F77C66">
      <w:pPr>
        <w:ind w:right="-2"/>
        <w:rPr>
          <w:color w:val="000000"/>
          <w:sz w:val="22"/>
          <w:szCs w:val="22"/>
        </w:rPr>
      </w:pPr>
      <w:r w:rsidRPr="006774D3">
        <w:rPr>
          <w:color w:val="000000"/>
          <w:sz w:val="22"/>
          <w:szCs w:val="22"/>
        </w:rPr>
        <w:t>Láttu lækninn vita ef þú notar lyf sem koma í veg fyrir myndun blóðtappa.</w:t>
      </w:r>
    </w:p>
    <w:p w14:paraId="05B8C1D3" w14:textId="77777777" w:rsidR="004A6901" w:rsidRPr="006774D3" w:rsidRDefault="004A6901" w:rsidP="00F77C66">
      <w:pPr>
        <w:ind w:right="-2"/>
        <w:rPr>
          <w:color w:val="000000"/>
          <w:sz w:val="22"/>
          <w:szCs w:val="22"/>
        </w:rPr>
      </w:pPr>
    </w:p>
    <w:p w14:paraId="05B8C1D4" w14:textId="77777777" w:rsidR="004A6901" w:rsidRPr="006774D3" w:rsidRDefault="004A6901" w:rsidP="00F77C66">
      <w:pPr>
        <w:keepNext/>
        <w:rPr>
          <w:color w:val="000000"/>
          <w:sz w:val="22"/>
          <w:szCs w:val="22"/>
        </w:rPr>
      </w:pPr>
      <w:r w:rsidRPr="006774D3">
        <w:rPr>
          <w:b/>
          <w:color w:val="000000"/>
          <w:sz w:val="22"/>
          <w:szCs w:val="22"/>
        </w:rPr>
        <w:t>Meðganga, brjóstagjöf og frjósemi</w:t>
      </w:r>
    </w:p>
    <w:p w14:paraId="05B8C1D5" w14:textId="77777777" w:rsidR="004A6901" w:rsidRPr="006774D3" w:rsidRDefault="004A6901" w:rsidP="00E22B2C">
      <w:pPr>
        <w:ind w:left="567" w:hanging="567"/>
        <w:rPr>
          <w:color w:val="000000"/>
          <w:sz w:val="22"/>
          <w:szCs w:val="22"/>
        </w:rPr>
      </w:pPr>
      <w:r w:rsidRPr="006774D3">
        <w:rPr>
          <w:color w:val="000000"/>
          <w:sz w:val="22"/>
          <w:szCs w:val="22"/>
        </w:rPr>
        <w:t>-</w:t>
      </w:r>
      <w:r w:rsidRPr="006774D3">
        <w:rPr>
          <w:color w:val="000000"/>
          <w:sz w:val="22"/>
          <w:szCs w:val="22"/>
        </w:rPr>
        <w:tab/>
        <w:t>Við meðgöngu, brjóstagjöf, grun um þungun eða ef þungun er fyrirhuguð skal leita ráða hjá lækninum áður en lyfið er notað.</w:t>
      </w:r>
    </w:p>
    <w:p w14:paraId="05B8C1D6" w14:textId="77777777" w:rsidR="004A6901" w:rsidRPr="006774D3" w:rsidRDefault="004A6901" w:rsidP="00E22B2C">
      <w:pPr>
        <w:ind w:left="567" w:hanging="567"/>
        <w:rPr>
          <w:color w:val="000000"/>
          <w:sz w:val="22"/>
          <w:szCs w:val="22"/>
        </w:rPr>
      </w:pPr>
      <w:r w:rsidRPr="006774D3">
        <w:rPr>
          <w:color w:val="000000"/>
          <w:sz w:val="22"/>
          <w:szCs w:val="22"/>
        </w:rPr>
        <w:t>-</w:t>
      </w:r>
      <w:r w:rsidRPr="006774D3">
        <w:rPr>
          <w:color w:val="000000"/>
          <w:sz w:val="22"/>
          <w:szCs w:val="22"/>
        </w:rPr>
        <w:tab/>
        <w:t>Ekki er ráðlagt að nota Glivec á meðgöngu nema brýna nauðsyn beri til því það getur skaðað fóstrið. Læknirinn mun ræða við þig um hugsanlega áhættu við notkun Glivec á meðgöngu.</w:t>
      </w:r>
    </w:p>
    <w:p w14:paraId="05B8C1D7"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t>Konum sem gætu orðið þungaðar er ráðlagt að nota örugga getnaðarvörn meðan á meðferð stendur</w:t>
      </w:r>
      <w:r w:rsidR="006C3520" w:rsidRPr="006774D3">
        <w:rPr>
          <w:color w:val="000000"/>
          <w:sz w:val="22"/>
          <w:szCs w:val="22"/>
        </w:rPr>
        <w:t xml:space="preserve"> og í 15 daga eftir að meðferð lýkur</w:t>
      </w:r>
      <w:r w:rsidRPr="006774D3">
        <w:rPr>
          <w:color w:val="000000"/>
          <w:sz w:val="22"/>
          <w:szCs w:val="22"/>
        </w:rPr>
        <w:t>.</w:t>
      </w:r>
    </w:p>
    <w:p w14:paraId="05B8C1D8" w14:textId="77777777" w:rsidR="004A6901" w:rsidRPr="006774D3" w:rsidRDefault="004A6901" w:rsidP="00EC3F00">
      <w:pPr>
        <w:ind w:left="567" w:hanging="567"/>
        <w:rPr>
          <w:color w:val="000000"/>
          <w:sz w:val="22"/>
          <w:szCs w:val="22"/>
        </w:rPr>
      </w:pPr>
      <w:r w:rsidRPr="006774D3">
        <w:rPr>
          <w:color w:val="000000"/>
          <w:sz w:val="22"/>
          <w:szCs w:val="22"/>
        </w:rPr>
        <w:t>-</w:t>
      </w:r>
      <w:r w:rsidRPr="006774D3">
        <w:rPr>
          <w:color w:val="000000"/>
          <w:sz w:val="22"/>
          <w:szCs w:val="22"/>
        </w:rPr>
        <w:tab/>
        <w:t>Ekki hafa barn á brjósti meðan á meðferð með Glivec stendur</w:t>
      </w:r>
      <w:r w:rsidR="006C3520" w:rsidRPr="006774D3">
        <w:rPr>
          <w:color w:val="000000"/>
          <w:sz w:val="22"/>
          <w:szCs w:val="22"/>
        </w:rPr>
        <w:t xml:space="preserve"> og í 15 daga eftir að meðferð lýkur því það getur verið skaðlegt fyrir barnið</w:t>
      </w:r>
      <w:r w:rsidRPr="006774D3">
        <w:rPr>
          <w:color w:val="000000"/>
          <w:sz w:val="22"/>
          <w:szCs w:val="22"/>
        </w:rPr>
        <w:t>.</w:t>
      </w:r>
    </w:p>
    <w:p w14:paraId="05B8C1D9" w14:textId="77777777" w:rsidR="004A6901" w:rsidRPr="006774D3" w:rsidRDefault="004A6901" w:rsidP="00F77C66">
      <w:pPr>
        <w:ind w:left="567" w:hanging="567"/>
        <w:rPr>
          <w:color w:val="000000"/>
          <w:sz w:val="22"/>
          <w:szCs w:val="22"/>
        </w:rPr>
      </w:pPr>
      <w:r w:rsidRPr="006774D3">
        <w:rPr>
          <w:color w:val="000000"/>
          <w:sz w:val="22"/>
          <w:szCs w:val="22"/>
        </w:rPr>
        <w:t>-</w:t>
      </w:r>
      <w:r w:rsidRPr="006774D3">
        <w:rPr>
          <w:color w:val="000000"/>
          <w:sz w:val="22"/>
          <w:szCs w:val="22"/>
        </w:rPr>
        <w:tab/>
        <w:t>Sjúklingum sem hafa áhyggjur af frjósemi sinni meðan þeir eru á meðferð með Glivec er ráðlagt að ráðfæra sig við lækninn.</w:t>
      </w:r>
    </w:p>
    <w:p w14:paraId="05B8C1DA" w14:textId="77777777" w:rsidR="004A6901" w:rsidRPr="006774D3" w:rsidRDefault="004A6901" w:rsidP="00F77C66">
      <w:pPr>
        <w:pStyle w:val="EndnoteText"/>
        <w:spacing w:before="0" w:after="0"/>
        <w:ind w:left="0" w:firstLine="0"/>
        <w:rPr>
          <w:color w:val="000000"/>
          <w:sz w:val="22"/>
          <w:szCs w:val="22"/>
          <w:lang w:val="is-IS"/>
        </w:rPr>
      </w:pPr>
    </w:p>
    <w:p w14:paraId="05B8C1DB" w14:textId="77777777" w:rsidR="004A6901" w:rsidRPr="006774D3" w:rsidRDefault="004A6901" w:rsidP="00F77C66">
      <w:pPr>
        <w:keepNext/>
        <w:ind w:right="-2"/>
        <w:outlineLvl w:val="0"/>
        <w:rPr>
          <w:color w:val="000000"/>
          <w:sz w:val="22"/>
          <w:szCs w:val="22"/>
        </w:rPr>
      </w:pPr>
      <w:r w:rsidRPr="006774D3">
        <w:rPr>
          <w:b/>
          <w:color w:val="000000"/>
          <w:sz w:val="22"/>
          <w:szCs w:val="22"/>
        </w:rPr>
        <w:t>Akstur og notkun véla</w:t>
      </w:r>
    </w:p>
    <w:p w14:paraId="05B8C1DC" w14:textId="77777777" w:rsidR="004A6901" w:rsidRPr="006774D3" w:rsidRDefault="004A6901" w:rsidP="00E22B2C">
      <w:pPr>
        <w:ind w:right="-28"/>
        <w:rPr>
          <w:color w:val="000000"/>
          <w:sz w:val="22"/>
          <w:szCs w:val="22"/>
        </w:rPr>
      </w:pPr>
      <w:r w:rsidRPr="006774D3">
        <w:rPr>
          <w:color w:val="000000"/>
          <w:sz w:val="22"/>
          <w:szCs w:val="22"/>
        </w:rPr>
        <w:t>Þú getur fundið fyrir sundli eða syfju eða fengið þokusýn við notkun þessa lyfs. Ef þetta kemur fyrir máttu hvorki aka né nota nokkur tæki eða vélar fyrr en þetta er liðið hjá.</w:t>
      </w:r>
    </w:p>
    <w:p w14:paraId="05B8C1DD" w14:textId="77777777" w:rsidR="004A6901" w:rsidRPr="006774D3" w:rsidRDefault="004A6901" w:rsidP="00F77C66">
      <w:pPr>
        <w:ind w:right="-2"/>
        <w:rPr>
          <w:color w:val="000000"/>
          <w:sz w:val="22"/>
          <w:szCs w:val="22"/>
        </w:rPr>
      </w:pPr>
    </w:p>
    <w:p w14:paraId="05B8C1DE" w14:textId="77777777" w:rsidR="004A6901" w:rsidRPr="006774D3" w:rsidRDefault="004A6901" w:rsidP="00F77C66">
      <w:pPr>
        <w:ind w:right="-2"/>
        <w:rPr>
          <w:color w:val="000000"/>
          <w:sz w:val="22"/>
          <w:szCs w:val="22"/>
        </w:rPr>
      </w:pPr>
    </w:p>
    <w:p w14:paraId="05B8C1DF" w14:textId="77777777" w:rsidR="00D363A7" w:rsidRPr="006774D3" w:rsidRDefault="00D363A7" w:rsidP="00F77C66">
      <w:pPr>
        <w:keepNext/>
        <w:rPr>
          <w:color w:val="000000"/>
          <w:sz w:val="22"/>
          <w:szCs w:val="22"/>
        </w:rPr>
      </w:pPr>
      <w:r w:rsidRPr="006774D3">
        <w:rPr>
          <w:b/>
          <w:color w:val="000000"/>
          <w:sz w:val="22"/>
          <w:szCs w:val="22"/>
        </w:rPr>
        <w:t>3.</w:t>
      </w:r>
      <w:r w:rsidRPr="006774D3">
        <w:rPr>
          <w:b/>
          <w:color w:val="000000"/>
          <w:sz w:val="22"/>
          <w:szCs w:val="22"/>
        </w:rPr>
        <w:tab/>
      </w:r>
      <w:r w:rsidR="00C26825" w:rsidRPr="006774D3">
        <w:rPr>
          <w:b/>
          <w:color w:val="000000"/>
          <w:sz w:val="22"/>
          <w:szCs w:val="22"/>
        </w:rPr>
        <w:t>Hvernig nota á Glivec</w:t>
      </w:r>
    </w:p>
    <w:p w14:paraId="05B8C1E0" w14:textId="77777777" w:rsidR="00D363A7" w:rsidRPr="006774D3" w:rsidRDefault="00D363A7" w:rsidP="00F77C66">
      <w:pPr>
        <w:keepNext/>
        <w:rPr>
          <w:color w:val="000000"/>
          <w:sz w:val="22"/>
          <w:szCs w:val="22"/>
        </w:rPr>
      </w:pPr>
    </w:p>
    <w:p w14:paraId="05B8C1E1" w14:textId="77777777" w:rsidR="00D363A7" w:rsidRPr="006774D3" w:rsidRDefault="00D363A7" w:rsidP="00E22B2C">
      <w:pPr>
        <w:rPr>
          <w:color w:val="000000"/>
          <w:sz w:val="22"/>
          <w:szCs w:val="22"/>
        </w:rPr>
      </w:pPr>
      <w:r w:rsidRPr="006774D3">
        <w:rPr>
          <w:color w:val="000000"/>
          <w:sz w:val="22"/>
          <w:szCs w:val="22"/>
        </w:rPr>
        <w:t>Læknirinn hefur ávísað Glivec vegna þess að þú ert með alvarlegan sjúkdóm. Glivec getur hjálpað til í baráttunni við sjúkdóminn.</w:t>
      </w:r>
    </w:p>
    <w:p w14:paraId="05B8C1E2" w14:textId="77777777" w:rsidR="00D363A7" w:rsidRPr="006774D3" w:rsidRDefault="00D363A7" w:rsidP="00F77C66">
      <w:pPr>
        <w:rPr>
          <w:color w:val="000000"/>
          <w:sz w:val="22"/>
          <w:szCs w:val="22"/>
        </w:rPr>
      </w:pPr>
    </w:p>
    <w:p w14:paraId="05B8C1E3" w14:textId="77777777" w:rsidR="00D363A7" w:rsidRPr="006774D3" w:rsidRDefault="00C26825" w:rsidP="00F77C66">
      <w:pPr>
        <w:rPr>
          <w:color w:val="000000"/>
          <w:sz w:val="22"/>
          <w:szCs w:val="22"/>
        </w:rPr>
      </w:pPr>
      <w:r w:rsidRPr="006774D3">
        <w:rPr>
          <w:color w:val="000000"/>
          <w:sz w:val="22"/>
          <w:szCs w:val="22"/>
        </w:rPr>
        <w:t>Notið lyfið hinsvegar alltaf eins og læknirinn eða lyfjafræðingur hefur sagt til um. Það er mikilvægt að nota lyfið í þann tíma sem læknirinn eða lyfjafræðingurinn segir til um. Ef ekki er ljóst hvernig nota á lyfið skal leita upplýsinga hjá lækninum eða lyfjafræðingi.</w:t>
      </w:r>
    </w:p>
    <w:p w14:paraId="05B8C1E4" w14:textId="77777777" w:rsidR="00D363A7" w:rsidRPr="006774D3" w:rsidRDefault="00D363A7" w:rsidP="00F77C66">
      <w:pPr>
        <w:rPr>
          <w:color w:val="000000"/>
          <w:sz w:val="22"/>
          <w:szCs w:val="22"/>
        </w:rPr>
      </w:pPr>
    </w:p>
    <w:p w14:paraId="05B8C1E5" w14:textId="77777777" w:rsidR="00D363A7" w:rsidRPr="006774D3" w:rsidRDefault="00D363A7" w:rsidP="00F77C66">
      <w:pPr>
        <w:rPr>
          <w:color w:val="000000"/>
          <w:sz w:val="22"/>
          <w:szCs w:val="22"/>
        </w:rPr>
      </w:pPr>
      <w:r w:rsidRPr="006774D3">
        <w:rPr>
          <w:color w:val="000000"/>
          <w:sz w:val="22"/>
          <w:szCs w:val="22"/>
        </w:rPr>
        <w:t>Ekki hætta að nota Glivec nema samkvæmt ráðleggingum læknisins. Ef þú getur ekki notað lyfið eins og læknirinn gaf fyrirmæli um eða þér finnst þú ekki þurfa það lengur, skaltu tafarlaust hafa samband við lækninn.</w:t>
      </w:r>
    </w:p>
    <w:p w14:paraId="05B8C1E6" w14:textId="77777777" w:rsidR="00D363A7" w:rsidRPr="006774D3" w:rsidRDefault="00D363A7" w:rsidP="00F77C66">
      <w:pPr>
        <w:ind w:right="-2"/>
        <w:rPr>
          <w:color w:val="000000"/>
          <w:sz w:val="22"/>
          <w:szCs w:val="22"/>
        </w:rPr>
      </w:pPr>
    </w:p>
    <w:p w14:paraId="05B8C1E7" w14:textId="77777777" w:rsidR="00D363A7" w:rsidRPr="006774D3" w:rsidRDefault="00D363A7" w:rsidP="00F77C66">
      <w:pPr>
        <w:pStyle w:val="Heading1"/>
        <w:keepLines w:val="0"/>
        <w:spacing w:before="0"/>
        <w:ind w:left="0" w:firstLine="0"/>
        <w:rPr>
          <w:rFonts w:ascii="Times New Roman" w:hAnsi="Times New Roman"/>
          <w:color w:val="000000"/>
          <w:sz w:val="22"/>
          <w:szCs w:val="22"/>
          <w:lang w:val="is-IS"/>
        </w:rPr>
      </w:pPr>
      <w:r w:rsidRPr="006774D3">
        <w:rPr>
          <w:rFonts w:ascii="Times New Roman" w:hAnsi="Times New Roman"/>
          <w:color w:val="000000"/>
          <w:sz w:val="22"/>
          <w:szCs w:val="22"/>
          <w:lang w:val="is-IS"/>
        </w:rPr>
        <w:t>Hve mikið á að nota</w:t>
      </w:r>
      <w:r w:rsidR="00C26825" w:rsidRPr="006774D3">
        <w:rPr>
          <w:rFonts w:ascii="Times New Roman" w:hAnsi="Times New Roman"/>
          <w:color w:val="000000"/>
          <w:sz w:val="22"/>
          <w:szCs w:val="22"/>
          <w:lang w:val="is-IS"/>
        </w:rPr>
        <w:t xml:space="preserve"> af Glivec</w:t>
      </w:r>
    </w:p>
    <w:p w14:paraId="05B8C1E8" w14:textId="77777777" w:rsidR="00D363A7" w:rsidRPr="006774D3" w:rsidRDefault="00D363A7" w:rsidP="00F77C66">
      <w:pPr>
        <w:keepNext/>
        <w:ind w:right="-2"/>
        <w:rPr>
          <w:color w:val="000000"/>
          <w:sz w:val="22"/>
          <w:szCs w:val="22"/>
        </w:rPr>
      </w:pPr>
    </w:p>
    <w:p w14:paraId="05B8C1E9" w14:textId="77777777" w:rsidR="00D363A7" w:rsidRPr="006774D3" w:rsidRDefault="00D363A7" w:rsidP="00F77C66">
      <w:pPr>
        <w:keepNext/>
        <w:ind w:right="-2"/>
        <w:rPr>
          <w:b/>
          <w:color w:val="000000"/>
          <w:sz w:val="22"/>
          <w:szCs w:val="22"/>
        </w:rPr>
      </w:pPr>
      <w:r w:rsidRPr="006774D3">
        <w:rPr>
          <w:b/>
          <w:color w:val="000000"/>
          <w:sz w:val="22"/>
          <w:szCs w:val="22"/>
        </w:rPr>
        <w:t xml:space="preserve">Notkun </w:t>
      </w:r>
      <w:r w:rsidR="00C26825" w:rsidRPr="006774D3">
        <w:rPr>
          <w:b/>
          <w:color w:val="000000"/>
          <w:sz w:val="22"/>
          <w:szCs w:val="22"/>
        </w:rPr>
        <w:t xml:space="preserve">handa </w:t>
      </w:r>
      <w:r w:rsidRPr="006774D3">
        <w:rPr>
          <w:b/>
          <w:color w:val="000000"/>
          <w:sz w:val="22"/>
          <w:szCs w:val="22"/>
        </w:rPr>
        <w:t>fullorðnum</w:t>
      </w:r>
    </w:p>
    <w:p w14:paraId="05B8C1EA" w14:textId="77777777" w:rsidR="00D363A7" w:rsidRPr="006774D3" w:rsidRDefault="00D363A7" w:rsidP="00F77C66">
      <w:pPr>
        <w:keepNext/>
        <w:ind w:right="-2"/>
        <w:rPr>
          <w:color w:val="000000"/>
          <w:sz w:val="22"/>
          <w:szCs w:val="22"/>
        </w:rPr>
      </w:pPr>
      <w:r w:rsidRPr="006774D3">
        <w:rPr>
          <w:color w:val="000000"/>
          <w:sz w:val="22"/>
          <w:szCs w:val="22"/>
        </w:rPr>
        <w:t>Læknirinn ákveður nákvæmlega hve margar töflur af Glivec á að nota.</w:t>
      </w:r>
    </w:p>
    <w:p w14:paraId="05B8C1EB" w14:textId="77777777" w:rsidR="00D363A7" w:rsidRPr="006774D3" w:rsidRDefault="00D363A7" w:rsidP="00E22B2C">
      <w:pPr>
        <w:keepNext/>
        <w:rPr>
          <w:color w:val="000000"/>
          <w:sz w:val="22"/>
          <w:szCs w:val="22"/>
        </w:rPr>
      </w:pPr>
    </w:p>
    <w:p w14:paraId="05B8C1EC" w14:textId="77777777" w:rsidR="00D363A7" w:rsidRPr="006774D3" w:rsidRDefault="00D363A7" w:rsidP="00E22B2C">
      <w:pPr>
        <w:keepNext/>
        <w:rPr>
          <w:b/>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CML:</w:t>
      </w:r>
    </w:p>
    <w:p w14:paraId="05B8C1ED" w14:textId="6017F9DC" w:rsidR="00D363A7" w:rsidRPr="006774D3" w:rsidRDefault="00D363A7" w:rsidP="00E22B2C">
      <w:pPr>
        <w:keepNext/>
        <w:ind w:left="567"/>
        <w:rPr>
          <w:color w:val="000000"/>
          <w:sz w:val="22"/>
          <w:szCs w:val="22"/>
        </w:rPr>
      </w:pPr>
      <w:r w:rsidRPr="006774D3">
        <w:rPr>
          <w:color w:val="000000"/>
          <w:sz w:val="22"/>
          <w:szCs w:val="22"/>
        </w:rPr>
        <w:t xml:space="preserve">Venjulegur upphafsskammtur er annaðhvort </w:t>
      </w:r>
      <w:r w:rsidRPr="00E125FC">
        <w:rPr>
          <w:b/>
          <w:bCs/>
          <w:color w:val="000000"/>
          <w:sz w:val="22"/>
          <w:szCs w:val="22"/>
        </w:rPr>
        <w:t>400 mg</w:t>
      </w:r>
      <w:r w:rsidRPr="006774D3">
        <w:rPr>
          <w:color w:val="000000"/>
          <w:sz w:val="22"/>
          <w:szCs w:val="22"/>
        </w:rPr>
        <w:t xml:space="preserve"> eða </w:t>
      </w:r>
      <w:r w:rsidRPr="00E125FC">
        <w:rPr>
          <w:b/>
          <w:bCs/>
          <w:color w:val="000000"/>
          <w:sz w:val="22"/>
          <w:szCs w:val="22"/>
        </w:rPr>
        <w:t>600 mg</w:t>
      </w:r>
      <w:r w:rsidR="00CF33A2">
        <w:rPr>
          <w:b/>
          <w:bCs/>
          <w:color w:val="000000"/>
          <w:sz w:val="22"/>
          <w:szCs w:val="22"/>
        </w:rPr>
        <w:t xml:space="preserve"> </w:t>
      </w:r>
      <w:r w:rsidR="00CF33A2" w:rsidRPr="006774D3">
        <w:rPr>
          <w:b/>
          <w:color w:val="000000"/>
          <w:sz w:val="22"/>
          <w:szCs w:val="22"/>
        </w:rPr>
        <w:t>einu sinni</w:t>
      </w:r>
      <w:r w:rsidR="00CF33A2" w:rsidRPr="006774D3">
        <w:rPr>
          <w:color w:val="000000"/>
          <w:sz w:val="22"/>
          <w:szCs w:val="22"/>
        </w:rPr>
        <w:t xml:space="preserve"> á sólarhring</w:t>
      </w:r>
      <w:r w:rsidRPr="006774D3">
        <w:rPr>
          <w:color w:val="000000"/>
          <w:sz w:val="22"/>
          <w:szCs w:val="22"/>
        </w:rPr>
        <w:t>, en það fer eftir ástandi þínu:</w:t>
      </w:r>
    </w:p>
    <w:p w14:paraId="05B8C1F0" w14:textId="77777777" w:rsidR="00D363A7" w:rsidRPr="006774D3" w:rsidRDefault="00D363A7" w:rsidP="00F77C66">
      <w:pPr>
        <w:ind w:right="-2"/>
        <w:rPr>
          <w:color w:val="000000"/>
          <w:sz w:val="22"/>
          <w:szCs w:val="22"/>
        </w:rPr>
      </w:pPr>
    </w:p>
    <w:p w14:paraId="05B8C1F1" w14:textId="77777777" w:rsidR="00D363A7" w:rsidRPr="006774D3" w:rsidRDefault="00D363A7" w:rsidP="00E22B2C">
      <w:pPr>
        <w:keepNext/>
        <w:rPr>
          <w:b/>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GIST:</w:t>
      </w:r>
    </w:p>
    <w:p w14:paraId="05B8C1F2" w14:textId="7F7D8B5A" w:rsidR="00D363A7" w:rsidRPr="006774D3" w:rsidRDefault="00D363A7" w:rsidP="00F77C66">
      <w:pPr>
        <w:ind w:left="567" w:right="-2"/>
        <w:rPr>
          <w:color w:val="000000"/>
          <w:sz w:val="22"/>
          <w:szCs w:val="22"/>
        </w:rPr>
      </w:pPr>
      <w:r w:rsidRPr="006774D3">
        <w:rPr>
          <w:color w:val="000000"/>
          <w:sz w:val="22"/>
          <w:szCs w:val="22"/>
        </w:rPr>
        <w:t xml:space="preserve">Upphafsskammturinn er 400 mg </w:t>
      </w:r>
      <w:r w:rsidRPr="006774D3">
        <w:rPr>
          <w:b/>
          <w:color w:val="000000"/>
          <w:sz w:val="22"/>
          <w:szCs w:val="22"/>
        </w:rPr>
        <w:t xml:space="preserve">einu sinni </w:t>
      </w:r>
      <w:r w:rsidRPr="006774D3">
        <w:rPr>
          <w:color w:val="000000"/>
          <w:sz w:val="22"/>
          <w:szCs w:val="22"/>
        </w:rPr>
        <w:t>á sólarhring.</w:t>
      </w:r>
    </w:p>
    <w:p w14:paraId="05B8C1F3" w14:textId="77777777" w:rsidR="00D363A7" w:rsidRPr="006774D3" w:rsidRDefault="00D363A7" w:rsidP="00F77C66">
      <w:pPr>
        <w:ind w:right="-2"/>
        <w:rPr>
          <w:color w:val="000000"/>
          <w:sz w:val="22"/>
          <w:szCs w:val="22"/>
        </w:rPr>
      </w:pPr>
    </w:p>
    <w:p w14:paraId="05B8C1F4" w14:textId="5DE0DC7C" w:rsidR="00D363A7" w:rsidRPr="006774D3" w:rsidRDefault="00D363A7" w:rsidP="00F77C66">
      <w:pPr>
        <w:ind w:right="-2"/>
        <w:rPr>
          <w:color w:val="000000"/>
          <w:sz w:val="22"/>
          <w:szCs w:val="22"/>
        </w:rPr>
      </w:pPr>
      <w:r w:rsidRPr="006774D3">
        <w:rPr>
          <w:color w:val="000000"/>
          <w:sz w:val="22"/>
          <w:szCs w:val="22"/>
        </w:rPr>
        <w:t xml:space="preserve">Í samræmi við meðferðarsvörun er hugsanlegt að læknirinn ávísi stærri eða minni skammti við CML og GIST. Ef sólarhringsskammturinn er 800 mg, skal taka </w:t>
      </w:r>
      <w:r w:rsidR="00CF33A2">
        <w:rPr>
          <w:color w:val="000000"/>
          <w:sz w:val="22"/>
          <w:szCs w:val="22"/>
        </w:rPr>
        <w:t>400 mg</w:t>
      </w:r>
      <w:r w:rsidRPr="006774D3">
        <w:rPr>
          <w:color w:val="000000"/>
          <w:sz w:val="22"/>
          <w:szCs w:val="22"/>
        </w:rPr>
        <w:t xml:space="preserve"> að morgni og </w:t>
      </w:r>
      <w:r w:rsidR="00CF33A2">
        <w:rPr>
          <w:color w:val="000000"/>
          <w:sz w:val="22"/>
          <w:szCs w:val="22"/>
        </w:rPr>
        <w:t>400 mg</w:t>
      </w:r>
      <w:r w:rsidRPr="006774D3">
        <w:rPr>
          <w:color w:val="000000"/>
          <w:sz w:val="22"/>
          <w:szCs w:val="22"/>
        </w:rPr>
        <w:t xml:space="preserve"> að kvöldi.</w:t>
      </w:r>
    </w:p>
    <w:p w14:paraId="05B8C1F5" w14:textId="77777777" w:rsidR="00D363A7" w:rsidRPr="006774D3" w:rsidRDefault="00D363A7" w:rsidP="00F77C66">
      <w:pPr>
        <w:ind w:right="-2"/>
        <w:rPr>
          <w:color w:val="000000"/>
          <w:sz w:val="22"/>
          <w:szCs w:val="22"/>
        </w:rPr>
      </w:pPr>
    </w:p>
    <w:p w14:paraId="05B8C1F6" w14:textId="77777777" w:rsidR="00D363A7" w:rsidRPr="006774D3" w:rsidRDefault="00D363A7" w:rsidP="00E22B2C">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Ph</w:t>
      </w:r>
      <w:r w:rsidRPr="006774D3">
        <w:rPr>
          <w:b/>
          <w:color w:val="000000"/>
          <w:sz w:val="22"/>
          <w:szCs w:val="22"/>
        </w:rPr>
        <w:noBreakHyphen/>
        <w:t>jákvæðu ALL:</w:t>
      </w:r>
    </w:p>
    <w:p w14:paraId="05B8C1F7" w14:textId="16776155" w:rsidR="00D363A7" w:rsidRPr="006774D3" w:rsidRDefault="00D363A7" w:rsidP="00F77C66">
      <w:pPr>
        <w:ind w:left="567" w:right="-2"/>
        <w:rPr>
          <w:color w:val="000000"/>
          <w:sz w:val="22"/>
          <w:szCs w:val="22"/>
        </w:rPr>
      </w:pPr>
      <w:r w:rsidRPr="006774D3">
        <w:rPr>
          <w:color w:val="000000"/>
          <w:sz w:val="22"/>
          <w:szCs w:val="22"/>
        </w:rPr>
        <w:t xml:space="preserve">Upphafsskammturinn er 600 mg </w:t>
      </w:r>
      <w:r w:rsidRPr="006774D3">
        <w:rPr>
          <w:b/>
          <w:color w:val="000000"/>
          <w:sz w:val="22"/>
          <w:szCs w:val="22"/>
        </w:rPr>
        <w:t>einu sinni</w:t>
      </w:r>
      <w:r w:rsidRPr="006774D3">
        <w:rPr>
          <w:color w:val="000000"/>
          <w:sz w:val="22"/>
          <w:szCs w:val="22"/>
        </w:rPr>
        <w:t xml:space="preserve"> á sólarhring.</w:t>
      </w:r>
    </w:p>
    <w:p w14:paraId="05B8C1F8" w14:textId="77777777" w:rsidR="00D363A7" w:rsidRPr="006774D3" w:rsidRDefault="00D363A7" w:rsidP="00F77C66">
      <w:pPr>
        <w:ind w:right="-2"/>
        <w:rPr>
          <w:color w:val="000000"/>
          <w:sz w:val="22"/>
          <w:szCs w:val="22"/>
        </w:rPr>
      </w:pPr>
    </w:p>
    <w:p w14:paraId="05B8C1F9" w14:textId="77777777" w:rsidR="00D363A7" w:rsidRPr="006774D3" w:rsidRDefault="00D363A7" w:rsidP="00E22B2C">
      <w:pPr>
        <w:keepNext/>
        <w:rPr>
          <w:b/>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MDS/MPD:</w:t>
      </w:r>
    </w:p>
    <w:p w14:paraId="05B8C1FA" w14:textId="7CDDBD03" w:rsidR="00D363A7" w:rsidRPr="006774D3" w:rsidRDefault="00D363A7" w:rsidP="00F77C66">
      <w:pPr>
        <w:ind w:left="567" w:right="-2"/>
        <w:rPr>
          <w:color w:val="000000"/>
          <w:sz w:val="22"/>
          <w:szCs w:val="22"/>
        </w:rPr>
      </w:pPr>
      <w:r w:rsidRPr="006774D3">
        <w:rPr>
          <w:color w:val="000000"/>
          <w:sz w:val="22"/>
          <w:szCs w:val="22"/>
        </w:rPr>
        <w:t xml:space="preserve">Upphafsskammturinn er 400 mg </w:t>
      </w:r>
      <w:r w:rsidRPr="006774D3">
        <w:rPr>
          <w:b/>
          <w:color w:val="000000"/>
          <w:sz w:val="22"/>
          <w:szCs w:val="22"/>
        </w:rPr>
        <w:t>einu sinni</w:t>
      </w:r>
      <w:r w:rsidRPr="006774D3">
        <w:rPr>
          <w:color w:val="000000"/>
          <w:sz w:val="22"/>
          <w:szCs w:val="22"/>
        </w:rPr>
        <w:t xml:space="preserve"> á sólarhring.</w:t>
      </w:r>
    </w:p>
    <w:p w14:paraId="05B8C1FB" w14:textId="77777777" w:rsidR="00D363A7" w:rsidRPr="006774D3" w:rsidRDefault="00D363A7" w:rsidP="00F77C66">
      <w:pPr>
        <w:ind w:right="-2"/>
        <w:rPr>
          <w:color w:val="000000"/>
          <w:sz w:val="22"/>
          <w:szCs w:val="22"/>
        </w:rPr>
      </w:pPr>
    </w:p>
    <w:p w14:paraId="05B8C1FC" w14:textId="77777777" w:rsidR="00D363A7" w:rsidRPr="006774D3" w:rsidRDefault="00D363A7" w:rsidP="00E22B2C">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HES/CEL:</w:t>
      </w:r>
    </w:p>
    <w:p w14:paraId="05B8C1FD" w14:textId="2E3F4B8C" w:rsidR="00D363A7" w:rsidRPr="006774D3" w:rsidRDefault="00D363A7" w:rsidP="00F77C66">
      <w:pPr>
        <w:ind w:left="567" w:right="-2"/>
        <w:rPr>
          <w:color w:val="000000"/>
          <w:sz w:val="22"/>
          <w:szCs w:val="22"/>
        </w:rPr>
      </w:pPr>
      <w:r w:rsidRPr="006774D3">
        <w:rPr>
          <w:color w:val="000000"/>
          <w:sz w:val="22"/>
          <w:szCs w:val="22"/>
        </w:rPr>
        <w:t>Upphafsskammturinn er</w:t>
      </w:r>
      <w:r w:rsidR="002A24A1" w:rsidRPr="006774D3">
        <w:rPr>
          <w:color w:val="000000"/>
          <w:sz w:val="22"/>
          <w:szCs w:val="22"/>
        </w:rPr>
        <w:t xml:space="preserve"> </w:t>
      </w:r>
      <w:r w:rsidRPr="006774D3">
        <w:rPr>
          <w:color w:val="000000"/>
          <w:sz w:val="22"/>
          <w:szCs w:val="22"/>
        </w:rPr>
        <w:t xml:space="preserve">100 mg </w:t>
      </w:r>
      <w:r w:rsidRPr="006774D3">
        <w:rPr>
          <w:b/>
          <w:color w:val="000000"/>
          <w:sz w:val="22"/>
          <w:szCs w:val="22"/>
        </w:rPr>
        <w:t>einu sinni</w:t>
      </w:r>
      <w:r w:rsidRPr="006774D3">
        <w:rPr>
          <w:color w:val="000000"/>
          <w:sz w:val="22"/>
          <w:szCs w:val="22"/>
        </w:rPr>
        <w:t xml:space="preserve"> á sólarhring. Vera má að læknirinn auki skammtinn í 400 mg </w:t>
      </w:r>
      <w:r w:rsidRPr="006774D3">
        <w:rPr>
          <w:b/>
          <w:color w:val="000000"/>
          <w:sz w:val="22"/>
          <w:szCs w:val="22"/>
        </w:rPr>
        <w:t>einu sinni</w:t>
      </w:r>
      <w:r w:rsidRPr="006774D3">
        <w:rPr>
          <w:color w:val="000000"/>
          <w:sz w:val="22"/>
          <w:szCs w:val="22"/>
        </w:rPr>
        <w:t xml:space="preserve"> á sólarhring, eftir því hver svörun við meðferðinni er.</w:t>
      </w:r>
    </w:p>
    <w:p w14:paraId="05B8C1FE" w14:textId="77777777" w:rsidR="00D363A7" w:rsidRPr="006774D3" w:rsidRDefault="00D363A7" w:rsidP="00F77C66">
      <w:pPr>
        <w:ind w:right="-2"/>
        <w:rPr>
          <w:color w:val="000000"/>
          <w:sz w:val="22"/>
          <w:szCs w:val="22"/>
        </w:rPr>
      </w:pPr>
    </w:p>
    <w:p w14:paraId="05B8C1FF" w14:textId="77777777" w:rsidR="00D363A7" w:rsidRPr="006774D3" w:rsidRDefault="00D363A7" w:rsidP="00E22B2C">
      <w:pPr>
        <w:keepNext/>
        <w:rPr>
          <w:color w:val="000000"/>
          <w:sz w:val="22"/>
          <w:szCs w:val="22"/>
        </w:rPr>
      </w:pPr>
      <w:r w:rsidRPr="006774D3">
        <w:rPr>
          <w:color w:val="000000"/>
          <w:sz w:val="22"/>
          <w:szCs w:val="22"/>
        </w:rPr>
        <w:t>-</w:t>
      </w:r>
      <w:r w:rsidRPr="006774D3">
        <w:rPr>
          <w:color w:val="000000"/>
          <w:sz w:val="22"/>
          <w:szCs w:val="22"/>
        </w:rPr>
        <w:tab/>
      </w:r>
      <w:r w:rsidRPr="006774D3">
        <w:rPr>
          <w:b/>
          <w:color w:val="000000"/>
          <w:sz w:val="22"/>
          <w:szCs w:val="22"/>
        </w:rPr>
        <w:t>Ef þú ert í meðferð við DFSP:</w:t>
      </w:r>
    </w:p>
    <w:p w14:paraId="05B8C200" w14:textId="112B9DC9" w:rsidR="00D363A7" w:rsidRPr="006774D3" w:rsidRDefault="00D363A7" w:rsidP="00F77C66">
      <w:pPr>
        <w:ind w:left="567" w:right="-2"/>
        <w:rPr>
          <w:color w:val="000000"/>
          <w:sz w:val="22"/>
          <w:szCs w:val="22"/>
        </w:rPr>
      </w:pPr>
      <w:r w:rsidRPr="006774D3">
        <w:rPr>
          <w:color w:val="000000"/>
          <w:sz w:val="22"/>
          <w:szCs w:val="22"/>
        </w:rPr>
        <w:t>Skammturinn er 800 mg á sólarhring, en þá eru tek</w:t>
      </w:r>
      <w:r w:rsidR="00C4470B">
        <w:rPr>
          <w:color w:val="000000"/>
          <w:sz w:val="22"/>
          <w:szCs w:val="22"/>
        </w:rPr>
        <w:t>in</w:t>
      </w:r>
      <w:r w:rsidRPr="006774D3">
        <w:rPr>
          <w:color w:val="000000"/>
          <w:sz w:val="22"/>
          <w:szCs w:val="22"/>
        </w:rPr>
        <w:t xml:space="preserve"> </w:t>
      </w:r>
      <w:r w:rsidR="00C4470B">
        <w:rPr>
          <w:color w:val="000000"/>
          <w:sz w:val="22"/>
          <w:szCs w:val="22"/>
        </w:rPr>
        <w:t>400 mg</w:t>
      </w:r>
      <w:r w:rsidRPr="006774D3">
        <w:rPr>
          <w:color w:val="000000"/>
          <w:sz w:val="22"/>
          <w:szCs w:val="22"/>
        </w:rPr>
        <w:t xml:space="preserve"> að morgni og </w:t>
      </w:r>
      <w:r w:rsidR="00C4470B">
        <w:rPr>
          <w:color w:val="000000"/>
          <w:sz w:val="22"/>
          <w:szCs w:val="22"/>
        </w:rPr>
        <w:t>400 mg</w:t>
      </w:r>
      <w:r w:rsidRPr="006774D3">
        <w:rPr>
          <w:color w:val="000000"/>
          <w:sz w:val="22"/>
          <w:szCs w:val="22"/>
        </w:rPr>
        <w:t xml:space="preserve"> að kvöldi.</w:t>
      </w:r>
    </w:p>
    <w:p w14:paraId="05B8C201" w14:textId="7A1B9B5D" w:rsidR="00D363A7" w:rsidRDefault="00D363A7" w:rsidP="00F77C66">
      <w:pPr>
        <w:ind w:right="-2"/>
        <w:rPr>
          <w:color w:val="000000"/>
          <w:sz w:val="22"/>
          <w:szCs w:val="22"/>
        </w:rPr>
      </w:pPr>
    </w:p>
    <w:p w14:paraId="102449B5" w14:textId="0700E82B" w:rsidR="00C4470B" w:rsidRDefault="00C4470B" w:rsidP="00F77C66">
      <w:pPr>
        <w:ind w:right="-2"/>
        <w:rPr>
          <w:color w:val="000000"/>
          <w:sz w:val="22"/>
          <w:szCs w:val="22"/>
        </w:rPr>
      </w:pPr>
      <w:r>
        <w:rPr>
          <w:color w:val="000000"/>
          <w:sz w:val="22"/>
          <w:szCs w:val="22"/>
        </w:rPr>
        <w:t>400 mg skammt má taka annað hvort sem eina 400 mg töflu eða fjórar 100 mg töflur.</w:t>
      </w:r>
    </w:p>
    <w:p w14:paraId="48D7799C" w14:textId="702AD0FD" w:rsidR="00C4470B" w:rsidRDefault="00C4470B" w:rsidP="00F77C66">
      <w:pPr>
        <w:ind w:right="-2"/>
        <w:rPr>
          <w:color w:val="000000"/>
          <w:sz w:val="22"/>
          <w:szCs w:val="22"/>
        </w:rPr>
      </w:pPr>
      <w:r>
        <w:rPr>
          <w:color w:val="000000"/>
          <w:sz w:val="22"/>
          <w:szCs w:val="22"/>
        </w:rPr>
        <w:t>600 mg skammt á að taka sem eina 400 mg töflu plús tvær 100 mg töflur.</w:t>
      </w:r>
    </w:p>
    <w:p w14:paraId="4DE8B0A0" w14:textId="77777777" w:rsidR="00C4470B" w:rsidRPr="006774D3" w:rsidRDefault="00C4470B" w:rsidP="00F77C66">
      <w:pPr>
        <w:ind w:right="-2"/>
        <w:rPr>
          <w:color w:val="000000"/>
          <w:sz w:val="22"/>
          <w:szCs w:val="22"/>
        </w:rPr>
      </w:pPr>
    </w:p>
    <w:p w14:paraId="05B8C202" w14:textId="77777777" w:rsidR="00D363A7" w:rsidRPr="006774D3" w:rsidRDefault="00D363A7" w:rsidP="00E22B2C">
      <w:pPr>
        <w:keepNext/>
        <w:rPr>
          <w:b/>
          <w:color w:val="000000"/>
          <w:sz w:val="22"/>
          <w:szCs w:val="22"/>
        </w:rPr>
      </w:pPr>
      <w:r w:rsidRPr="006774D3">
        <w:rPr>
          <w:b/>
          <w:color w:val="000000"/>
          <w:sz w:val="22"/>
          <w:szCs w:val="22"/>
        </w:rPr>
        <w:t xml:space="preserve">Notkun </w:t>
      </w:r>
      <w:r w:rsidR="00C26825" w:rsidRPr="006774D3">
        <w:rPr>
          <w:b/>
          <w:color w:val="000000"/>
          <w:sz w:val="22"/>
          <w:szCs w:val="22"/>
        </w:rPr>
        <w:t xml:space="preserve">handa </w:t>
      </w:r>
      <w:r w:rsidRPr="006774D3">
        <w:rPr>
          <w:b/>
          <w:color w:val="000000"/>
          <w:sz w:val="22"/>
          <w:szCs w:val="22"/>
        </w:rPr>
        <w:t>börnum</w:t>
      </w:r>
      <w:r w:rsidR="00C26825" w:rsidRPr="006774D3">
        <w:rPr>
          <w:b/>
          <w:color w:val="000000"/>
          <w:sz w:val="22"/>
          <w:szCs w:val="22"/>
        </w:rPr>
        <w:t xml:space="preserve"> og unglingum</w:t>
      </w:r>
    </w:p>
    <w:p w14:paraId="05B8C203" w14:textId="77777777" w:rsidR="00D363A7" w:rsidRPr="006774D3" w:rsidRDefault="00D363A7" w:rsidP="00F77C66">
      <w:pPr>
        <w:ind w:right="-2"/>
        <w:rPr>
          <w:color w:val="000000"/>
          <w:sz w:val="22"/>
          <w:szCs w:val="22"/>
        </w:rPr>
      </w:pPr>
      <w:r w:rsidRPr="006774D3">
        <w:rPr>
          <w:color w:val="000000"/>
          <w:sz w:val="22"/>
          <w:szCs w:val="22"/>
        </w:rPr>
        <w:t>Læknirinn ákveður hve margar töflur af Glivec á að gefa barninu. Magn Glivec fer eftir ástandi barnsins, líkamsþyngd og hæð. Heildarskammtur á sólarhring handa börnum má ekki fara yfir 800 mg</w:t>
      </w:r>
      <w:r w:rsidR="00222F7E" w:rsidRPr="006774D3">
        <w:rPr>
          <w:color w:val="000000"/>
          <w:sz w:val="22"/>
          <w:szCs w:val="22"/>
        </w:rPr>
        <w:t xml:space="preserve"> við meðferð við CML og 600 mg við meðferð við Ph-jákvæðu ALL</w:t>
      </w:r>
      <w:r w:rsidRPr="006774D3">
        <w:rPr>
          <w:color w:val="000000"/>
          <w:sz w:val="22"/>
          <w:szCs w:val="22"/>
        </w:rPr>
        <w:t>. Meðferðina má annaðhvort gefa sem einn skammt einu sinni á sólarhring eða að skipta skammtinum í tvennt (helming skammtsins að morgni og hinn helming skammtsins að kvöldi).</w:t>
      </w:r>
    </w:p>
    <w:p w14:paraId="05B8C204" w14:textId="77777777" w:rsidR="00D363A7" w:rsidRPr="006774D3" w:rsidRDefault="00D363A7" w:rsidP="00F77C66">
      <w:pPr>
        <w:ind w:right="-2"/>
        <w:rPr>
          <w:color w:val="000000"/>
          <w:sz w:val="22"/>
          <w:szCs w:val="22"/>
        </w:rPr>
      </w:pPr>
    </w:p>
    <w:p w14:paraId="05B8C205" w14:textId="77777777" w:rsidR="00D363A7" w:rsidRPr="006774D3" w:rsidRDefault="00D363A7" w:rsidP="00F77C66">
      <w:pPr>
        <w:pStyle w:val="Heading1"/>
        <w:keepLines w:val="0"/>
        <w:spacing w:before="0"/>
        <w:ind w:left="0" w:firstLine="0"/>
        <w:rPr>
          <w:rFonts w:ascii="Times New Roman" w:hAnsi="Times New Roman"/>
          <w:color w:val="000000"/>
          <w:sz w:val="22"/>
          <w:szCs w:val="22"/>
          <w:lang w:val="is-IS"/>
        </w:rPr>
      </w:pPr>
      <w:r w:rsidRPr="006774D3">
        <w:rPr>
          <w:rFonts w:ascii="Times New Roman" w:hAnsi="Times New Roman"/>
          <w:color w:val="000000"/>
          <w:sz w:val="22"/>
          <w:szCs w:val="22"/>
          <w:lang w:val="is-IS"/>
        </w:rPr>
        <w:t>Hvenær og hvernig á að nota Glivec</w:t>
      </w:r>
    </w:p>
    <w:p w14:paraId="05B8C206" w14:textId="77777777" w:rsidR="00D363A7" w:rsidRPr="006774D3" w:rsidRDefault="00D363A7" w:rsidP="00E22B2C">
      <w:pPr>
        <w:pStyle w:val="BodyText"/>
        <w:keepNext/>
        <w:overflowPunct/>
        <w:autoSpaceDE/>
        <w:autoSpaceDN/>
        <w:adjustRightInd/>
        <w:ind w:left="567" w:right="0" w:hanging="567"/>
        <w:textAlignment w:val="auto"/>
        <w:rPr>
          <w:color w:val="000000"/>
          <w:szCs w:val="22"/>
        </w:rPr>
      </w:pPr>
      <w:r w:rsidRPr="006774D3">
        <w:rPr>
          <w:color w:val="000000"/>
          <w:szCs w:val="22"/>
        </w:rPr>
        <w:t>-</w:t>
      </w:r>
      <w:r w:rsidRPr="006774D3">
        <w:rPr>
          <w:color w:val="000000"/>
          <w:szCs w:val="22"/>
        </w:rPr>
        <w:tab/>
        <w:t>Taka á Glivec inn með mat.</w:t>
      </w:r>
      <w:r w:rsidRPr="006774D3">
        <w:rPr>
          <w:b w:val="0"/>
          <w:color w:val="000000"/>
          <w:szCs w:val="22"/>
        </w:rPr>
        <w:t xml:space="preserve"> Það hjálpar til við að vernda þig gegn magavandamálum þegar þú notar Glivec.</w:t>
      </w:r>
    </w:p>
    <w:p w14:paraId="05B8C207" w14:textId="77777777" w:rsidR="00D363A7" w:rsidRPr="006774D3" w:rsidRDefault="00D363A7" w:rsidP="00F77C66">
      <w:pPr>
        <w:pStyle w:val="BodyText"/>
        <w:overflowPunct/>
        <w:autoSpaceDE/>
        <w:autoSpaceDN/>
        <w:adjustRightInd/>
        <w:ind w:left="567" w:hanging="567"/>
        <w:textAlignment w:val="auto"/>
        <w:rPr>
          <w:b w:val="0"/>
          <w:color w:val="000000"/>
          <w:szCs w:val="22"/>
        </w:rPr>
      </w:pPr>
      <w:r w:rsidRPr="006774D3">
        <w:rPr>
          <w:color w:val="000000"/>
          <w:szCs w:val="22"/>
        </w:rPr>
        <w:t>-</w:t>
      </w:r>
      <w:r w:rsidRPr="006774D3">
        <w:rPr>
          <w:color w:val="000000"/>
          <w:szCs w:val="22"/>
        </w:rPr>
        <w:tab/>
        <w:t>Gleypið töflurnar í heilu lagi með stóru glasi af vatni.</w:t>
      </w:r>
    </w:p>
    <w:p w14:paraId="05B8C208" w14:textId="77777777" w:rsidR="00D363A7" w:rsidRPr="006774D3" w:rsidRDefault="00D363A7" w:rsidP="00F77C66">
      <w:pPr>
        <w:pStyle w:val="BodyText"/>
        <w:overflowPunct/>
        <w:autoSpaceDE/>
        <w:autoSpaceDN/>
        <w:adjustRightInd/>
        <w:textAlignment w:val="auto"/>
        <w:rPr>
          <w:b w:val="0"/>
          <w:color w:val="000000"/>
          <w:szCs w:val="22"/>
        </w:rPr>
      </w:pPr>
    </w:p>
    <w:p w14:paraId="05B8C209" w14:textId="77777777" w:rsidR="00D363A7" w:rsidRPr="006774D3" w:rsidRDefault="00D363A7" w:rsidP="00F77C66">
      <w:pPr>
        <w:pStyle w:val="BodyText"/>
        <w:keepNext/>
        <w:overflowPunct/>
        <w:autoSpaceDE/>
        <w:autoSpaceDN/>
        <w:adjustRightInd/>
        <w:ind w:right="0"/>
        <w:textAlignment w:val="auto"/>
        <w:rPr>
          <w:b w:val="0"/>
          <w:color w:val="000000"/>
          <w:szCs w:val="22"/>
        </w:rPr>
      </w:pPr>
      <w:r w:rsidRPr="006774D3">
        <w:rPr>
          <w:b w:val="0"/>
          <w:color w:val="000000"/>
          <w:szCs w:val="22"/>
        </w:rPr>
        <w:t>Ef þú getur ekki gleypt töflurnar má leysa þær upp í glasi með venjulegu vatni eða eplasafa:</w:t>
      </w:r>
    </w:p>
    <w:p w14:paraId="05B8C20A" w14:textId="776EA0A6" w:rsidR="00D363A7" w:rsidRPr="006774D3" w:rsidRDefault="00D363A7" w:rsidP="00E22B2C">
      <w:pPr>
        <w:pStyle w:val="BodyText"/>
        <w:overflowPunct/>
        <w:autoSpaceDE/>
        <w:autoSpaceDN/>
        <w:adjustRightInd/>
        <w:ind w:left="567" w:right="0" w:hanging="567"/>
        <w:textAlignment w:val="auto"/>
        <w:rPr>
          <w:b w:val="0"/>
          <w:color w:val="000000"/>
          <w:szCs w:val="22"/>
        </w:rPr>
      </w:pPr>
      <w:r w:rsidRPr="006774D3">
        <w:rPr>
          <w:b w:val="0"/>
          <w:color w:val="000000"/>
          <w:szCs w:val="22"/>
        </w:rPr>
        <w:t>•</w:t>
      </w:r>
      <w:r w:rsidRPr="006774D3">
        <w:rPr>
          <w:b w:val="0"/>
          <w:color w:val="000000"/>
          <w:szCs w:val="22"/>
        </w:rPr>
        <w:tab/>
        <w:t>Notið um það bil 50 ml fyrir hverja 100 mg töflu</w:t>
      </w:r>
      <w:r w:rsidR="00C4470B">
        <w:rPr>
          <w:b w:val="0"/>
          <w:color w:val="000000"/>
          <w:szCs w:val="22"/>
        </w:rPr>
        <w:t xml:space="preserve"> eða </w:t>
      </w:r>
      <w:r w:rsidR="00C4470B" w:rsidRPr="006774D3">
        <w:rPr>
          <w:b w:val="0"/>
          <w:color w:val="000000"/>
          <w:szCs w:val="22"/>
        </w:rPr>
        <w:t>200 ml fyrir hverja 400 mg töflu</w:t>
      </w:r>
      <w:r w:rsidRPr="006774D3">
        <w:rPr>
          <w:b w:val="0"/>
          <w:color w:val="000000"/>
          <w:szCs w:val="22"/>
        </w:rPr>
        <w:t>.</w:t>
      </w:r>
    </w:p>
    <w:p w14:paraId="05B8C20B" w14:textId="77777777" w:rsidR="00D363A7" w:rsidRPr="006774D3" w:rsidRDefault="00D363A7" w:rsidP="00E22B2C">
      <w:pPr>
        <w:pStyle w:val="BodyText"/>
        <w:overflowPunct/>
        <w:autoSpaceDE/>
        <w:autoSpaceDN/>
        <w:adjustRightInd/>
        <w:ind w:right="0"/>
        <w:textAlignment w:val="auto"/>
        <w:rPr>
          <w:b w:val="0"/>
          <w:color w:val="000000"/>
          <w:szCs w:val="22"/>
        </w:rPr>
      </w:pPr>
      <w:r w:rsidRPr="006774D3">
        <w:rPr>
          <w:b w:val="0"/>
          <w:color w:val="000000"/>
          <w:szCs w:val="22"/>
        </w:rPr>
        <w:t>•</w:t>
      </w:r>
      <w:r w:rsidRPr="006774D3">
        <w:rPr>
          <w:b w:val="0"/>
          <w:color w:val="000000"/>
          <w:szCs w:val="22"/>
        </w:rPr>
        <w:tab/>
        <w:t>Hrærið í með skeið þar til töflurnar eru alveg uppleystar.</w:t>
      </w:r>
    </w:p>
    <w:p w14:paraId="05B8C20C" w14:textId="77777777" w:rsidR="00D363A7" w:rsidRPr="006774D3" w:rsidRDefault="00D363A7" w:rsidP="00E22B2C">
      <w:pPr>
        <w:pStyle w:val="BodyText"/>
        <w:overflowPunct/>
        <w:autoSpaceDE/>
        <w:autoSpaceDN/>
        <w:adjustRightInd/>
        <w:ind w:left="567" w:right="0" w:hanging="567"/>
        <w:textAlignment w:val="auto"/>
        <w:rPr>
          <w:b w:val="0"/>
          <w:color w:val="000000"/>
          <w:szCs w:val="22"/>
        </w:rPr>
      </w:pPr>
      <w:r w:rsidRPr="006774D3">
        <w:rPr>
          <w:b w:val="0"/>
          <w:color w:val="000000"/>
          <w:szCs w:val="22"/>
        </w:rPr>
        <w:t>•</w:t>
      </w:r>
      <w:r w:rsidR="009A4CED" w:rsidRPr="006774D3">
        <w:rPr>
          <w:b w:val="0"/>
          <w:color w:val="000000"/>
          <w:szCs w:val="22"/>
        </w:rPr>
        <w:tab/>
        <w:t>Þegar taflan er uppleyst skal</w:t>
      </w:r>
      <w:r w:rsidRPr="006774D3">
        <w:rPr>
          <w:b w:val="0"/>
          <w:color w:val="000000"/>
          <w:szCs w:val="22"/>
        </w:rPr>
        <w:t xml:space="preserve"> drekka allan vökvann úr glasinu strax. Leifar af uppleystum töflum geta verið eftir í glasinu.</w:t>
      </w:r>
    </w:p>
    <w:p w14:paraId="05B8C20D" w14:textId="77777777" w:rsidR="00D363A7" w:rsidRPr="006774D3" w:rsidRDefault="00D363A7" w:rsidP="00F77C66">
      <w:pPr>
        <w:pStyle w:val="BodyText"/>
        <w:overflowPunct/>
        <w:autoSpaceDE/>
        <w:autoSpaceDN/>
        <w:adjustRightInd/>
        <w:textAlignment w:val="auto"/>
        <w:rPr>
          <w:b w:val="0"/>
          <w:color w:val="000000"/>
          <w:szCs w:val="22"/>
        </w:rPr>
      </w:pPr>
    </w:p>
    <w:p w14:paraId="05B8C20E" w14:textId="77777777" w:rsidR="00D363A7" w:rsidRPr="006774D3" w:rsidRDefault="00D363A7" w:rsidP="00E22B2C">
      <w:pPr>
        <w:pStyle w:val="Heading9"/>
        <w:ind w:right="0"/>
        <w:rPr>
          <w:color w:val="000000"/>
          <w:szCs w:val="22"/>
        </w:rPr>
      </w:pPr>
      <w:r w:rsidRPr="006774D3">
        <w:rPr>
          <w:color w:val="000000"/>
          <w:szCs w:val="22"/>
        </w:rPr>
        <w:t>Hve lengi á að nota Glivec</w:t>
      </w:r>
    </w:p>
    <w:p w14:paraId="05B8C20F" w14:textId="77777777" w:rsidR="00D363A7" w:rsidRPr="006774D3" w:rsidRDefault="00D363A7" w:rsidP="00F77C66">
      <w:pPr>
        <w:pStyle w:val="BodyText3"/>
        <w:rPr>
          <w:color w:val="000000"/>
          <w:szCs w:val="22"/>
        </w:rPr>
      </w:pPr>
      <w:r w:rsidRPr="006774D3">
        <w:rPr>
          <w:color w:val="000000"/>
          <w:szCs w:val="22"/>
        </w:rPr>
        <w:t>Haltu áfram að nota Glivec á hverjum degi eins lengi og læknirinn segir til um.</w:t>
      </w:r>
    </w:p>
    <w:p w14:paraId="05B8C210" w14:textId="77777777" w:rsidR="00D363A7" w:rsidRPr="006774D3" w:rsidRDefault="00D363A7" w:rsidP="00F77C66">
      <w:pPr>
        <w:ind w:right="-2"/>
        <w:rPr>
          <w:color w:val="000000"/>
          <w:sz w:val="22"/>
          <w:szCs w:val="22"/>
        </w:rPr>
      </w:pPr>
    </w:p>
    <w:p w14:paraId="05B8C211" w14:textId="77777777" w:rsidR="00D363A7" w:rsidRPr="006774D3" w:rsidRDefault="00D363A7" w:rsidP="00F77C66">
      <w:pPr>
        <w:keepNext/>
        <w:ind w:right="-2"/>
        <w:outlineLvl w:val="0"/>
        <w:rPr>
          <w:color w:val="000000"/>
          <w:sz w:val="22"/>
          <w:szCs w:val="22"/>
        </w:rPr>
      </w:pPr>
      <w:r w:rsidRPr="006774D3">
        <w:rPr>
          <w:b/>
          <w:color w:val="000000"/>
          <w:sz w:val="22"/>
          <w:szCs w:val="22"/>
        </w:rPr>
        <w:t xml:space="preserve">Ef </w:t>
      </w:r>
      <w:r w:rsidR="00C26825" w:rsidRPr="006774D3">
        <w:rPr>
          <w:b/>
          <w:color w:val="000000"/>
          <w:sz w:val="22"/>
          <w:szCs w:val="22"/>
        </w:rPr>
        <w:t xml:space="preserve">tekinn er </w:t>
      </w:r>
      <w:r w:rsidRPr="006774D3">
        <w:rPr>
          <w:b/>
          <w:color w:val="000000"/>
          <w:sz w:val="22"/>
          <w:szCs w:val="22"/>
        </w:rPr>
        <w:t>stærri skammtur af Glivec en mælt er fyrir um</w:t>
      </w:r>
    </w:p>
    <w:p w14:paraId="05B8C212" w14:textId="77777777" w:rsidR="00D363A7" w:rsidRPr="006774D3" w:rsidRDefault="00D363A7" w:rsidP="00E22B2C">
      <w:pPr>
        <w:rPr>
          <w:color w:val="000000"/>
          <w:sz w:val="22"/>
          <w:szCs w:val="22"/>
        </w:rPr>
      </w:pPr>
      <w:r w:rsidRPr="006774D3">
        <w:rPr>
          <w:color w:val="000000"/>
          <w:sz w:val="22"/>
          <w:szCs w:val="22"/>
        </w:rPr>
        <w:t xml:space="preserve">Hafa skal </w:t>
      </w:r>
      <w:r w:rsidRPr="006774D3">
        <w:rPr>
          <w:b/>
          <w:color w:val="000000"/>
          <w:sz w:val="22"/>
          <w:szCs w:val="22"/>
        </w:rPr>
        <w:t>tafarlaust</w:t>
      </w:r>
      <w:r w:rsidRPr="006774D3">
        <w:rPr>
          <w:color w:val="000000"/>
          <w:sz w:val="22"/>
          <w:szCs w:val="22"/>
        </w:rPr>
        <w:t xml:space="preserve"> samband við lækninn ef óvart hafa verið teknar inn of margar töflur. Verið getur að veita þurfi læknishjálp. Hafðu umbúðirnar utan af lyfinu með þér.</w:t>
      </w:r>
    </w:p>
    <w:p w14:paraId="05B8C213" w14:textId="77777777" w:rsidR="00D363A7" w:rsidRPr="006774D3" w:rsidRDefault="00D363A7" w:rsidP="00F77C66">
      <w:pPr>
        <w:ind w:right="-2"/>
        <w:rPr>
          <w:color w:val="000000"/>
          <w:sz w:val="22"/>
          <w:szCs w:val="22"/>
        </w:rPr>
      </w:pPr>
    </w:p>
    <w:p w14:paraId="05B8C214" w14:textId="77777777" w:rsidR="00D363A7" w:rsidRPr="006774D3" w:rsidRDefault="00D363A7" w:rsidP="00F77C66">
      <w:pPr>
        <w:keepNext/>
        <w:rPr>
          <w:color w:val="000000"/>
          <w:sz w:val="22"/>
          <w:szCs w:val="22"/>
        </w:rPr>
      </w:pPr>
      <w:r w:rsidRPr="006774D3">
        <w:rPr>
          <w:b/>
          <w:color w:val="000000"/>
          <w:sz w:val="22"/>
          <w:szCs w:val="22"/>
        </w:rPr>
        <w:t>Ef gleymist að taka Glivec</w:t>
      </w:r>
    </w:p>
    <w:p w14:paraId="05B8C215" w14:textId="77777777" w:rsidR="00D363A7" w:rsidRPr="006774D3" w:rsidRDefault="00D363A7" w:rsidP="00E22B2C">
      <w:pPr>
        <w:ind w:left="567" w:hanging="567"/>
        <w:rPr>
          <w:color w:val="000000"/>
          <w:sz w:val="22"/>
          <w:szCs w:val="22"/>
        </w:rPr>
      </w:pPr>
      <w:r w:rsidRPr="006774D3">
        <w:rPr>
          <w:color w:val="000000"/>
          <w:sz w:val="22"/>
          <w:szCs w:val="22"/>
        </w:rPr>
        <w:t>-</w:t>
      </w:r>
      <w:r w:rsidRPr="006774D3">
        <w:rPr>
          <w:color w:val="000000"/>
          <w:sz w:val="22"/>
          <w:szCs w:val="22"/>
        </w:rPr>
        <w:tab/>
        <w:t>Ef þú gleymir einum skammti skaltu taka hann um leið og þú manst eftir því. Ef hinsvegar er næstum kominn tími á næsta skammt, skaltu sleppa skammtinum sem gleymdist.</w:t>
      </w:r>
    </w:p>
    <w:p w14:paraId="05B8C216" w14:textId="77777777" w:rsidR="00D363A7" w:rsidRPr="006774D3" w:rsidRDefault="00D363A7" w:rsidP="00E22B2C">
      <w:pPr>
        <w:ind w:left="567" w:hanging="567"/>
        <w:rPr>
          <w:color w:val="000000"/>
          <w:sz w:val="22"/>
          <w:szCs w:val="22"/>
        </w:rPr>
      </w:pPr>
      <w:r w:rsidRPr="006774D3">
        <w:rPr>
          <w:color w:val="000000"/>
          <w:sz w:val="22"/>
          <w:szCs w:val="22"/>
        </w:rPr>
        <w:t>-</w:t>
      </w:r>
      <w:r w:rsidRPr="006774D3">
        <w:rPr>
          <w:color w:val="000000"/>
          <w:sz w:val="22"/>
          <w:szCs w:val="22"/>
        </w:rPr>
        <w:tab/>
        <w:t>Haltu síðan áfram að nota lyfið eins og venjulega.</w:t>
      </w:r>
    </w:p>
    <w:p w14:paraId="05B8C217" w14:textId="77777777" w:rsidR="00D363A7" w:rsidRPr="006774D3" w:rsidRDefault="00D363A7" w:rsidP="00F77C66">
      <w:pPr>
        <w:ind w:right="-2"/>
        <w:rPr>
          <w:color w:val="000000"/>
          <w:sz w:val="22"/>
          <w:szCs w:val="22"/>
        </w:rPr>
      </w:pPr>
      <w:r w:rsidRPr="006774D3">
        <w:rPr>
          <w:color w:val="000000"/>
          <w:sz w:val="22"/>
          <w:szCs w:val="22"/>
        </w:rPr>
        <w:t>-</w:t>
      </w:r>
      <w:r w:rsidRPr="006774D3">
        <w:rPr>
          <w:color w:val="000000"/>
          <w:sz w:val="22"/>
          <w:szCs w:val="22"/>
        </w:rPr>
        <w:tab/>
        <w:t>Ekki á að tvöfalda skammt til að bæta upp skammt sem gleymst hefur að taka.</w:t>
      </w:r>
    </w:p>
    <w:p w14:paraId="05B8C218" w14:textId="77777777" w:rsidR="00D363A7" w:rsidRPr="006774D3" w:rsidRDefault="00D363A7" w:rsidP="00F77C66">
      <w:pPr>
        <w:ind w:right="-2"/>
        <w:rPr>
          <w:color w:val="000000"/>
          <w:sz w:val="22"/>
          <w:szCs w:val="22"/>
        </w:rPr>
      </w:pPr>
    </w:p>
    <w:p w14:paraId="05B8C219" w14:textId="77777777" w:rsidR="00D363A7" w:rsidRPr="006774D3" w:rsidRDefault="00D363A7" w:rsidP="00F77C66">
      <w:pPr>
        <w:numPr>
          <w:ilvl w:val="12"/>
          <w:numId w:val="0"/>
        </w:numPr>
        <w:ind w:right="-29"/>
        <w:rPr>
          <w:color w:val="000000"/>
          <w:sz w:val="22"/>
          <w:szCs w:val="22"/>
        </w:rPr>
      </w:pPr>
      <w:r w:rsidRPr="006774D3">
        <w:rPr>
          <w:color w:val="000000"/>
          <w:sz w:val="22"/>
          <w:szCs w:val="22"/>
        </w:rPr>
        <w:t>Leitið til læknisins</w:t>
      </w:r>
      <w:r w:rsidR="00C26825" w:rsidRPr="006774D3">
        <w:rPr>
          <w:color w:val="000000"/>
          <w:sz w:val="22"/>
          <w:szCs w:val="22"/>
        </w:rPr>
        <w:t>,</w:t>
      </w:r>
      <w:r w:rsidRPr="006774D3">
        <w:rPr>
          <w:color w:val="000000"/>
          <w:sz w:val="22"/>
          <w:szCs w:val="22"/>
        </w:rPr>
        <w:t xml:space="preserve"> lyfjafræðings</w:t>
      </w:r>
      <w:r w:rsidR="00C26825" w:rsidRPr="006774D3">
        <w:rPr>
          <w:color w:val="000000"/>
          <w:sz w:val="22"/>
          <w:szCs w:val="22"/>
        </w:rPr>
        <w:t xml:space="preserve"> eða hjúkrunarfræðingsins</w:t>
      </w:r>
      <w:r w:rsidRPr="006774D3">
        <w:rPr>
          <w:color w:val="000000"/>
          <w:sz w:val="22"/>
          <w:szCs w:val="22"/>
        </w:rPr>
        <w:t xml:space="preserve"> ef þörf er á frekari upplýsingum um notkun lyfsins.</w:t>
      </w:r>
    </w:p>
    <w:p w14:paraId="05B8C21A" w14:textId="77777777" w:rsidR="00D363A7" w:rsidRPr="006774D3" w:rsidRDefault="00D363A7" w:rsidP="00F77C66">
      <w:pPr>
        <w:ind w:right="-2"/>
        <w:rPr>
          <w:color w:val="000000"/>
          <w:sz w:val="22"/>
          <w:szCs w:val="22"/>
        </w:rPr>
      </w:pPr>
    </w:p>
    <w:p w14:paraId="05B8C21B" w14:textId="77777777" w:rsidR="00D363A7" w:rsidRPr="006774D3" w:rsidRDefault="00D363A7" w:rsidP="00F77C66">
      <w:pPr>
        <w:ind w:right="-2"/>
        <w:rPr>
          <w:color w:val="000000"/>
          <w:sz w:val="22"/>
          <w:szCs w:val="22"/>
        </w:rPr>
      </w:pPr>
    </w:p>
    <w:p w14:paraId="05B8C21C" w14:textId="77777777" w:rsidR="007B5D76" w:rsidRPr="006774D3" w:rsidRDefault="007B5D76" w:rsidP="00F77C66">
      <w:pPr>
        <w:keepNext/>
        <w:ind w:right="-2"/>
        <w:rPr>
          <w:color w:val="000000"/>
          <w:sz w:val="22"/>
          <w:szCs w:val="22"/>
        </w:rPr>
      </w:pPr>
      <w:r w:rsidRPr="006774D3">
        <w:rPr>
          <w:b/>
          <w:color w:val="000000"/>
          <w:sz w:val="22"/>
          <w:szCs w:val="22"/>
        </w:rPr>
        <w:t>4.</w:t>
      </w:r>
      <w:r w:rsidRPr="006774D3">
        <w:rPr>
          <w:b/>
          <w:color w:val="000000"/>
          <w:sz w:val="22"/>
          <w:szCs w:val="22"/>
        </w:rPr>
        <w:tab/>
        <w:t>Hugsanlegar aukaverkanir</w:t>
      </w:r>
    </w:p>
    <w:p w14:paraId="05B8C21D" w14:textId="77777777" w:rsidR="007B5D76" w:rsidRPr="006774D3" w:rsidRDefault="007B5D76" w:rsidP="00F77C66">
      <w:pPr>
        <w:keepNext/>
        <w:ind w:right="-29"/>
        <w:rPr>
          <w:color w:val="000000"/>
          <w:sz w:val="22"/>
          <w:szCs w:val="22"/>
        </w:rPr>
      </w:pPr>
    </w:p>
    <w:p w14:paraId="05B8C21E" w14:textId="77777777" w:rsidR="007B5D76" w:rsidRPr="006774D3" w:rsidRDefault="007B5D76" w:rsidP="00E22B2C">
      <w:pPr>
        <w:ind w:right="-28"/>
        <w:rPr>
          <w:color w:val="000000"/>
          <w:sz w:val="22"/>
          <w:szCs w:val="22"/>
        </w:rPr>
      </w:pPr>
      <w:r w:rsidRPr="006774D3">
        <w:rPr>
          <w:color w:val="000000"/>
          <w:sz w:val="22"/>
          <w:szCs w:val="22"/>
        </w:rPr>
        <w:t>Eins og við á um öll lyf getur þetta lyf valdið aukaverkunum en það gerist þó ekki hjá öllum. Þær eru yfirleitt vægar eða í meðallagi miklar.</w:t>
      </w:r>
    </w:p>
    <w:p w14:paraId="05B8C21F" w14:textId="77777777" w:rsidR="007B5D76" w:rsidRPr="006774D3" w:rsidRDefault="007B5D76" w:rsidP="00F77C66">
      <w:pPr>
        <w:rPr>
          <w:color w:val="000000"/>
          <w:sz w:val="22"/>
          <w:szCs w:val="22"/>
        </w:rPr>
      </w:pPr>
    </w:p>
    <w:p w14:paraId="05B8C220" w14:textId="77777777" w:rsidR="007B5D76" w:rsidRPr="006774D3" w:rsidRDefault="007B5D76" w:rsidP="00E22B2C">
      <w:pPr>
        <w:keepNext/>
        <w:ind w:right="-29"/>
        <w:rPr>
          <w:b/>
          <w:color w:val="000000"/>
          <w:sz w:val="22"/>
          <w:szCs w:val="22"/>
        </w:rPr>
      </w:pPr>
      <w:r w:rsidRPr="006774D3">
        <w:rPr>
          <w:b/>
          <w:color w:val="000000"/>
          <w:sz w:val="22"/>
          <w:szCs w:val="22"/>
        </w:rPr>
        <w:lastRenderedPageBreak/>
        <w:t>Sumar aukaverkanir geta verið alvarlegar. Hafðu tafarlaust samband við lækninn ef þú finnur fyrir einhverju af eftirtöldu:</w:t>
      </w:r>
    </w:p>
    <w:p w14:paraId="05B8C221" w14:textId="77777777" w:rsidR="007B5D76" w:rsidRPr="006774D3" w:rsidRDefault="007B5D76" w:rsidP="00E22B2C">
      <w:pPr>
        <w:keepNext/>
        <w:ind w:left="567" w:hanging="567"/>
        <w:rPr>
          <w:bCs/>
          <w:color w:val="000000"/>
          <w:sz w:val="22"/>
          <w:szCs w:val="22"/>
        </w:rPr>
      </w:pPr>
    </w:p>
    <w:p w14:paraId="05B8C222" w14:textId="77777777" w:rsidR="007B5D76" w:rsidRPr="006774D3" w:rsidRDefault="007B5D76" w:rsidP="00E22B2C">
      <w:pPr>
        <w:keepNext/>
        <w:rPr>
          <w:bCs/>
          <w:color w:val="000000"/>
          <w:sz w:val="22"/>
          <w:szCs w:val="22"/>
        </w:rPr>
      </w:pPr>
      <w:r w:rsidRPr="006774D3">
        <w:rPr>
          <w:b/>
          <w:bCs/>
          <w:color w:val="000000"/>
          <w:sz w:val="22"/>
          <w:szCs w:val="22"/>
        </w:rPr>
        <w:t>Mjög algengar</w:t>
      </w:r>
      <w:r w:rsidRPr="006774D3">
        <w:rPr>
          <w:bCs/>
          <w:color w:val="000000"/>
          <w:sz w:val="22"/>
          <w:szCs w:val="22"/>
        </w:rPr>
        <w:t xml:space="preserve"> (geta komið fyrir hjá fleiri en 1 af hverjum 10 einstaklingum)</w:t>
      </w:r>
      <w:r w:rsidRPr="006774D3">
        <w:rPr>
          <w:b/>
          <w:bCs/>
          <w:color w:val="000000"/>
          <w:sz w:val="22"/>
          <w:szCs w:val="22"/>
        </w:rPr>
        <w:t xml:space="preserve"> eða algengar </w:t>
      </w:r>
      <w:r w:rsidRPr="006774D3">
        <w:rPr>
          <w:bCs/>
          <w:color w:val="000000"/>
          <w:sz w:val="22"/>
          <w:szCs w:val="22"/>
        </w:rPr>
        <w:t>(geta komið fyrir hjá allt að 1 af hverjum 10 einstaklingum):</w:t>
      </w:r>
    </w:p>
    <w:p w14:paraId="05B8C223"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bCs/>
          <w:color w:val="000000"/>
          <w:sz w:val="22"/>
          <w:szCs w:val="22"/>
        </w:rPr>
        <w:tab/>
      </w:r>
      <w:r w:rsidRPr="006774D3">
        <w:rPr>
          <w:color w:val="000000"/>
          <w:sz w:val="22"/>
          <w:szCs w:val="22"/>
        </w:rPr>
        <w:t>Hröð þyngdaraukning. Glivec getur valdið því að vatn safnist fyrir í líkamanum (alvarleg vökvasöfnun).</w:t>
      </w:r>
    </w:p>
    <w:p w14:paraId="05B8C224"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Einkenni um sýkingu, til dæmis hiti, mikill kuldahrollur, særindi í hálsi eða sár í munni. Glivec getur fækkað hvítum blóðkornum svo þú verður útsettari fyrir sýkingum.</w:t>
      </w:r>
    </w:p>
    <w:p w14:paraId="05B8C225"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Óvæntar blæðingar eða marblettir (án þess að þú hafir meitt þig).</w:t>
      </w:r>
    </w:p>
    <w:p w14:paraId="05B8C226" w14:textId="77777777" w:rsidR="007B5D76" w:rsidRPr="006774D3" w:rsidRDefault="007B5D76" w:rsidP="00F77C66">
      <w:pPr>
        <w:ind w:left="567" w:hanging="567"/>
        <w:rPr>
          <w:color w:val="000000"/>
          <w:sz w:val="22"/>
          <w:szCs w:val="22"/>
        </w:rPr>
      </w:pPr>
    </w:p>
    <w:p w14:paraId="05B8C227" w14:textId="77777777" w:rsidR="007B5D76" w:rsidRPr="006774D3" w:rsidRDefault="007B5D76" w:rsidP="00F77C66">
      <w:pPr>
        <w:keepNext/>
        <w:rPr>
          <w:bCs/>
          <w:color w:val="000000"/>
          <w:sz w:val="22"/>
          <w:szCs w:val="22"/>
        </w:rPr>
      </w:pPr>
      <w:r w:rsidRPr="006774D3">
        <w:rPr>
          <w:b/>
          <w:color w:val="000000"/>
          <w:sz w:val="22"/>
          <w:szCs w:val="22"/>
        </w:rPr>
        <w:t>Sjaldgæfar</w:t>
      </w:r>
      <w:r w:rsidRPr="006774D3">
        <w:rPr>
          <w:color w:val="000000"/>
          <w:sz w:val="22"/>
          <w:szCs w:val="22"/>
        </w:rPr>
        <w:t xml:space="preserve"> (geta komið fyrir hjá allt að 1 af hverjum 100 einstaklingum)</w:t>
      </w:r>
      <w:r w:rsidRPr="006774D3">
        <w:rPr>
          <w:b/>
          <w:color w:val="000000"/>
          <w:sz w:val="22"/>
          <w:szCs w:val="22"/>
        </w:rPr>
        <w:t xml:space="preserve"> eða mjög sjaldgæfar</w:t>
      </w:r>
      <w:r w:rsidRPr="006774D3">
        <w:rPr>
          <w:color w:val="000000"/>
          <w:sz w:val="22"/>
          <w:szCs w:val="22"/>
        </w:rPr>
        <w:t xml:space="preserve"> (geta komið fyrir hjá allt að 1 af hverjum 1.000 einstaklingum)</w:t>
      </w:r>
      <w:r w:rsidRPr="006774D3">
        <w:rPr>
          <w:bCs/>
          <w:color w:val="000000"/>
          <w:sz w:val="22"/>
          <w:szCs w:val="22"/>
        </w:rPr>
        <w:t>:</w:t>
      </w:r>
    </w:p>
    <w:p w14:paraId="05B8C228"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color w:val="000000"/>
          <w:sz w:val="22"/>
          <w:szCs w:val="22"/>
        </w:rPr>
        <w:tab/>
        <w:t>Brjóstverkur, óreglulegur hjartsláttur (einkenni hjartasjúkdóms).</w:t>
      </w:r>
    </w:p>
    <w:p w14:paraId="05B8C229" w14:textId="77777777" w:rsidR="007B5D76" w:rsidRPr="006774D3" w:rsidRDefault="007B5D76" w:rsidP="00E22B2C">
      <w:pPr>
        <w:ind w:left="567" w:hanging="567"/>
        <w:rPr>
          <w:color w:val="000000"/>
          <w:sz w:val="22"/>
          <w:szCs w:val="22"/>
        </w:rPr>
      </w:pPr>
      <w:r w:rsidRPr="006774D3">
        <w:rPr>
          <w:bCs/>
          <w:color w:val="000000"/>
          <w:sz w:val="22"/>
          <w:szCs w:val="22"/>
        </w:rPr>
        <w:t>•</w:t>
      </w:r>
      <w:r w:rsidRPr="006774D3">
        <w:rPr>
          <w:color w:val="000000"/>
          <w:sz w:val="22"/>
          <w:szCs w:val="22"/>
        </w:rPr>
        <w:tab/>
        <w:t>Hósti, öndunarerfiðleikar eða sársaukafull öndun (einkenni lungnasjúkdóms).</w:t>
      </w:r>
    </w:p>
    <w:p w14:paraId="05B8C22A"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Svimi, sundl eða yfirlið (einkenni lágs blóðþrýstings).</w:t>
      </w:r>
    </w:p>
    <w:p w14:paraId="05B8C22B"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Ógleði ásamt lystarleysi, dökkleitt þvag, gul húð eða augu (einkenni lifrarsjúkdóms).</w:t>
      </w:r>
    </w:p>
    <w:p w14:paraId="05B8C22C"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Útbrot, húðroði ásamt blöðrum á vörum, augum, húð eða í munni, húðflögnun, hiti, rauður eða fjólublár blettahúðþroti, kláði, sviði, útbrot með graftrarbólum (einkenni húðkvilla).</w:t>
      </w:r>
    </w:p>
    <w:p w14:paraId="05B8C22D"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Miklir kviðverkir, blóðug uppköst, blóðugar hægðir eða blóð í þvagi, svartar hægðir (einkenni meltingarfærasjúkdóms).</w:t>
      </w:r>
    </w:p>
    <w:p w14:paraId="05B8C22E"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Mikil minnkun þvagmyndunar, þorsti (einkenni nýrnasjúkdóms).</w:t>
      </w:r>
    </w:p>
    <w:p w14:paraId="05B8C22F"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Ógleði ásamt niðurgangi og uppköstum, kviðverkir eða hiti (einkenni garnasjúkdóms).</w:t>
      </w:r>
    </w:p>
    <w:p w14:paraId="05B8C230"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Mikill höfuðverkur, máttleysi eða lömun í útlimum eða andliti, talerfiðleikar, skyndilegt meðvitundar</w:t>
      </w:r>
      <w:r w:rsidRPr="006774D3">
        <w:rPr>
          <w:color w:val="000000"/>
          <w:sz w:val="22"/>
          <w:szCs w:val="22"/>
        </w:rPr>
        <w:softHyphen/>
        <w:t>leysi (einkenni um sjúkdóm í taugakerfinu svo sem blæðingar eða þroti innan höfuðkúpu/heila).</w:t>
      </w:r>
    </w:p>
    <w:p w14:paraId="05B8C231" w14:textId="77777777" w:rsidR="007B5D76" w:rsidRPr="006774D3" w:rsidRDefault="007B5D76" w:rsidP="00F77C66">
      <w:pPr>
        <w:ind w:left="567" w:hanging="567"/>
        <w:rPr>
          <w:bCs/>
          <w:color w:val="000000"/>
          <w:sz w:val="22"/>
          <w:szCs w:val="22"/>
        </w:rPr>
      </w:pPr>
      <w:r w:rsidRPr="006774D3">
        <w:rPr>
          <w:bCs/>
          <w:color w:val="000000"/>
          <w:sz w:val="22"/>
          <w:szCs w:val="22"/>
        </w:rPr>
        <w:t>•</w:t>
      </w:r>
      <w:r w:rsidRPr="006774D3">
        <w:rPr>
          <w:color w:val="000000"/>
          <w:sz w:val="22"/>
          <w:szCs w:val="22"/>
        </w:rPr>
        <w:tab/>
        <w:t>Húðfölvi, þreyta og mæði ásamt dökkleitu þvagi (einkenni of fárra rauðra blóðkorna).</w:t>
      </w:r>
    </w:p>
    <w:p w14:paraId="05B8C232"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Verkur í augum eða versnun sjónar, blæðing í augum.</w:t>
      </w:r>
    </w:p>
    <w:p w14:paraId="05B8C233" w14:textId="77777777" w:rsidR="007B5D76" w:rsidRPr="006774D3" w:rsidRDefault="007B5D76" w:rsidP="00F77C66">
      <w:pPr>
        <w:ind w:left="567" w:hanging="567"/>
        <w:rPr>
          <w:color w:val="000000"/>
          <w:sz w:val="22"/>
          <w:szCs w:val="22"/>
        </w:rPr>
      </w:pPr>
      <w:r w:rsidRPr="006774D3">
        <w:rPr>
          <w:bCs/>
          <w:color w:val="000000"/>
          <w:sz w:val="22"/>
          <w:szCs w:val="22"/>
        </w:rPr>
        <w:t>•</w:t>
      </w:r>
      <w:r w:rsidRPr="006774D3">
        <w:rPr>
          <w:color w:val="000000"/>
          <w:sz w:val="22"/>
          <w:szCs w:val="22"/>
        </w:rPr>
        <w:tab/>
        <w:t>Verkir í mjöðm eða erfiðleikar við gang.</w:t>
      </w:r>
    </w:p>
    <w:p w14:paraId="05B8C234"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Dofi eða kuldi í tám og fingrum (einkenni æðakrampaheilkennis).</w:t>
      </w:r>
    </w:p>
    <w:p w14:paraId="05B8C235"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Skyndileg bólga og roði í húð (einkenni húðsýkingar sem kallast húðbeðsbólga).</w:t>
      </w:r>
    </w:p>
    <w:p w14:paraId="05B8C236" w14:textId="77777777" w:rsidR="007B5D76" w:rsidRPr="006774D3" w:rsidRDefault="007B5D76" w:rsidP="00F77C66">
      <w:pPr>
        <w:ind w:right="-29"/>
        <w:rPr>
          <w:color w:val="000000"/>
          <w:sz w:val="22"/>
          <w:szCs w:val="22"/>
        </w:rPr>
      </w:pPr>
      <w:r w:rsidRPr="006774D3">
        <w:rPr>
          <w:bCs/>
          <w:color w:val="000000"/>
          <w:sz w:val="22"/>
          <w:szCs w:val="22"/>
        </w:rPr>
        <w:t>•</w:t>
      </w:r>
      <w:r w:rsidRPr="006774D3">
        <w:rPr>
          <w:color w:val="000000"/>
          <w:sz w:val="22"/>
          <w:szCs w:val="22"/>
        </w:rPr>
        <w:tab/>
        <w:t>Heyrnarskerðing.</w:t>
      </w:r>
    </w:p>
    <w:p w14:paraId="05B8C237" w14:textId="77777777" w:rsidR="007B5D76" w:rsidRPr="006774D3" w:rsidRDefault="007B5D76" w:rsidP="00F77C66">
      <w:pPr>
        <w:ind w:left="567" w:hanging="567"/>
        <w:rPr>
          <w:color w:val="000000"/>
          <w:sz w:val="22"/>
          <w:szCs w:val="22"/>
        </w:rPr>
      </w:pPr>
      <w:r w:rsidRPr="006774D3">
        <w:rPr>
          <w:color w:val="000000"/>
          <w:sz w:val="22"/>
          <w:szCs w:val="22"/>
        </w:rPr>
        <w:t>•</w:t>
      </w:r>
      <w:r w:rsidRPr="006774D3">
        <w:rPr>
          <w:color w:val="000000"/>
          <w:sz w:val="22"/>
          <w:szCs w:val="22"/>
        </w:rPr>
        <w:tab/>
        <w:t>Vöðvamáttleysi og vöðvakrampar ásamt óeðlilegum hjartslætti (merki um breytingar á kalíummagni í blóði).</w:t>
      </w:r>
    </w:p>
    <w:p w14:paraId="05B8C238" w14:textId="77777777" w:rsidR="007B5D76" w:rsidRPr="006774D3" w:rsidRDefault="007B5D76" w:rsidP="00F77C66">
      <w:pPr>
        <w:ind w:right="-29"/>
        <w:rPr>
          <w:color w:val="000000"/>
          <w:sz w:val="22"/>
          <w:szCs w:val="22"/>
        </w:rPr>
      </w:pPr>
      <w:r w:rsidRPr="006774D3">
        <w:rPr>
          <w:color w:val="000000"/>
          <w:sz w:val="22"/>
          <w:szCs w:val="22"/>
        </w:rPr>
        <w:t>•</w:t>
      </w:r>
      <w:r w:rsidRPr="006774D3">
        <w:rPr>
          <w:color w:val="000000"/>
          <w:sz w:val="22"/>
          <w:szCs w:val="22"/>
        </w:rPr>
        <w:tab/>
        <w:t>Mar.</w:t>
      </w:r>
    </w:p>
    <w:p w14:paraId="05B8C239" w14:textId="77777777" w:rsidR="007B5D76" w:rsidRPr="006774D3" w:rsidRDefault="007B5D76" w:rsidP="00F77C66">
      <w:pPr>
        <w:ind w:right="-29"/>
        <w:rPr>
          <w:color w:val="000000"/>
          <w:sz w:val="22"/>
          <w:szCs w:val="22"/>
        </w:rPr>
      </w:pPr>
      <w:r w:rsidRPr="006774D3">
        <w:rPr>
          <w:color w:val="000000"/>
          <w:sz w:val="22"/>
          <w:szCs w:val="22"/>
        </w:rPr>
        <w:t>•</w:t>
      </w:r>
      <w:r w:rsidRPr="006774D3">
        <w:rPr>
          <w:color w:val="000000"/>
          <w:sz w:val="22"/>
          <w:szCs w:val="22"/>
        </w:rPr>
        <w:tab/>
        <w:t>Kviðverkir ásamt ógleði.</w:t>
      </w:r>
    </w:p>
    <w:p w14:paraId="05B8C23A" w14:textId="77777777" w:rsidR="007B5D76" w:rsidRPr="006774D3" w:rsidRDefault="007B5D76" w:rsidP="00F77C66">
      <w:pPr>
        <w:ind w:left="567" w:right="-29" w:hanging="567"/>
        <w:rPr>
          <w:color w:val="000000"/>
          <w:sz w:val="22"/>
          <w:szCs w:val="22"/>
        </w:rPr>
      </w:pPr>
      <w:r w:rsidRPr="006774D3">
        <w:rPr>
          <w:color w:val="000000"/>
          <w:sz w:val="22"/>
          <w:szCs w:val="22"/>
        </w:rPr>
        <w:t>•</w:t>
      </w:r>
      <w:r w:rsidRPr="006774D3">
        <w:rPr>
          <w:color w:val="000000"/>
          <w:sz w:val="22"/>
          <w:szCs w:val="22"/>
        </w:rPr>
        <w:tab/>
        <w:t>Vöðvakrampar ásamt hita, rauðbrúnt þvag, verkur eða máttleysi í vöðvum (einkenni vöðvakvilla).</w:t>
      </w:r>
    </w:p>
    <w:p w14:paraId="05B8C23B" w14:textId="77777777" w:rsidR="007B5D76" w:rsidRPr="006774D3" w:rsidRDefault="007B5D76" w:rsidP="00F77C66">
      <w:pPr>
        <w:ind w:left="567" w:right="-28" w:hanging="567"/>
        <w:rPr>
          <w:color w:val="000000"/>
          <w:sz w:val="22"/>
          <w:szCs w:val="22"/>
        </w:rPr>
      </w:pPr>
      <w:r w:rsidRPr="006774D3">
        <w:rPr>
          <w:color w:val="000000"/>
          <w:sz w:val="22"/>
          <w:szCs w:val="22"/>
        </w:rPr>
        <w:t>•</w:t>
      </w:r>
      <w:r w:rsidRPr="006774D3">
        <w:rPr>
          <w:color w:val="000000"/>
          <w:sz w:val="22"/>
          <w:szCs w:val="22"/>
        </w:rPr>
        <w:tab/>
        <w:t>Grindarholsverkir stundum ásamt ógleði og uppköstum, ásamt óvæntum blæðingum frá leggöngum, sundl eða yfirlið vegna lækkaðs blóðþrýstings (einkenni sjúkdóms í eggjastokkum eða legi).</w:t>
      </w:r>
    </w:p>
    <w:p w14:paraId="05B8C23C" w14:textId="77777777" w:rsidR="00965D3C" w:rsidRPr="006774D3" w:rsidRDefault="007B5D76" w:rsidP="00F77C66">
      <w:pPr>
        <w:ind w:left="567" w:right="-28" w:hanging="567"/>
        <w:rPr>
          <w:color w:val="000000"/>
          <w:sz w:val="22"/>
          <w:szCs w:val="22"/>
        </w:rPr>
      </w:pPr>
      <w:r w:rsidRPr="006774D3">
        <w:rPr>
          <w:color w:val="000000"/>
          <w:sz w:val="22"/>
          <w:szCs w:val="22"/>
        </w:rPr>
        <w:t>•</w:t>
      </w:r>
      <w:r w:rsidRPr="006774D3">
        <w:rPr>
          <w:color w:val="000000"/>
          <w:sz w:val="22"/>
          <w:szCs w:val="22"/>
        </w:rPr>
        <w:tab/>
        <w:t xml:space="preserve">Ógleði, mæði, óreglulegur hjartsláttur, skýjað þvag, þreyta og/eða óþægindi í liðum í tengslum við óeðlilegar niðurstöður úr rannsóknum (t.d. mikið magn kalíums, þvagsýru og </w:t>
      </w:r>
      <w:r w:rsidR="005706EE" w:rsidRPr="006774D3">
        <w:rPr>
          <w:color w:val="000000"/>
          <w:sz w:val="22"/>
          <w:szCs w:val="22"/>
        </w:rPr>
        <w:t xml:space="preserve">kalsíums </w:t>
      </w:r>
      <w:r w:rsidRPr="006774D3">
        <w:rPr>
          <w:color w:val="000000"/>
          <w:sz w:val="22"/>
          <w:szCs w:val="22"/>
        </w:rPr>
        <w:t xml:space="preserve">og lítið magn </w:t>
      </w:r>
      <w:r w:rsidR="005706EE" w:rsidRPr="006774D3">
        <w:rPr>
          <w:color w:val="000000"/>
          <w:sz w:val="22"/>
          <w:szCs w:val="22"/>
        </w:rPr>
        <w:t xml:space="preserve">fosfórs </w:t>
      </w:r>
      <w:r w:rsidRPr="006774D3">
        <w:rPr>
          <w:color w:val="000000"/>
          <w:sz w:val="22"/>
          <w:szCs w:val="22"/>
        </w:rPr>
        <w:t>í blóði).</w:t>
      </w:r>
    </w:p>
    <w:p w14:paraId="05B8C23D" w14:textId="77777777" w:rsidR="007B5D76" w:rsidRPr="006774D3" w:rsidRDefault="00965D3C" w:rsidP="00F77C66">
      <w:pPr>
        <w:ind w:left="567" w:right="-28" w:hanging="567"/>
        <w:rPr>
          <w:color w:val="000000"/>
          <w:sz w:val="22"/>
          <w:szCs w:val="22"/>
        </w:rPr>
      </w:pPr>
      <w:r w:rsidRPr="006774D3">
        <w:rPr>
          <w:color w:val="000000"/>
          <w:sz w:val="22"/>
          <w:szCs w:val="22"/>
        </w:rPr>
        <w:t>•</w:t>
      </w:r>
      <w:r w:rsidRPr="006774D3">
        <w:rPr>
          <w:color w:val="000000"/>
          <w:sz w:val="22"/>
          <w:szCs w:val="22"/>
        </w:rPr>
        <w:tab/>
        <w:t>Blóðtappar í smáum æðum (segaöræðakvilli).</w:t>
      </w:r>
    </w:p>
    <w:p w14:paraId="05B8C23E" w14:textId="77777777" w:rsidR="00222F7E" w:rsidRPr="006774D3" w:rsidRDefault="00222F7E" w:rsidP="00F77C66">
      <w:pPr>
        <w:ind w:left="567" w:right="-28" w:hanging="567"/>
        <w:rPr>
          <w:color w:val="000000"/>
          <w:sz w:val="22"/>
          <w:szCs w:val="22"/>
        </w:rPr>
      </w:pPr>
    </w:p>
    <w:p w14:paraId="05B8C23F" w14:textId="77777777" w:rsidR="00222F7E" w:rsidRPr="006774D3" w:rsidRDefault="00222F7E" w:rsidP="00E22B2C">
      <w:pPr>
        <w:keepNext/>
        <w:ind w:left="567" w:right="-28" w:hanging="567"/>
        <w:rPr>
          <w:color w:val="000000"/>
          <w:sz w:val="22"/>
          <w:szCs w:val="22"/>
        </w:rPr>
      </w:pPr>
      <w:r w:rsidRPr="006774D3">
        <w:rPr>
          <w:b/>
          <w:color w:val="000000"/>
          <w:sz w:val="22"/>
          <w:szCs w:val="22"/>
        </w:rPr>
        <w:t>Tíðni ekki þekkt</w:t>
      </w:r>
      <w:r w:rsidR="005706EE" w:rsidRPr="006774D3">
        <w:rPr>
          <w:color w:val="000000"/>
          <w:sz w:val="22"/>
          <w:szCs w:val="22"/>
        </w:rPr>
        <w:t xml:space="preserve"> (ekki hægt að áætla tíðni út frá fyrirliggjandi gögnum)</w:t>
      </w:r>
      <w:r w:rsidRPr="006774D3">
        <w:rPr>
          <w:color w:val="000000"/>
          <w:sz w:val="22"/>
          <w:szCs w:val="22"/>
        </w:rPr>
        <w:t>:</w:t>
      </w:r>
    </w:p>
    <w:p w14:paraId="05B8C240" w14:textId="77777777" w:rsidR="00D959D7" w:rsidRPr="006774D3" w:rsidRDefault="00222F7E" w:rsidP="00F77C66">
      <w:pPr>
        <w:ind w:left="567" w:right="-28" w:hanging="567"/>
        <w:rPr>
          <w:color w:val="000000"/>
          <w:sz w:val="22"/>
          <w:szCs w:val="22"/>
        </w:rPr>
      </w:pPr>
      <w:r w:rsidRPr="006774D3">
        <w:rPr>
          <w:color w:val="000000"/>
          <w:sz w:val="22"/>
          <w:szCs w:val="22"/>
        </w:rPr>
        <w:t>•</w:t>
      </w:r>
      <w:r w:rsidRPr="006774D3">
        <w:rPr>
          <w:color w:val="000000"/>
          <w:sz w:val="22"/>
          <w:szCs w:val="22"/>
        </w:rPr>
        <w:tab/>
        <w:t>Sambland af útbreiddum alvarlegum útbrotum, ógleði, hita, miklu magni af ákveðnum hvítum blóðkornum eða gulnun húðar eða augna (einkenni gulu) ásamt mæði, verk/óþægindum fyrir brjósti, verulega minnkuðu þvagmagni og þorsta o.s.frv. (einkenni meðferðartengdra ofnæmisviðbragða).</w:t>
      </w:r>
    </w:p>
    <w:p w14:paraId="05B8C241" w14:textId="77777777" w:rsidR="002871A2" w:rsidRPr="006774D3" w:rsidRDefault="00D959D7" w:rsidP="00F77C66">
      <w:pPr>
        <w:ind w:left="567" w:right="-28" w:hanging="567"/>
        <w:rPr>
          <w:color w:val="000000"/>
          <w:sz w:val="22"/>
          <w:szCs w:val="22"/>
        </w:rPr>
      </w:pPr>
      <w:r w:rsidRPr="006774D3">
        <w:rPr>
          <w:color w:val="000000"/>
          <w:sz w:val="22"/>
          <w:szCs w:val="22"/>
        </w:rPr>
        <w:t>•</w:t>
      </w:r>
      <w:r w:rsidRPr="006774D3">
        <w:rPr>
          <w:color w:val="000000"/>
          <w:sz w:val="22"/>
          <w:szCs w:val="22"/>
        </w:rPr>
        <w:tab/>
        <w:t>Langvarandi nýrnabilun.</w:t>
      </w:r>
    </w:p>
    <w:p w14:paraId="05B8C242" w14:textId="77777777" w:rsidR="00222F7E" w:rsidRPr="006774D3" w:rsidRDefault="002871A2" w:rsidP="00F77C66">
      <w:pPr>
        <w:ind w:left="567" w:right="-28" w:hanging="567"/>
        <w:rPr>
          <w:color w:val="000000"/>
          <w:sz w:val="22"/>
          <w:szCs w:val="22"/>
        </w:rPr>
      </w:pPr>
      <w:r w:rsidRPr="006774D3">
        <w:rPr>
          <w:color w:val="000000"/>
          <w:sz w:val="22"/>
          <w:szCs w:val="22"/>
        </w:rPr>
        <w:t>•</w:t>
      </w:r>
      <w:r w:rsidRPr="006774D3">
        <w:rPr>
          <w:color w:val="000000"/>
          <w:sz w:val="22"/>
          <w:szCs w:val="22"/>
        </w:rPr>
        <w:tab/>
        <w:t>E</w:t>
      </w:r>
      <w:r w:rsidRPr="006774D3">
        <w:rPr>
          <w:bCs/>
          <w:color w:val="000000"/>
          <w:sz w:val="22"/>
          <w:szCs w:val="22"/>
        </w:rPr>
        <w:t>ndurkoma (endurvirkjun) lifrarbólgu B sýkingar ef þú hefur áður verið með lifrarbólgu B (sýking í lifur).</w:t>
      </w:r>
    </w:p>
    <w:p w14:paraId="05B8C243" w14:textId="77777777" w:rsidR="00222F7E" w:rsidRPr="006774D3" w:rsidRDefault="00222F7E" w:rsidP="00F77C66">
      <w:pPr>
        <w:ind w:left="567" w:right="-28" w:hanging="567"/>
        <w:rPr>
          <w:color w:val="000000"/>
          <w:sz w:val="22"/>
          <w:szCs w:val="22"/>
        </w:rPr>
      </w:pPr>
    </w:p>
    <w:p w14:paraId="05B8C244" w14:textId="77777777" w:rsidR="007B5D76" w:rsidRPr="006774D3" w:rsidRDefault="007B5D76" w:rsidP="00F77C66">
      <w:pPr>
        <w:ind w:left="567" w:right="-28" w:hanging="567"/>
        <w:rPr>
          <w:color w:val="000000"/>
          <w:sz w:val="22"/>
          <w:szCs w:val="22"/>
        </w:rPr>
      </w:pPr>
      <w:r w:rsidRPr="006774D3">
        <w:rPr>
          <w:color w:val="000000"/>
          <w:sz w:val="22"/>
          <w:szCs w:val="22"/>
        </w:rPr>
        <w:t xml:space="preserve">Ef eitthvað af ofangreindu á við um þig </w:t>
      </w:r>
      <w:r w:rsidRPr="006774D3">
        <w:rPr>
          <w:b/>
          <w:color w:val="000000"/>
          <w:sz w:val="22"/>
          <w:szCs w:val="22"/>
        </w:rPr>
        <w:t>skaltu tafarlaust hafa samband við lækninn</w:t>
      </w:r>
      <w:r w:rsidRPr="006774D3">
        <w:rPr>
          <w:color w:val="000000"/>
          <w:sz w:val="22"/>
          <w:szCs w:val="22"/>
        </w:rPr>
        <w:t>.</w:t>
      </w:r>
    </w:p>
    <w:p w14:paraId="05B8C245" w14:textId="77777777" w:rsidR="007B5D76" w:rsidRPr="006774D3" w:rsidRDefault="007B5D76" w:rsidP="00F77C66">
      <w:pPr>
        <w:ind w:right="-29"/>
        <w:rPr>
          <w:color w:val="000000"/>
          <w:sz w:val="22"/>
          <w:szCs w:val="22"/>
        </w:rPr>
      </w:pPr>
    </w:p>
    <w:p w14:paraId="05B8C246" w14:textId="77777777" w:rsidR="007B5D76" w:rsidRPr="006774D3" w:rsidRDefault="007B5D76" w:rsidP="00F77C66">
      <w:pPr>
        <w:keepNext/>
        <w:ind w:right="-28"/>
        <w:rPr>
          <w:b/>
          <w:color w:val="000000"/>
          <w:sz w:val="22"/>
          <w:szCs w:val="22"/>
        </w:rPr>
      </w:pPr>
      <w:r w:rsidRPr="006774D3">
        <w:rPr>
          <w:b/>
          <w:color w:val="000000"/>
          <w:sz w:val="22"/>
          <w:szCs w:val="22"/>
        </w:rPr>
        <w:lastRenderedPageBreak/>
        <w:t>Aðrar aukaverkanir geta verið:</w:t>
      </w:r>
    </w:p>
    <w:p w14:paraId="05B8C247" w14:textId="77777777" w:rsidR="007B5D76" w:rsidRPr="006774D3" w:rsidRDefault="007B5D76" w:rsidP="00F77C66">
      <w:pPr>
        <w:keepNext/>
        <w:ind w:right="-28"/>
        <w:rPr>
          <w:color w:val="000000"/>
          <w:sz w:val="22"/>
          <w:szCs w:val="22"/>
        </w:rPr>
      </w:pPr>
    </w:p>
    <w:p w14:paraId="05B8C248" w14:textId="77777777" w:rsidR="007B5D76" w:rsidRPr="006774D3" w:rsidRDefault="007B5D76" w:rsidP="00F77C66">
      <w:pPr>
        <w:keepNext/>
        <w:ind w:right="-28"/>
        <w:rPr>
          <w:color w:val="000000"/>
          <w:sz w:val="22"/>
          <w:szCs w:val="22"/>
        </w:rPr>
      </w:pPr>
      <w:r w:rsidRPr="006774D3">
        <w:rPr>
          <w:b/>
          <w:color w:val="000000"/>
          <w:sz w:val="22"/>
          <w:szCs w:val="22"/>
        </w:rPr>
        <w:t>Mjög algengar</w:t>
      </w:r>
      <w:r w:rsidRPr="006774D3">
        <w:rPr>
          <w:color w:val="000000"/>
          <w:sz w:val="22"/>
          <w:szCs w:val="22"/>
        </w:rPr>
        <w:t xml:space="preserve"> (geta komið fyrir hjá fleiri en 1 af hverjum 10 einstaklingum):</w:t>
      </w:r>
    </w:p>
    <w:p w14:paraId="05B8C249"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Höfuðverkur eða þreyta.</w:t>
      </w:r>
    </w:p>
    <w:p w14:paraId="05B8C24A"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Ógleði, uppköst, niðurgangur eða meltingartruflun.</w:t>
      </w:r>
    </w:p>
    <w:p w14:paraId="05B8C24B"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Útbrot.</w:t>
      </w:r>
    </w:p>
    <w:p w14:paraId="05B8C24C" w14:textId="77777777" w:rsidR="007B5D76" w:rsidRPr="006774D3" w:rsidRDefault="007B5D76" w:rsidP="00E22B2C">
      <w:pPr>
        <w:ind w:left="567" w:right="-28" w:hanging="567"/>
        <w:rPr>
          <w:color w:val="000000"/>
          <w:sz w:val="22"/>
          <w:szCs w:val="22"/>
        </w:rPr>
      </w:pPr>
      <w:r w:rsidRPr="006774D3">
        <w:rPr>
          <w:color w:val="000000"/>
          <w:sz w:val="22"/>
          <w:szCs w:val="22"/>
        </w:rPr>
        <w:t>•</w:t>
      </w:r>
      <w:r w:rsidRPr="006774D3">
        <w:rPr>
          <w:color w:val="000000"/>
          <w:sz w:val="22"/>
          <w:szCs w:val="22"/>
        </w:rPr>
        <w:tab/>
        <w:t>Vöðvakrampar eða lið-, vöðva- eða beinverkir</w:t>
      </w:r>
      <w:r w:rsidR="00EF6C95" w:rsidRPr="006774D3">
        <w:rPr>
          <w:color w:val="000000"/>
          <w:sz w:val="22"/>
          <w:szCs w:val="22"/>
        </w:rPr>
        <w:t xml:space="preserve"> meðan á meðferð með Glivec stendur eða eftir að meðferð með Glivec hefur verið hætt</w:t>
      </w:r>
      <w:r w:rsidRPr="006774D3">
        <w:rPr>
          <w:color w:val="000000"/>
          <w:sz w:val="22"/>
          <w:szCs w:val="22"/>
        </w:rPr>
        <w:t>.</w:t>
      </w:r>
    </w:p>
    <w:p w14:paraId="05B8C24D"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Þroti svo sem á ökklum og þrútin augu.</w:t>
      </w:r>
    </w:p>
    <w:p w14:paraId="05B8C24E" w14:textId="77777777" w:rsidR="007B5D76" w:rsidRPr="006774D3" w:rsidRDefault="007B5D76" w:rsidP="00F77C66">
      <w:pPr>
        <w:keepNext/>
        <w:ind w:right="-28"/>
        <w:rPr>
          <w:color w:val="000000"/>
          <w:sz w:val="22"/>
          <w:szCs w:val="22"/>
        </w:rPr>
      </w:pPr>
      <w:r w:rsidRPr="006774D3">
        <w:rPr>
          <w:color w:val="000000"/>
          <w:sz w:val="22"/>
          <w:szCs w:val="22"/>
        </w:rPr>
        <w:t>•</w:t>
      </w:r>
      <w:r w:rsidRPr="006774D3">
        <w:rPr>
          <w:color w:val="000000"/>
          <w:sz w:val="22"/>
          <w:szCs w:val="22"/>
        </w:rPr>
        <w:tab/>
        <w:t>Þyngdaraukning.</w:t>
      </w:r>
    </w:p>
    <w:p w14:paraId="05B8C24F" w14:textId="77777777" w:rsidR="007B5D76" w:rsidRPr="006774D3" w:rsidRDefault="007B5D76" w:rsidP="00F77C66">
      <w:pPr>
        <w:ind w:right="-29"/>
        <w:rPr>
          <w:b/>
          <w:color w:val="000000"/>
          <w:sz w:val="22"/>
          <w:szCs w:val="22"/>
        </w:rPr>
      </w:pPr>
      <w:r w:rsidRPr="006774D3">
        <w:rPr>
          <w:color w:val="000000"/>
          <w:sz w:val="22"/>
          <w:szCs w:val="22"/>
        </w:rPr>
        <w:t xml:space="preserve">Ef einhverjar af þessum aukaverkunum hafa alvarleg áhrif </w:t>
      </w:r>
      <w:r w:rsidRPr="006774D3">
        <w:rPr>
          <w:b/>
          <w:color w:val="000000"/>
          <w:sz w:val="22"/>
          <w:szCs w:val="22"/>
        </w:rPr>
        <w:t>skal láta lækninn vita.</w:t>
      </w:r>
    </w:p>
    <w:p w14:paraId="05B8C250" w14:textId="77777777" w:rsidR="007B5D76" w:rsidRPr="006774D3" w:rsidRDefault="007B5D76" w:rsidP="00F77C66">
      <w:pPr>
        <w:ind w:right="-29"/>
        <w:rPr>
          <w:color w:val="000000"/>
          <w:sz w:val="22"/>
          <w:szCs w:val="22"/>
        </w:rPr>
      </w:pPr>
    </w:p>
    <w:p w14:paraId="05B8C251" w14:textId="77777777" w:rsidR="007B5D76" w:rsidRPr="006774D3" w:rsidRDefault="007B5D76" w:rsidP="00F77C66">
      <w:pPr>
        <w:keepNext/>
        <w:ind w:right="-28"/>
        <w:rPr>
          <w:color w:val="000000"/>
          <w:sz w:val="22"/>
          <w:szCs w:val="22"/>
        </w:rPr>
      </w:pPr>
      <w:r w:rsidRPr="006774D3">
        <w:rPr>
          <w:b/>
          <w:color w:val="000000"/>
          <w:sz w:val="22"/>
          <w:szCs w:val="22"/>
        </w:rPr>
        <w:t>Algengar</w:t>
      </w:r>
      <w:r w:rsidRPr="006774D3">
        <w:rPr>
          <w:color w:val="000000"/>
          <w:sz w:val="22"/>
          <w:szCs w:val="22"/>
        </w:rPr>
        <w:t xml:space="preserve"> </w:t>
      </w:r>
      <w:r w:rsidRPr="006774D3">
        <w:rPr>
          <w:bCs/>
          <w:color w:val="000000"/>
          <w:sz w:val="22"/>
          <w:szCs w:val="22"/>
        </w:rPr>
        <w:t>(geta komið fyrir hjá allt að 1 af hverjum 10 einstaklingum)</w:t>
      </w:r>
      <w:r w:rsidRPr="006774D3">
        <w:rPr>
          <w:color w:val="000000"/>
          <w:sz w:val="22"/>
          <w:szCs w:val="22"/>
        </w:rPr>
        <w:t>:</w:t>
      </w:r>
    </w:p>
    <w:p w14:paraId="05B8C252"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Lystarleysi, þyngdartap eða breytingar á bragðskyni.</w:t>
      </w:r>
    </w:p>
    <w:p w14:paraId="05B8C253"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Sundl eða slappleiki.</w:t>
      </w:r>
    </w:p>
    <w:p w14:paraId="05B8C254"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Svefntruflanir (svefnleysi).</w:t>
      </w:r>
    </w:p>
    <w:p w14:paraId="05B8C255"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Útferð úr auga ásamt kláða, roða og þrota (tárubólga), aukin táramyndun eða þokusýn.</w:t>
      </w:r>
    </w:p>
    <w:p w14:paraId="05B8C256"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Blóðnasir.</w:t>
      </w:r>
    </w:p>
    <w:p w14:paraId="05B8C257"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Kviðverkir eða þaninn kviður, vindgangur, brjóstsviði eða hægðatregða.</w:t>
      </w:r>
    </w:p>
    <w:p w14:paraId="05B8C258"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Kláði.</w:t>
      </w:r>
    </w:p>
    <w:p w14:paraId="05B8C259"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Óeðlilegt hárlos eða hárþynning.</w:t>
      </w:r>
    </w:p>
    <w:p w14:paraId="05B8C25A"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Dofi í höndum eða fótum.</w:t>
      </w:r>
    </w:p>
    <w:p w14:paraId="05B8C25B"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Munnangur.</w:t>
      </w:r>
    </w:p>
    <w:p w14:paraId="05B8C25C"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Liðverkir ásamt þrota.</w:t>
      </w:r>
    </w:p>
    <w:p w14:paraId="05B8C25D"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Munnþurrkur, húðþurrkur eða augnþurrkur.</w:t>
      </w:r>
    </w:p>
    <w:p w14:paraId="05B8C25E" w14:textId="77777777" w:rsidR="007B5D76" w:rsidRPr="006774D3" w:rsidRDefault="007B5D76" w:rsidP="00E22B2C">
      <w:pPr>
        <w:ind w:right="-28"/>
        <w:rPr>
          <w:color w:val="000000"/>
          <w:sz w:val="22"/>
          <w:szCs w:val="22"/>
        </w:rPr>
      </w:pPr>
      <w:r w:rsidRPr="006774D3">
        <w:rPr>
          <w:color w:val="000000"/>
          <w:sz w:val="22"/>
          <w:szCs w:val="22"/>
        </w:rPr>
        <w:t>•</w:t>
      </w:r>
      <w:r w:rsidRPr="006774D3">
        <w:rPr>
          <w:color w:val="000000"/>
          <w:sz w:val="22"/>
          <w:szCs w:val="22"/>
        </w:rPr>
        <w:tab/>
        <w:t>Minnkað eða aukið húðskyn.</w:t>
      </w:r>
    </w:p>
    <w:p w14:paraId="05B8C25F" w14:textId="77777777" w:rsidR="007B5D76" w:rsidRPr="006774D3" w:rsidRDefault="007B5D76" w:rsidP="00F77C66">
      <w:pPr>
        <w:keepNext/>
        <w:ind w:right="-28"/>
        <w:rPr>
          <w:color w:val="000000"/>
          <w:sz w:val="22"/>
          <w:szCs w:val="22"/>
        </w:rPr>
      </w:pPr>
      <w:r w:rsidRPr="006774D3">
        <w:rPr>
          <w:color w:val="000000"/>
          <w:sz w:val="22"/>
          <w:szCs w:val="22"/>
        </w:rPr>
        <w:t>•</w:t>
      </w:r>
      <w:r w:rsidRPr="006774D3">
        <w:rPr>
          <w:color w:val="000000"/>
          <w:sz w:val="22"/>
          <w:szCs w:val="22"/>
        </w:rPr>
        <w:tab/>
        <w:t>Hitakóf, kuldahrollur eða nætursviti.</w:t>
      </w:r>
    </w:p>
    <w:p w14:paraId="05B8C260" w14:textId="77777777" w:rsidR="007B5D76" w:rsidRPr="006774D3" w:rsidRDefault="007B5D76" w:rsidP="00F77C66">
      <w:pPr>
        <w:ind w:right="-29"/>
        <w:rPr>
          <w:b/>
          <w:color w:val="000000"/>
          <w:sz w:val="22"/>
          <w:szCs w:val="22"/>
        </w:rPr>
      </w:pPr>
      <w:r w:rsidRPr="006774D3">
        <w:rPr>
          <w:color w:val="000000"/>
          <w:sz w:val="22"/>
          <w:szCs w:val="22"/>
        </w:rPr>
        <w:t xml:space="preserve">Ef einhverjar af þessum aukaverkunum hafa alvarleg áhrif </w:t>
      </w:r>
      <w:r w:rsidRPr="006774D3">
        <w:rPr>
          <w:b/>
          <w:color w:val="000000"/>
          <w:sz w:val="22"/>
          <w:szCs w:val="22"/>
        </w:rPr>
        <w:t>skal láta lækninn vita.</w:t>
      </w:r>
    </w:p>
    <w:p w14:paraId="05B8C261" w14:textId="77777777" w:rsidR="007B5D76" w:rsidRPr="006774D3" w:rsidRDefault="007B5D76" w:rsidP="00F77C66">
      <w:pPr>
        <w:ind w:right="-2"/>
        <w:rPr>
          <w:color w:val="000000"/>
          <w:sz w:val="22"/>
          <w:szCs w:val="22"/>
        </w:rPr>
      </w:pPr>
    </w:p>
    <w:p w14:paraId="05B8C262" w14:textId="77777777" w:rsidR="007B5D76" w:rsidRPr="006774D3" w:rsidRDefault="007B5D76" w:rsidP="00E22B2C">
      <w:pPr>
        <w:keepNext/>
        <w:ind w:right="-2"/>
        <w:rPr>
          <w:color w:val="000000"/>
          <w:sz w:val="22"/>
          <w:szCs w:val="22"/>
        </w:rPr>
      </w:pPr>
      <w:r w:rsidRPr="006774D3">
        <w:rPr>
          <w:b/>
          <w:color w:val="000000"/>
          <w:sz w:val="22"/>
          <w:szCs w:val="22"/>
        </w:rPr>
        <w:t>Tíðni ekki þekkt</w:t>
      </w:r>
      <w:r w:rsidRPr="006774D3">
        <w:rPr>
          <w:color w:val="000000"/>
          <w:sz w:val="22"/>
          <w:szCs w:val="22"/>
        </w:rPr>
        <w:t xml:space="preserve"> (ekki hægt að áætla tíðni út frá fyrirliggjandi gögnum):</w:t>
      </w:r>
    </w:p>
    <w:p w14:paraId="05B8C263" w14:textId="77777777" w:rsidR="007B5D76" w:rsidRPr="006774D3" w:rsidRDefault="007B5D76" w:rsidP="00F77C66">
      <w:pPr>
        <w:ind w:right="-2"/>
        <w:rPr>
          <w:color w:val="000000"/>
          <w:sz w:val="22"/>
          <w:szCs w:val="22"/>
        </w:rPr>
      </w:pPr>
      <w:r w:rsidRPr="006774D3">
        <w:rPr>
          <w:color w:val="000000"/>
          <w:sz w:val="22"/>
          <w:szCs w:val="22"/>
        </w:rPr>
        <w:t>•</w:t>
      </w:r>
      <w:r w:rsidRPr="006774D3">
        <w:rPr>
          <w:color w:val="000000"/>
          <w:sz w:val="22"/>
          <w:szCs w:val="22"/>
        </w:rPr>
        <w:tab/>
        <w:t>Roði og/eða þroti í lófum og iljum sem getur fylgt náladofi og sviðatilfinning.</w:t>
      </w:r>
    </w:p>
    <w:p w14:paraId="05B8C264" w14:textId="77777777" w:rsidR="00395421" w:rsidRPr="006774D3" w:rsidRDefault="00395421" w:rsidP="00F77C66">
      <w:pPr>
        <w:ind w:right="-2"/>
        <w:rPr>
          <w:color w:val="000000"/>
          <w:sz w:val="22"/>
          <w:szCs w:val="22"/>
        </w:rPr>
      </w:pPr>
      <w:r w:rsidRPr="006774D3">
        <w:rPr>
          <w:color w:val="000000"/>
          <w:sz w:val="22"/>
          <w:szCs w:val="22"/>
        </w:rPr>
        <w:t>•</w:t>
      </w:r>
      <w:r w:rsidRPr="006774D3">
        <w:rPr>
          <w:color w:val="000000"/>
          <w:sz w:val="22"/>
          <w:szCs w:val="22"/>
        </w:rPr>
        <w:tab/>
        <w:t>Sársaukafullar vefjaskemmdir í húð og/eða blöðrumyndun.</w:t>
      </w:r>
    </w:p>
    <w:p w14:paraId="05B8C265" w14:textId="77777777" w:rsidR="007B5D76" w:rsidRPr="006774D3" w:rsidRDefault="007B5D76" w:rsidP="00E22B2C">
      <w:pPr>
        <w:keepNext/>
        <w:ind w:right="-2"/>
        <w:rPr>
          <w:color w:val="000000"/>
          <w:sz w:val="22"/>
          <w:szCs w:val="22"/>
        </w:rPr>
      </w:pPr>
      <w:r w:rsidRPr="006774D3">
        <w:rPr>
          <w:color w:val="000000"/>
          <w:sz w:val="22"/>
          <w:szCs w:val="22"/>
        </w:rPr>
        <w:t>•</w:t>
      </w:r>
      <w:r w:rsidRPr="006774D3">
        <w:rPr>
          <w:color w:val="000000"/>
          <w:sz w:val="22"/>
          <w:szCs w:val="22"/>
        </w:rPr>
        <w:tab/>
        <w:t>Hægari vöxtur hjá börnum og unglingum.</w:t>
      </w:r>
    </w:p>
    <w:p w14:paraId="05B8C266" w14:textId="77777777" w:rsidR="007B5D76" w:rsidRPr="006774D3" w:rsidRDefault="007B5D76" w:rsidP="00F77C66">
      <w:pPr>
        <w:ind w:right="-29"/>
        <w:rPr>
          <w:b/>
          <w:color w:val="000000"/>
          <w:sz w:val="22"/>
          <w:szCs w:val="22"/>
        </w:rPr>
      </w:pPr>
      <w:r w:rsidRPr="006774D3">
        <w:rPr>
          <w:color w:val="000000"/>
          <w:sz w:val="22"/>
          <w:szCs w:val="22"/>
        </w:rPr>
        <w:t xml:space="preserve">Ef einhver þessara aukaverkana er veruleg, </w:t>
      </w:r>
      <w:r w:rsidRPr="006774D3">
        <w:rPr>
          <w:b/>
          <w:color w:val="000000"/>
          <w:sz w:val="22"/>
          <w:szCs w:val="22"/>
        </w:rPr>
        <w:t>skaltu láta lækninn vita.</w:t>
      </w:r>
    </w:p>
    <w:p w14:paraId="05B8C267" w14:textId="77777777" w:rsidR="007B5D76" w:rsidRPr="006774D3" w:rsidRDefault="007B5D76" w:rsidP="00F77C66">
      <w:pPr>
        <w:ind w:right="-2"/>
        <w:rPr>
          <w:color w:val="000000"/>
          <w:sz w:val="22"/>
          <w:szCs w:val="22"/>
        </w:rPr>
      </w:pPr>
    </w:p>
    <w:p w14:paraId="05B8C268" w14:textId="77777777" w:rsidR="007B5D76" w:rsidRPr="006774D3" w:rsidRDefault="007B5D76" w:rsidP="00E22B2C">
      <w:pPr>
        <w:keepNext/>
        <w:rPr>
          <w:b/>
          <w:sz w:val="22"/>
          <w:szCs w:val="22"/>
        </w:rPr>
      </w:pPr>
      <w:r w:rsidRPr="006774D3">
        <w:rPr>
          <w:b/>
          <w:sz w:val="22"/>
          <w:szCs w:val="22"/>
        </w:rPr>
        <w:t>Tilkynning aukaverkana</w:t>
      </w:r>
    </w:p>
    <w:p w14:paraId="05B8C269" w14:textId="77777777" w:rsidR="007B5D76" w:rsidRPr="006774D3" w:rsidRDefault="007B5D76" w:rsidP="00F77C66">
      <w:pPr>
        <w:rPr>
          <w:sz w:val="22"/>
          <w:szCs w:val="22"/>
        </w:rPr>
      </w:pPr>
      <w:r w:rsidRPr="006774D3">
        <w:rPr>
          <w:sz w:val="22"/>
          <w:szCs w:val="22"/>
        </w:rPr>
        <w:t xml:space="preserve">Látið lækninn, lyfjafræðing eða hjúkrunarfræðinginn vita um allar aukaverkanir. Þetta gildir einnig um aukaverkanir sem ekki er minnst á í þessum fylgiseðli. Einnig er hægt að tilkynna aukaverkanir beint </w:t>
      </w:r>
      <w:r w:rsidRPr="006774D3">
        <w:rPr>
          <w:sz w:val="22"/>
          <w:szCs w:val="22"/>
          <w:shd w:val="pct15" w:color="auto" w:fill="auto"/>
        </w:rPr>
        <w:t xml:space="preserve">samkvæmt fyrirkomulagi sem gildir í hverju landi fyrir sig, sjá </w:t>
      </w:r>
      <w:hyperlink r:id="rId17" w:history="1">
        <w:r w:rsidRPr="006774D3">
          <w:rPr>
            <w:rStyle w:val="Hyperlink"/>
            <w:sz w:val="22"/>
            <w:szCs w:val="22"/>
            <w:shd w:val="pct15" w:color="auto" w:fill="auto"/>
          </w:rPr>
          <w:t>Appendix V</w:t>
        </w:r>
      </w:hyperlink>
      <w:r w:rsidRPr="006774D3">
        <w:rPr>
          <w:sz w:val="22"/>
          <w:szCs w:val="22"/>
        </w:rPr>
        <w:t>. Með því að tilkynna aukaverkanir er hægt að hjálpa til við að auka upplýsingar um öryggi lyfsins.</w:t>
      </w:r>
    </w:p>
    <w:p w14:paraId="05B8C26A" w14:textId="77777777" w:rsidR="007B5D76" w:rsidRPr="006774D3" w:rsidRDefault="007B5D76" w:rsidP="00F77C66">
      <w:pPr>
        <w:rPr>
          <w:color w:val="000000"/>
          <w:sz w:val="22"/>
          <w:szCs w:val="22"/>
        </w:rPr>
      </w:pPr>
    </w:p>
    <w:p w14:paraId="05B8C26B" w14:textId="77777777" w:rsidR="007B5D76" w:rsidRPr="006774D3" w:rsidRDefault="007B5D76" w:rsidP="00F77C66">
      <w:pPr>
        <w:rPr>
          <w:color w:val="000000"/>
          <w:sz w:val="22"/>
          <w:szCs w:val="22"/>
        </w:rPr>
      </w:pPr>
    </w:p>
    <w:p w14:paraId="05B8C26C" w14:textId="77777777" w:rsidR="004A6901" w:rsidRPr="006774D3" w:rsidRDefault="004A6901" w:rsidP="00F77C66">
      <w:pPr>
        <w:keepNext/>
        <w:rPr>
          <w:color w:val="000000"/>
          <w:sz w:val="22"/>
          <w:szCs w:val="22"/>
        </w:rPr>
      </w:pPr>
      <w:r w:rsidRPr="006774D3">
        <w:rPr>
          <w:b/>
          <w:color w:val="000000"/>
          <w:sz w:val="22"/>
          <w:szCs w:val="22"/>
        </w:rPr>
        <w:t>5.</w:t>
      </w:r>
      <w:r w:rsidRPr="006774D3">
        <w:rPr>
          <w:b/>
          <w:color w:val="000000"/>
          <w:sz w:val="22"/>
          <w:szCs w:val="22"/>
        </w:rPr>
        <w:tab/>
        <w:t>Hvernig geyma á Glivec</w:t>
      </w:r>
    </w:p>
    <w:p w14:paraId="05B8C26D" w14:textId="77777777" w:rsidR="004A6901" w:rsidRPr="006774D3" w:rsidRDefault="004A6901" w:rsidP="00F77C66">
      <w:pPr>
        <w:keepNext/>
        <w:outlineLvl w:val="0"/>
        <w:rPr>
          <w:color w:val="000000"/>
          <w:sz w:val="22"/>
          <w:szCs w:val="22"/>
        </w:rPr>
      </w:pPr>
    </w:p>
    <w:p w14:paraId="05B8C26E" w14:textId="77777777" w:rsidR="004A6901" w:rsidRPr="006774D3" w:rsidRDefault="004A6901" w:rsidP="00E22B2C">
      <w:pPr>
        <w:outlineLvl w:val="0"/>
        <w:rPr>
          <w:color w:val="000000"/>
          <w:sz w:val="22"/>
          <w:szCs w:val="22"/>
        </w:rPr>
      </w:pPr>
      <w:r w:rsidRPr="006774D3">
        <w:rPr>
          <w:bCs/>
          <w:color w:val="000000"/>
          <w:sz w:val="22"/>
          <w:szCs w:val="22"/>
        </w:rPr>
        <w:t>•</w:t>
      </w:r>
      <w:r w:rsidRPr="006774D3">
        <w:rPr>
          <w:color w:val="000000"/>
          <w:sz w:val="22"/>
          <w:szCs w:val="22"/>
        </w:rPr>
        <w:tab/>
        <w:t>Geymið lyfið þar sem börn hvorki ná til né sjá.</w:t>
      </w:r>
    </w:p>
    <w:p w14:paraId="05B8C26F" w14:textId="77777777" w:rsidR="004A6901" w:rsidRPr="006774D3" w:rsidRDefault="004A6901" w:rsidP="00E22B2C">
      <w:pPr>
        <w:outlineLvl w:val="0"/>
        <w:rPr>
          <w:color w:val="000000"/>
          <w:sz w:val="22"/>
          <w:szCs w:val="22"/>
        </w:rPr>
      </w:pPr>
      <w:r w:rsidRPr="006774D3">
        <w:rPr>
          <w:bCs/>
          <w:color w:val="000000"/>
          <w:sz w:val="22"/>
          <w:szCs w:val="22"/>
        </w:rPr>
        <w:t>•</w:t>
      </w:r>
      <w:r w:rsidRPr="006774D3">
        <w:rPr>
          <w:color w:val="000000"/>
          <w:sz w:val="22"/>
          <w:szCs w:val="22"/>
        </w:rPr>
        <w:tab/>
        <w:t>Ekki skal nota lyfið eftir fyrningardagsetningu sem tilgreind er á öskjunni</w:t>
      </w:r>
      <w:r w:rsidR="00395421" w:rsidRPr="006774D3">
        <w:rPr>
          <w:color w:val="000000"/>
          <w:sz w:val="22"/>
          <w:szCs w:val="22"/>
        </w:rPr>
        <w:t xml:space="preserve"> á eftir </w:t>
      </w:r>
      <w:r w:rsidR="00154479" w:rsidRPr="006774D3">
        <w:rPr>
          <w:color w:val="000000"/>
          <w:sz w:val="22"/>
          <w:szCs w:val="22"/>
        </w:rPr>
        <w:t>EXP</w:t>
      </w:r>
      <w:r w:rsidRPr="006774D3">
        <w:rPr>
          <w:color w:val="000000"/>
          <w:sz w:val="22"/>
          <w:szCs w:val="22"/>
        </w:rPr>
        <w:t>.</w:t>
      </w:r>
    </w:p>
    <w:p w14:paraId="05B8C270" w14:textId="77777777" w:rsidR="004A6901" w:rsidRPr="006774D3" w:rsidRDefault="004A6901" w:rsidP="00F77C66">
      <w:pPr>
        <w:pStyle w:val="BodyText3"/>
        <w:ind w:right="0"/>
        <w:outlineLvl w:val="0"/>
        <w:rPr>
          <w:color w:val="000000"/>
          <w:szCs w:val="22"/>
        </w:rPr>
      </w:pPr>
      <w:r w:rsidRPr="006774D3">
        <w:rPr>
          <w:bCs/>
          <w:color w:val="000000"/>
          <w:szCs w:val="22"/>
        </w:rPr>
        <w:t>•</w:t>
      </w:r>
      <w:r w:rsidRPr="006774D3">
        <w:rPr>
          <w:color w:val="000000"/>
          <w:szCs w:val="22"/>
        </w:rPr>
        <w:tab/>
        <w:t xml:space="preserve">Geymið við </w:t>
      </w:r>
      <w:r w:rsidR="00EF6C95" w:rsidRPr="006774D3">
        <w:rPr>
          <w:color w:val="000000"/>
          <w:szCs w:val="22"/>
        </w:rPr>
        <w:t xml:space="preserve">lægri </w:t>
      </w:r>
      <w:r w:rsidRPr="006774D3">
        <w:rPr>
          <w:color w:val="000000"/>
          <w:szCs w:val="22"/>
        </w:rPr>
        <w:t>hita en 30°C.</w:t>
      </w:r>
    </w:p>
    <w:p w14:paraId="05B8C271" w14:textId="77777777" w:rsidR="004A6901" w:rsidRPr="006774D3" w:rsidRDefault="004A6901" w:rsidP="00F77C66">
      <w:pPr>
        <w:outlineLvl w:val="0"/>
        <w:rPr>
          <w:color w:val="000000"/>
          <w:sz w:val="22"/>
          <w:szCs w:val="22"/>
        </w:rPr>
      </w:pPr>
      <w:r w:rsidRPr="006774D3">
        <w:rPr>
          <w:bCs/>
          <w:color w:val="000000"/>
          <w:sz w:val="22"/>
          <w:szCs w:val="22"/>
        </w:rPr>
        <w:t>•</w:t>
      </w:r>
      <w:r w:rsidRPr="006774D3">
        <w:rPr>
          <w:color w:val="000000"/>
          <w:sz w:val="22"/>
          <w:szCs w:val="22"/>
        </w:rPr>
        <w:tab/>
        <w:t>Geymið í upprunalegum umbúðum til varnar gegn raka.</w:t>
      </w:r>
    </w:p>
    <w:p w14:paraId="05B8C272" w14:textId="77777777" w:rsidR="00151DC5" w:rsidRPr="006774D3" w:rsidRDefault="004A6901" w:rsidP="00F77C66">
      <w:pPr>
        <w:outlineLvl w:val="0"/>
        <w:rPr>
          <w:color w:val="000000"/>
          <w:sz w:val="22"/>
          <w:szCs w:val="22"/>
        </w:rPr>
      </w:pPr>
      <w:r w:rsidRPr="006774D3">
        <w:rPr>
          <w:bCs/>
          <w:color w:val="000000"/>
          <w:sz w:val="22"/>
          <w:szCs w:val="22"/>
        </w:rPr>
        <w:t>•</w:t>
      </w:r>
      <w:r w:rsidRPr="006774D3">
        <w:rPr>
          <w:color w:val="000000"/>
          <w:sz w:val="22"/>
          <w:szCs w:val="22"/>
        </w:rPr>
        <w:tab/>
        <w:t>Ekki skal nota pakkningu sem er skemmd eða ber merki þess að átt hafi verið við hana.</w:t>
      </w:r>
      <w:r w:rsidR="00151DC5" w:rsidRPr="006774D3">
        <w:rPr>
          <w:color w:val="000000"/>
          <w:sz w:val="22"/>
          <w:szCs w:val="22"/>
        </w:rPr>
        <w:t xml:space="preserve"> </w:t>
      </w:r>
    </w:p>
    <w:p w14:paraId="05B8C273" w14:textId="77777777" w:rsidR="004A6901" w:rsidRPr="006774D3" w:rsidRDefault="00151DC5" w:rsidP="00F77C66">
      <w:pPr>
        <w:ind w:left="567" w:hanging="567"/>
        <w:outlineLvl w:val="0"/>
        <w:rPr>
          <w:color w:val="000000"/>
          <w:sz w:val="22"/>
          <w:szCs w:val="22"/>
        </w:rPr>
      </w:pPr>
      <w:r w:rsidRPr="006774D3">
        <w:rPr>
          <w:color w:val="000000"/>
          <w:sz w:val="22"/>
          <w:szCs w:val="22"/>
        </w:rPr>
        <w:t>•</w:t>
      </w:r>
      <w:r w:rsidRPr="006774D3">
        <w:rPr>
          <w:color w:val="000000"/>
          <w:sz w:val="22"/>
          <w:szCs w:val="22"/>
        </w:rPr>
        <w:tab/>
        <w:t>Ekki má skola lyfjum niður í frárennslislagnir eða fleygja þeim með heimilissorpi. Leitið ráða í apóteki um hvernig heppilegast er að farga lyfjum sem hætt er að nota. Markmiðið er að vernda umhverfið.</w:t>
      </w:r>
    </w:p>
    <w:p w14:paraId="05B8C274" w14:textId="77777777" w:rsidR="004A6901" w:rsidRPr="006774D3" w:rsidRDefault="004A6901" w:rsidP="00F77C66">
      <w:pPr>
        <w:outlineLvl w:val="0"/>
        <w:rPr>
          <w:color w:val="000000"/>
          <w:sz w:val="22"/>
          <w:szCs w:val="22"/>
        </w:rPr>
      </w:pPr>
    </w:p>
    <w:p w14:paraId="05B8C275" w14:textId="77777777" w:rsidR="004A6901" w:rsidRPr="006774D3" w:rsidRDefault="004A6901" w:rsidP="00F77C66">
      <w:pPr>
        <w:outlineLvl w:val="0"/>
        <w:rPr>
          <w:color w:val="000000"/>
          <w:sz w:val="22"/>
          <w:szCs w:val="22"/>
        </w:rPr>
      </w:pPr>
    </w:p>
    <w:p w14:paraId="05B8C276" w14:textId="77777777" w:rsidR="00D363A7" w:rsidRPr="006774D3" w:rsidRDefault="00D363A7" w:rsidP="00F77C66">
      <w:pPr>
        <w:keepNext/>
        <w:ind w:right="-2"/>
        <w:rPr>
          <w:color w:val="000000"/>
          <w:sz w:val="22"/>
          <w:szCs w:val="22"/>
        </w:rPr>
      </w:pPr>
      <w:r w:rsidRPr="006774D3">
        <w:rPr>
          <w:b/>
          <w:color w:val="000000"/>
          <w:sz w:val="22"/>
          <w:szCs w:val="22"/>
        </w:rPr>
        <w:lastRenderedPageBreak/>
        <w:t>6.</w:t>
      </w:r>
      <w:r w:rsidRPr="006774D3">
        <w:rPr>
          <w:b/>
          <w:color w:val="000000"/>
          <w:sz w:val="22"/>
          <w:szCs w:val="22"/>
        </w:rPr>
        <w:tab/>
      </w:r>
      <w:r w:rsidR="0032598F" w:rsidRPr="006774D3">
        <w:rPr>
          <w:b/>
          <w:color w:val="000000"/>
          <w:sz w:val="22"/>
          <w:szCs w:val="22"/>
        </w:rPr>
        <w:t>Pakkningar og aðrar upplýsingar</w:t>
      </w:r>
    </w:p>
    <w:p w14:paraId="05B8C277" w14:textId="77777777" w:rsidR="00D363A7" w:rsidRPr="006774D3" w:rsidRDefault="00D363A7" w:rsidP="00F77C66">
      <w:pPr>
        <w:keepNext/>
        <w:ind w:right="-2"/>
        <w:rPr>
          <w:color w:val="000000"/>
          <w:sz w:val="22"/>
          <w:szCs w:val="22"/>
        </w:rPr>
      </w:pPr>
    </w:p>
    <w:p w14:paraId="05B8C278" w14:textId="77777777" w:rsidR="00D363A7" w:rsidRPr="006774D3" w:rsidRDefault="00D363A7" w:rsidP="00F77C66">
      <w:pPr>
        <w:keepNext/>
        <w:ind w:left="567" w:right="-2" w:hanging="567"/>
        <w:rPr>
          <w:b/>
          <w:color w:val="000000"/>
          <w:sz w:val="22"/>
          <w:szCs w:val="22"/>
        </w:rPr>
      </w:pPr>
      <w:r w:rsidRPr="006774D3">
        <w:rPr>
          <w:b/>
          <w:color w:val="000000"/>
          <w:sz w:val="22"/>
          <w:szCs w:val="22"/>
        </w:rPr>
        <w:t>Glivec inniheldur</w:t>
      </w:r>
    </w:p>
    <w:p w14:paraId="14CE4951" w14:textId="77777777" w:rsidR="0034252F" w:rsidRDefault="00D363A7" w:rsidP="00E22B2C">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Virka innihaldsefnið er imatinibmesilat.</w:t>
      </w:r>
    </w:p>
    <w:p w14:paraId="05B8C279" w14:textId="5150EAB4" w:rsidR="00D363A7" w:rsidRDefault="00D363A7" w:rsidP="0034252F">
      <w:pPr>
        <w:pStyle w:val="EndnoteText"/>
        <w:numPr>
          <w:ilvl w:val="0"/>
          <w:numId w:val="12"/>
        </w:numPr>
        <w:spacing w:before="0" w:after="0"/>
        <w:ind w:left="1134" w:hanging="567"/>
        <w:rPr>
          <w:color w:val="000000"/>
          <w:sz w:val="22"/>
          <w:szCs w:val="22"/>
          <w:lang w:val="is-IS"/>
        </w:rPr>
      </w:pPr>
      <w:r w:rsidRPr="006774D3">
        <w:rPr>
          <w:color w:val="000000"/>
          <w:sz w:val="22"/>
          <w:szCs w:val="22"/>
          <w:lang w:val="is-IS"/>
        </w:rPr>
        <w:t xml:space="preserve">Hver </w:t>
      </w:r>
      <w:r w:rsidR="0034252F">
        <w:rPr>
          <w:color w:val="000000"/>
          <w:sz w:val="22"/>
          <w:szCs w:val="22"/>
          <w:lang w:val="is-IS"/>
        </w:rPr>
        <w:t xml:space="preserve">100 mg </w:t>
      </w:r>
      <w:r w:rsidRPr="006774D3">
        <w:rPr>
          <w:color w:val="000000"/>
          <w:sz w:val="22"/>
          <w:szCs w:val="22"/>
          <w:lang w:val="is-IS"/>
        </w:rPr>
        <w:t>Glivec tafla inniheldur 100 mg af imatinib</w:t>
      </w:r>
      <w:r w:rsidR="0032598F" w:rsidRPr="006774D3">
        <w:rPr>
          <w:color w:val="000000"/>
          <w:sz w:val="22"/>
          <w:szCs w:val="22"/>
          <w:lang w:val="is-IS"/>
        </w:rPr>
        <w:t xml:space="preserve">i (sem </w:t>
      </w:r>
      <w:r w:rsidRPr="006774D3">
        <w:rPr>
          <w:color w:val="000000"/>
          <w:sz w:val="22"/>
          <w:szCs w:val="22"/>
          <w:lang w:val="is-IS"/>
        </w:rPr>
        <w:t>mesilat</w:t>
      </w:r>
      <w:r w:rsidR="0032598F" w:rsidRPr="006774D3">
        <w:rPr>
          <w:color w:val="000000"/>
          <w:sz w:val="22"/>
          <w:szCs w:val="22"/>
          <w:lang w:val="is-IS"/>
        </w:rPr>
        <w:t>)</w:t>
      </w:r>
      <w:r w:rsidRPr="006774D3">
        <w:rPr>
          <w:color w:val="000000"/>
          <w:sz w:val="22"/>
          <w:szCs w:val="22"/>
          <w:lang w:val="is-IS"/>
        </w:rPr>
        <w:t>.</w:t>
      </w:r>
    </w:p>
    <w:p w14:paraId="630E81EF" w14:textId="3D8D7A96" w:rsidR="0034252F" w:rsidRPr="006774D3" w:rsidRDefault="0034252F" w:rsidP="00E125FC">
      <w:pPr>
        <w:pStyle w:val="EndnoteText"/>
        <w:numPr>
          <w:ilvl w:val="0"/>
          <w:numId w:val="12"/>
        </w:numPr>
        <w:spacing w:before="0" w:after="0"/>
        <w:ind w:left="1134" w:hanging="567"/>
        <w:rPr>
          <w:color w:val="000000"/>
          <w:sz w:val="22"/>
          <w:szCs w:val="22"/>
          <w:lang w:val="is-IS"/>
        </w:rPr>
      </w:pPr>
      <w:r w:rsidRPr="006774D3">
        <w:rPr>
          <w:color w:val="000000"/>
          <w:sz w:val="22"/>
          <w:szCs w:val="22"/>
          <w:lang w:val="is-IS"/>
        </w:rPr>
        <w:t xml:space="preserve">Hver </w:t>
      </w:r>
      <w:r>
        <w:rPr>
          <w:color w:val="000000"/>
          <w:sz w:val="22"/>
          <w:szCs w:val="22"/>
          <w:lang w:val="is-IS"/>
        </w:rPr>
        <w:t xml:space="preserve">400 mg </w:t>
      </w:r>
      <w:r w:rsidRPr="006774D3">
        <w:rPr>
          <w:color w:val="000000"/>
          <w:sz w:val="22"/>
          <w:szCs w:val="22"/>
          <w:lang w:val="is-IS"/>
        </w:rPr>
        <w:t xml:space="preserve">Glivec tafla inniheldur </w:t>
      </w:r>
      <w:r>
        <w:rPr>
          <w:color w:val="000000"/>
          <w:sz w:val="22"/>
          <w:szCs w:val="22"/>
          <w:lang w:val="is-IS"/>
        </w:rPr>
        <w:t>4</w:t>
      </w:r>
      <w:r w:rsidRPr="006774D3">
        <w:rPr>
          <w:color w:val="000000"/>
          <w:sz w:val="22"/>
          <w:szCs w:val="22"/>
          <w:lang w:val="is-IS"/>
        </w:rPr>
        <w:t>00 mg af imatinibi (sem mesilat).</w:t>
      </w:r>
    </w:p>
    <w:p w14:paraId="05B8C27A" w14:textId="77777777" w:rsidR="00D363A7" w:rsidRPr="006774D3" w:rsidRDefault="00D363A7" w:rsidP="00E22B2C">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 xml:space="preserve">Önnur innihaldsefni eru örkristölluð </w:t>
      </w:r>
      <w:r w:rsidR="00673DE6" w:rsidRPr="006774D3">
        <w:rPr>
          <w:color w:val="000000"/>
          <w:sz w:val="22"/>
          <w:szCs w:val="22"/>
          <w:lang w:val="is-IS"/>
        </w:rPr>
        <w:t>s</w:t>
      </w:r>
      <w:r w:rsidRPr="006774D3">
        <w:rPr>
          <w:color w:val="000000"/>
          <w:sz w:val="22"/>
          <w:szCs w:val="22"/>
          <w:lang w:val="is-IS"/>
        </w:rPr>
        <w:t>ellulósa, crospovidon, hýprómellósa, magnesíumsterat og vatnsfrí kísilkvoða.</w:t>
      </w:r>
    </w:p>
    <w:p w14:paraId="05B8C27B" w14:textId="77777777" w:rsidR="00D363A7" w:rsidRPr="006774D3" w:rsidRDefault="00D363A7" w:rsidP="00E22B2C">
      <w:pPr>
        <w:pStyle w:val="EndnoteText"/>
        <w:spacing w:before="0" w:after="0"/>
        <w:ind w:left="567" w:hanging="567"/>
        <w:rPr>
          <w:color w:val="000000"/>
          <w:sz w:val="22"/>
          <w:szCs w:val="22"/>
          <w:lang w:val="is-IS"/>
        </w:rPr>
      </w:pPr>
      <w:r w:rsidRPr="006774D3">
        <w:rPr>
          <w:color w:val="000000"/>
          <w:sz w:val="22"/>
          <w:szCs w:val="22"/>
          <w:lang w:val="is-IS"/>
        </w:rPr>
        <w:t>-</w:t>
      </w:r>
      <w:r w:rsidRPr="006774D3">
        <w:rPr>
          <w:color w:val="000000"/>
          <w:sz w:val="22"/>
          <w:szCs w:val="22"/>
          <w:lang w:val="is-IS"/>
        </w:rPr>
        <w:tab/>
        <w:t>Filmuhúðin er úr rauðu járnoxíði (E172), gulu járnoxíði (E172), macrogoli, talkúmi og hýprómellósu.</w:t>
      </w:r>
    </w:p>
    <w:p w14:paraId="05B8C27C" w14:textId="77777777" w:rsidR="00D363A7" w:rsidRPr="006774D3" w:rsidRDefault="00D363A7" w:rsidP="00F77C66">
      <w:pPr>
        <w:pStyle w:val="EndnoteText"/>
        <w:spacing w:before="0" w:after="0"/>
        <w:ind w:left="0" w:firstLine="0"/>
        <w:rPr>
          <w:color w:val="000000"/>
          <w:sz w:val="22"/>
          <w:szCs w:val="22"/>
          <w:lang w:val="is-IS"/>
        </w:rPr>
      </w:pPr>
    </w:p>
    <w:p w14:paraId="05B8C27D" w14:textId="77777777" w:rsidR="00D363A7" w:rsidRPr="006774D3" w:rsidRDefault="0032598F" w:rsidP="00F77C66">
      <w:pPr>
        <w:keepNext/>
        <w:ind w:left="567" w:right="-2" w:hanging="567"/>
        <w:rPr>
          <w:b/>
          <w:color w:val="000000"/>
          <w:sz w:val="22"/>
          <w:szCs w:val="22"/>
        </w:rPr>
      </w:pPr>
      <w:r w:rsidRPr="006774D3">
        <w:rPr>
          <w:b/>
          <w:color w:val="000000"/>
          <w:sz w:val="22"/>
          <w:szCs w:val="22"/>
        </w:rPr>
        <w:t>Lýsing á ú</w:t>
      </w:r>
      <w:r w:rsidR="00D363A7" w:rsidRPr="006774D3">
        <w:rPr>
          <w:b/>
          <w:color w:val="000000"/>
          <w:sz w:val="22"/>
          <w:szCs w:val="22"/>
        </w:rPr>
        <w:t>tlit</w:t>
      </w:r>
      <w:r w:rsidRPr="006774D3">
        <w:rPr>
          <w:b/>
          <w:color w:val="000000"/>
          <w:sz w:val="22"/>
          <w:szCs w:val="22"/>
        </w:rPr>
        <w:t>i</w:t>
      </w:r>
      <w:r w:rsidR="00D363A7" w:rsidRPr="006774D3">
        <w:rPr>
          <w:b/>
          <w:color w:val="000000"/>
          <w:sz w:val="22"/>
          <w:szCs w:val="22"/>
        </w:rPr>
        <w:t xml:space="preserve"> Glivec og pakkningastærðir</w:t>
      </w:r>
    </w:p>
    <w:p w14:paraId="05B8C27E" w14:textId="77777777" w:rsidR="00D363A7" w:rsidRPr="006774D3" w:rsidRDefault="00D363A7" w:rsidP="00E22B2C">
      <w:pPr>
        <w:pStyle w:val="EndnoteText"/>
        <w:spacing w:before="0" w:after="0"/>
        <w:ind w:left="0" w:firstLine="0"/>
        <w:rPr>
          <w:color w:val="000000"/>
          <w:sz w:val="22"/>
          <w:szCs w:val="22"/>
          <w:lang w:val="is-IS"/>
        </w:rPr>
      </w:pPr>
      <w:r w:rsidRPr="006774D3">
        <w:rPr>
          <w:color w:val="000000"/>
          <w:sz w:val="22"/>
          <w:szCs w:val="22"/>
          <w:lang w:val="is-IS"/>
        </w:rPr>
        <w:t>Glivec 100 mg filmuhúðaðar töflur eru dökkgular til brúnleitar-appelsínugular kringlóttar töflur. Þær eru auðkenndar með „NVR“ á annarri hliðinni og „SA“ og með deiliskoru á hinni hliðinni.</w:t>
      </w:r>
    </w:p>
    <w:p w14:paraId="4E476FE6" w14:textId="77777777" w:rsidR="0034252F" w:rsidRPr="006774D3" w:rsidRDefault="0034252F" w:rsidP="0034252F">
      <w:pPr>
        <w:pStyle w:val="EndnoteText"/>
        <w:spacing w:before="0" w:after="0"/>
        <w:ind w:left="0" w:firstLine="0"/>
        <w:rPr>
          <w:color w:val="000000"/>
          <w:sz w:val="22"/>
          <w:szCs w:val="22"/>
          <w:lang w:val="is-IS"/>
        </w:rPr>
      </w:pPr>
      <w:r w:rsidRPr="006774D3">
        <w:rPr>
          <w:color w:val="000000"/>
          <w:sz w:val="22"/>
          <w:szCs w:val="22"/>
          <w:lang w:val="is-IS"/>
        </w:rPr>
        <w:t>Glivec 400 mg filmuhúðaðar töflur eru dökkgular til brúnleitar-appelsínugular sporöskjulaga töflur. Þær eru auðkenndar með „glivec“ á annarri hliðinni.</w:t>
      </w:r>
    </w:p>
    <w:p w14:paraId="05B8C27F" w14:textId="77777777" w:rsidR="00D363A7" w:rsidRPr="006774D3" w:rsidRDefault="00D363A7" w:rsidP="00F77C66">
      <w:pPr>
        <w:ind w:right="-2"/>
        <w:rPr>
          <w:color w:val="000000"/>
          <w:sz w:val="22"/>
          <w:szCs w:val="22"/>
        </w:rPr>
      </w:pPr>
    </w:p>
    <w:p w14:paraId="68D14AD8" w14:textId="2848EE8F" w:rsidR="0034252F" w:rsidRDefault="0034252F" w:rsidP="00F77C66">
      <w:pPr>
        <w:rPr>
          <w:color w:val="000000"/>
          <w:sz w:val="22"/>
          <w:szCs w:val="22"/>
        </w:rPr>
      </w:pPr>
      <w:r w:rsidRPr="006774D3">
        <w:rPr>
          <w:color w:val="000000"/>
          <w:sz w:val="22"/>
          <w:szCs w:val="22"/>
        </w:rPr>
        <w:t>Glivec 100 mg filmuhúðaðar töflur</w:t>
      </w:r>
      <w:r w:rsidRPr="006774D3" w:rsidDel="0034252F">
        <w:rPr>
          <w:color w:val="000000"/>
          <w:sz w:val="22"/>
          <w:szCs w:val="22"/>
        </w:rPr>
        <w:t xml:space="preserve"> </w:t>
      </w:r>
      <w:r w:rsidR="00D363A7" w:rsidRPr="006774D3">
        <w:rPr>
          <w:color w:val="000000"/>
          <w:sz w:val="22"/>
          <w:szCs w:val="22"/>
        </w:rPr>
        <w:t>er</w:t>
      </w:r>
      <w:r>
        <w:rPr>
          <w:color w:val="000000"/>
          <w:sz w:val="22"/>
          <w:szCs w:val="22"/>
        </w:rPr>
        <w:t>u</w:t>
      </w:r>
      <w:r w:rsidR="00D363A7" w:rsidRPr="006774D3">
        <w:rPr>
          <w:color w:val="000000"/>
          <w:sz w:val="22"/>
          <w:szCs w:val="22"/>
        </w:rPr>
        <w:t xml:space="preserve"> í pakkningum með 20, 60, 120 eða 180 töflum</w:t>
      </w:r>
      <w:r>
        <w:rPr>
          <w:color w:val="000000"/>
          <w:sz w:val="22"/>
          <w:szCs w:val="22"/>
        </w:rPr>
        <w:t>.</w:t>
      </w:r>
    </w:p>
    <w:p w14:paraId="386BE79F" w14:textId="384FDCEC" w:rsidR="0034252F" w:rsidRDefault="0034252F" w:rsidP="00F77C66">
      <w:pPr>
        <w:rPr>
          <w:color w:val="000000"/>
          <w:sz w:val="22"/>
          <w:szCs w:val="22"/>
        </w:rPr>
      </w:pPr>
      <w:r w:rsidRPr="006774D3">
        <w:rPr>
          <w:color w:val="000000"/>
          <w:sz w:val="22"/>
          <w:szCs w:val="22"/>
        </w:rPr>
        <w:t>Glivec 400 mg filmuhúðaðar töflur er</w:t>
      </w:r>
      <w:r>
        <w:rPr>
          <w:color w:val="000000"/>
          <w:sz w:val="22"/>
          <w:szCs w:val="22"/>
        </w:rPr>
        <w:t>u</w:t>
      </w:r>
      <w:r w:rsidRPr="006774D3">
        <w:rPr>
          <w:color w:val="000000"/>
          <w:sz w:val="22"/>
          <w:szCs w:val="22"/>
        </w:rPr>
        <w:t xml:space="preserve"> í pakkningum með 10, 30, eða 90 töflum</w:t>
      </w:r>
      <w:r>
        <w:rPr>
          <w:color w:val="000000"/>
          <w:sz w:val="22"/>
          <w:szCs w:val="22"/>
        </w:rPr>
        <w:t>.</w:t>
      </w:r>
    </w:p>
    <w:p w14:paraId="05B8C280" w14:textId="136D563F" w:rsidR="00D363A7" w:rsidRPr="006774D3" w:rsidRDefault="0034252F" w:rsidP="00F77C66">
      <w:pPr>
        <w:rPr>
          <w:color w:val="000000"/>
          <w:sz w:val="22"/>
          <w:szCs w:val="22"/>
        </w:rPr>
      </w:pPr>
      <w:r>
        <w:rPr>
          <w:color w:val="000000"/>
          <w:sz w:val="22"/>
          <w:szCs w:val="22"/>
        </w:rPr>
        <w:t>E</w:t>
      </w:r>
      <w:r w:rsidR="00D363A7" w:rsidRPr="006774D3">
        <w:rPr>
          <w:color w:val="000000"/>
          <w:sz w:val="22"/>
          <w:szCs w:val="22"/>
        </w:rPr>
        <w:t xml:space="preserve">kki er víst að allar </w:t>
      </w:r>
      <w:r w:rsidR="00C62B6C">
        <w:rPr>
          <w:color w:val="000000"/>
          <w:sz w:val="22"/>
          <w:szCs w:val="22"/>
        </w:rPr>
        <w:t xml:space="preserve">þessar </w:t>
      </w:r>
      <w:r w:rsidR="00D363A7" w:rsidRPr="006774D3">
        <w:rPr>
          <w:color w:val="000000"/>
          <w:sz w:val="22"/>
          <w:szCs w:val="22"/>
        </w:rPr>
        <w:t>pakkningar séu fáanlegar.</w:t>
      </w:r>
    </w:p>
    <w:p w14:paraId="05B8C281" w14:textId="77777777" w:rsidR="00D363A7" w:rsidRPr="006774D3" w:rsidRDefault="00D363A7" w:rsidP="00F77C66">
      <w:pPr>
        <w:rPr>
          <w:color w:val="000000"/>
          <w:sz w:val="22"/>
          <w:szCs w:val="22"/>
        </w:rPr>
      </w:pPr>
    </w:p>
    <w:p w14:paraId="05B8C282" w14:textId="77777777" w:rsidR="00D363A7" w:rsidRPr="006774D3" w:rsidRDefault="00D363A7" w:rsidP="00F77C66">
      <w:pPr>
        <w:keepNext/>
        <w:rPr>
          <w:b/>
          <w:color w:val="000000"/>
          <w:sz w:val="22"/>
          <w:szCs w:val="22"/>
        </w:rPr>
      </w:pPr>
      <w:r w:rsidRPr="006774D3">
        <w:rPr>
          <w:b/>
          <w:color w:val="000000"/>
          <w:sz w:val="22"/>
          <w:szCs w:val="22"/>
        </w:rPr>
        <w:t>Markaðsleyfishafi</w:t>
      </w:r>
    </w:p>
    <w:p w14:paraId="05B8C283" w14:textId="77777777" w:rsidR="00D363A7" w:rsidRPr="006774D3" w:rsidRDefault="00D363A7" w:rsidP="00F77C66">
      <w:pPr>
        <w:keepNext/>
        <w:rPr>
          <w:color w:val="000000"/>
          <w:sz w:val="22"/>
          <w:szCs w:val="22"/>
        </w:rPr>
      </w:pPr>
      <w:r w:rsidRPr="006774D3">
        <w:rPr>
          <w:color w:val="000000"/>
          <w:sz w:val="22"/>
          <w:szCs w:val="22"/>
        </w:rPr>
        <w:t>Novartis Europharm Limited</w:t>
      </w:r>
    </w:p>
    <w:p w14:paraId="05B8C284" w14:textId="77777777" w:rsidR="00B3755B" w:rsidRPr="006774D3" w:rsidRDefault="00B3755B" w:rsidP="00F77C66">
      <w:pPr>
        <w:keepNext/>
        <w:widowControl w:val="0"/>
        <w:rPr>
          <w:color w:val="000000"/>
          <w:sz w:val="22"/>
          <w:szCs w:val="22"/>
        </w:rPr>
      </w:pPr>
      <w:r w:rsidRPr="006774D3">
        <w:rPr>
          <w:color w:val="000000"/>
          <w:sz w:val="22"/>
          <w:szCs w:val="22"/>
        </w:rPr>
        <w:t>Vista Building</w:t>
      </w:r>
    </w:p>
    <w:p w14:paraId="05B8C285" w14:textId="77777777" w:rsidR="00B3755B" w:rsidRPr="006774D3" w:rsidRDefault="00B3755B" w:rsidP="00F77C66">
      <w:pPr>
        <w:keepNext/>
        <w:widowControl w:val="0"/>
        <w:rPr>
          <w:color w:val="000000"/>
          <w:sz w:val="22"/>
          <w:szCs w:val="22"/>
        </w:rPr>
      </w:pPr>
      <w:r w:rsidRPr="006774D3">
        <w:rPr>
          <w:color w:val="000000"/>
          <w:sz w:val="22"/>
          <w:szCs w:val="22"/>
        </w:rPr>
        <w:t>Elm Park, Merrion Road</w:t>
      </w:r>
    </w:p>
    <w:p w14:paraId="05B8C286" w14:textId="77777777" w:rsidR="00B3755B" w:rsidRPr="006774D3" w:rsidRDefault="00B3755B" w:rsidP="00F77C66">
      <w:pPr>
        <w:keepNext/>
        <w:widowControl w:val="0"/>
        <w:rPr>
          <w:color w:val="000000"/>
          <w:sz w:val="22"/>
          <w:szCs w:val="22"/>
        </w:rPr>
      </w:pPr>
      <w:r w:rsidRPr="006774D3">
        <w:rPr>
          <w:color w:val="000000"/>
          <w:sz w:val="22"/>
          <w:szCs w:val="22"/>
        </w:rPr>
        <w:t>Dublin 4</w:t>
      </w:r>
    </w:p>
    <w:p w14:paraId="05B8C287" w14:textId="77777777" w:rsidR="00D363A7" w:rsidRPr="006774D3" w:rsidRDefault="00B3755B" w:rsidP="00E22B2C">
      <w:pPr>
        <w:rPr>
          <w:color w:val="000000"/>
          <w:sz w:val="22"/>
          <w:szCs w:val="22"/>
        </w:rPr>
      </w:pPr>
      <w:r w:rsidRPr="006774D3">
        <w:rPr>
          <w:color w:val="000000"/>
          <w:sz w:val="22"/>
          <w:szCs w:val="22"/>
        </w:rPr>
        <w:t>Írland</w:t>
      </w:r>
    </w:p>
    <w:p w14:paraId="05B8C288" w14:textId="77777777" w:rsidR="00D363A7" w:rsidRPr="006774D3" w:rsidRDefault="00D363A7" w:rsidP="00F77C66">
      <w:pPr>
        <w:rPr>
          <w:color w:val="000000"/>
          <w:sz w:val="22"/>
          <w:szCs w:val="22"/>
        </w:rPr>
      </w:pPr>
    </w:p>
    <w:p w14:paraId="05B8C289" w14:textId="77777777" w:rsidR="00D363A7" w:rsidRPr="006774D3" w:rsidRDefault="00D363A7" w:rsidP="00F77C66">
      <w:pPr>
        <w:pStyle w:val="Heading2"/>
        <w:keepLines w:val="0"/>
        <w:overflowPunct w:val="0"/>
        <w:autoSpaceDE w:val="0"/>
        <w:autoSpaceDN w:val="0"/>
        <w:adjustRightInd w:val="0"/>
        <w:spacing w:before="0"/>
        <w:ind w:left="0" w:firstLine="0"/>
        <w:textAlignment w:val="baseline"/>
        <w:rPr>
          <w:rFonts w:ascii="Times New Roman" w:hAnsi="Times New Roman"/>
          <w:color w:val="000000"/>
          <w:sz w:val="22"/>
          <w:szCs w:val="22"/>
          <w:lang w:val="is-IS"/>
        </w:rPr>
      </w:pPr>
      <w:r w:rsidRPr="006774D3">
        <w:rPr>
          <w:rFonts w:ascii="Times New Roman" w:hAnsi="Times New Roman"/>
          <w:color w:val="000000"/>
          <w:sz w:val="22"/>
          <w:szCs w:val="22"/>
          <w:lang w:val="is-IS"/>
        </w:rPr>
        <w:t>Framleiðandi</w:t>
      </w:r>
    </w:p>
    <w:p w14:paraId="05B8C28A" w14:textId="77777777" w:rsidR="00F77C66" w:rsidRPr="006774D3" w:rsidRDefault="00F77C66" w:rsidP="00F77C66">
      <w:pPr>
        <w:keepNext/>
        <w:widowControl w:val="0"/>
        <w:tabs>
          <w:tab w:val="left" w:pos="7513"/>
        </w:tabs>
        <w:rPr>
          <w:sz w:val="22"/>
          <w:szCs w:val="22"/>
        </w:rPr>
      </w:pPr>
      <w:r w:rsidRPr="006774D3">
        <w:rPr>
          <w:sz w:val="22"/>
          <w:szCs w:val="22"/>
        </w:rPr>
        <w:t>Lek d.d, PE PROIZVODNJA LENDAVA</w:t>
      </w:r>
    </w:p>
    <w:p w14:paraId="05B8C28B" w14:textId="77777777" w:rsidR="00F77C66" w:rsidRPr="006774D3" w:rsidRDefault="00F77C66" w:rsidP="00F77C66">
      <w:pPr>
        <w:keepNext/>
        <w:widowControl w:val="0"/>
        <w:tabs>
          <w:tab w:val="left" w:pos="7513"/>
        </w:tabs>
        <w:rPr>
          <w:sz w:val="22"/>
          <w:szCs w:val="22"/>
        </w:rPr>
      </w:pPr>
      <w:r w:rsidRPr="006774D3">
        <w:rPr>
          <w:sz w:val="22"/>
          <w:szCs w:val="22"/>
        </w:rPr>
        <w:t>Trimlini 2D</w:t>
      </w:r>
    </w:p>
    <w:p w14:paraId="05B8C28C" w14:textId="77777777" w:rsidR="00F77C66" w:rsidRPr="006774D3" w:rsidRDefault="00F77C66" w:rsidP="00F77C66">
      <w:pPr>
        <w:keepNext/>
        <w:widowControl w:val="0"/>
        <w:tabs>
          <w:tab w:val="left" w:pos="7513"/>
        </w:tabs>
        <w:rPr>
          <w:sz w:val="22"/>
          <w:szCs w:val="22"/>
        </w:rPr>
      </w:pPr>
      <w:r w:rsidRPr="006774D3">
        <w:rPr>
          <w:sz w:val="22"/>
          <w:szCs w:val="22"/>
        </w:rPr>
        <w:t>Lendava, 9220</w:t>
      </w:r>
    </w:p>
    <w:p w14:paraId="05B8C28D" w14:textId="77777777" w:rsidR="00F77C66" w:rsidRPr="006774D3" w:rsidRDefault="00F77C66" w:rsidP="00F77C66">
      <w:pPr>
        <w:widowControl w:val="0"/>
        <w:tabs>
          <w:tab w:val="left" w:pos="7513"/>
        </w:tabs>
        <w:rPr>
          <w:sz w:val="22"/>
          <w:szCs w:val="22"/>
        </w:rPr>
      </w:pPr>
      <w:r w:rsidRPr="006774D3">
        <w:rPr>
          <w:sz w:val="22"/>
          <w:szCs w:val="22"/>
        </w:rPr>
        <w:t>Slóvenía</w:t>
      </w:r>
    </w:p>
    <w:p w14:paraId="05B8C28E" w14:textId="77777777" w:rsidR="00F77C66" w:rsidRPr="006774D3" w:rsidRDefault="00F77C66" w:rsidP="00F77C66">
      <w:pPr>
        <w:widowControl w:val="0"/>
        <w:tabs>
          <w:tab w:val="left" w:pos="7513"/>
        </w:tabs>
        <w:rPr>
          <w:sz w:val="22"/>
          <w:szCs w:val="22"/>
        </w:rPr>
      </w:pPr>
    </w:p>
    <w:p w14:paraId="05B8C28F" w14:textId="77777777" w:rsidR="00D363A7" w:rsidRPr="006774D3" w:rsidRDefault="00D363A7" w:rsidP="00F77C66">
      <w:pPr>
        <w:keepNext/>
        <w:rPr>
          <w:color w:val="000000"/>
          <w:sz w:val="22"/>
          <w:szCs w:val="22"/>
          <w:shd w:val="pct15" w:color="auto" w:fill="auto"/>
        </w:rPr>
      </w:pPr>
      <w:r w:rsidRPr="006774D3">
        <w:rPr>
          <w:color w:val="000000"/>
          <w:sz w:val="22"/>
          <w:szCs w:val="22"/>
          <w:shd w:val="pct15" w:color="auto" w:fill="auto"/>
        </w:rPr>
        <w:t>Novartis Pharma GmbH</w:t>
      </w:r>
    </w:p>
    <w:p w14:paraId="05B8C290" w14:textId="77777777" w:rsidR="00D363A7" w:rsidRPr="006774D3" w:rsidRDefault="00D363A7" w:rsidP="00F77C66">
      <w:pPr>
        <w:keepNext/>
        <w:rPr>
          <w:color w:val="000000"/>
          <w:sz w:val="22"/>
          <w:szCs w:val="22"/>
          <w:shd w:val="pct15" w:color="auto" w:fill="auto"/>
        </w:rPr>
      </w:pPr>
      <w:r w:rsidRPr="006774D3">
        <w:rPr>
          <w:color w:val="000000"/>
          <w:sz w:val="22"/>
          <w:szCs w:val="22"/>
          <w:shd w:val="pct15" w:color="auto" w:fill="auto"/>
        </w:rPr>
        <w:t>Roonstrasse 25</w:t>
      </w:r>
    </w:p>
    <w:p w14:paraId="05B8C291" w14:textId="77777777" w:rsidR="00D363A7" w:rsidRPr="006774D3" w:rsidRDefault="00D363A7" w:rsidP="00F77C66">
      <w:pPr>
        <w:keepNext/>
        <w:rPr>
          <w:color w:val="000000"/>
          <w:sz w:val="22"/>
          <w:szCs w:val="22"/>
          <w:shd w:val="pct15" w:color="auto" w:fill="auto"/>
        </w:rPr>
      </w:pPr>
      <w:r w:rsidRPr="006774D3">
        <w:rPr>
          <w:color w:val="000000"/>
          <w:sz w:val="22"/>
          <w:szCs w:val="22"/>
          <w:shd w:val="pct15" w:color="auto" w:fill="auto"/>
        </w:rPr>
        <w:t>D-90429 Nürnberg</w:t>
      </w:r>
    </w:p>
    <w:p w14:paraId="05B8C292" w14:textId="77777777" w:rsidR="00D363A7" w:rsidRPr="006774D3" w:rsidRDefault="00D363A7" w:rsidP="00E22B2C">
      <w:pPr>
        <w:rPr>
          <w:color w:val="000000"/>
          <w:sz w:val="22"/>
          <w:szCs w:val="22"/>
          <w:shd w:val="pct15" w:color="auto" w:fill="auto"/>
        </w:rPr>
      </w:pPr>
      <w:r w:rsidRPr="006774D3">
        <w:rPr>
          <w:color w:val="000000"/>
          <w:sz w:val="22"/>
          <w:szCs w:val="22"/>
          <w:shd w:val="pct15" w:color="auto" w:fill="auto"/>
        </w:rPr>
        <w:t>Þýskaland</w:t>
      </w:r>
    </w:p>
    <w:p w14:paraId="05B8C293" w14:textId="77777777" w:rsidR="00D363A7" w:rsidRPr="006774D3" w:rsidRDefault="00D363A7" w:rsidP="00F77C66">
      <w:pPr>
        <w:ind w:right="-2"/>
        <w:rPr>
          <w:color w:val="000000"/>
          <w:sz w:val="22"/>
          <w:szCs w:val="22"/>
        </w:rPr>
      </w:pPr>
    </w:p>
    <w:p w14:paraId="05B8C294" w14:textId="77777777" w:rsidR="00D363A7" w:rsidRPr="006774D3" w:rsidRDefault="0032598F" w:rsidP="00F77C66">
      <w:pPr>
        <w:pStyle w:val="BodyText3"/>
        <w:keepNext/>
        <w:rPr>
          <w:color w:val="000000"/>
          <w:szCs w:val="22"/>
        </w:rPr>
      </w:pPr>
      <w:r w:rsidRPr="006774D3">
        <w:rPr>
          <w:color w:val="000000"/>
          <w:szCs w:val="22"/>
        </w:rPr>
        <w:t>H</w:t>
      </w:r>
      <w:r w:rsidR="00D363A7" w:rsidRPr="006774D3">
        <w:rPr>
          <w:color w:val="000000"/>
          <w:szCs w:val="22"/>
        </w:rPr>
        <w:t>afið samband við fulltrúa markaðsleyfishafa á hverjum stað</w:t>
      </w:r>
      <w:r w:rsidRPr="006774D3">
        <w:rPr>
          <w:color w:val="000000"/>
          <w:szCs w:val="22"/>
        </w:rPr>
        <w:t xml:space="preserve"> ef óskað er upplýsinga um lyfið</w:t>
      </w:r>
      <w:r w:rsidR="00D363A7" w:rsidRPr="006774D3">
        <w:rPr>
          <w:color w:val="000000"/>
          <w:szCs w:val="22"/>
        </w:rPr>
        <w:t>:</w:t>
      </w:r>
    </w:p>
    <w:p w14:paraId="05B8C295" w14:textId="77777777" w:rsidR="00BE5B13" w:rsidRPr="006774D3" w:rsidRDefault="00BE5B13" w:rsidP="00E22B2C">
      <w:pPr>
        <w:keepNext/>
        <w:widowControl w:val="0"/>
        <w:ind w:right="-448"/>
        <w:rPr>
          <w:color w:val="000000"/>
          <w:sz w:val="22"/>
          <w:szCs w:val="22"/>
        </w:rPr>
      </w:pPr>
    </w:p>
    <w:tbl>
      <w:tblPr>
        <w:tblW w:w="9300" w:type="dxa"/>
        <w:tblLayout w:type="fixed"/>
        <w:tblLook w:val="0000" w:firstRow="0" w:lastRow="0" w:firstColumn="0" w:lastColumn="0" w:noHBand="0" w:noVBand="0"/>
      </w:tblPr>
      <w:tblGrid>
        <w:gridCol w:w="4650"/>
        <w:gridCol w:w="4650"/>
      </w:tblGrid>
      <w:tr w:rsidR="00BE5B13" w:rsidRPr="006774D3" w14:paraId="05B8C29E" w14:textId="77777777" w:rsidTr="00B3755B">
        <w:trPr>
          <w:cantSplit/>
        </w:trPr>
        <w:tc>
          <w:tcPr>
            <w:tcW w:w="4650" w:type="dxa"/>
          </w:tcPr>
          <w:p w14:paraId="05B8C296" w14:textId="77777777" w:rsidR="00BE5B13" w:rsidRPr="006774D3" w:rsidRDefault="00BE5B13" w:rsidP="00F77C66">
            <w:pPr>
              <w:rPr>
                <w:b/>
                <w:color w:val="000000"/>
                <w:sz w:val="22"/>
                <w:szCs w:val="22"/>
              </w:rPr>
            </w:pPr>
            <w:r w:rsidRPr="006774D3">
              <w:rPr>
                <w:b/>
                <w:color w:val="000000"/>
                <w:sz w:val="22"/>
                <w:szCs w:val="22"/>
              </w:rPr>
              <w:t>België/Belgique/Belgien</w:t>
            </w:r>
          </w:p>
          <w:p w14:paraId="05B8C297" w14:textId="77777777" w:rsidR="00BE5B13" w:rsidRPr="006774D3" w:rsidRDefault="00BE5B13" w:rsidP="00F77C66">
            <w:pPr>
              <w:rPr>
                <w:color w:val="000000"/>
                <w:sz w:val="22"/>
                <w:szCs w:val="22"/>
              </w:rPr>
            </w:pPr>
            <w:r w:rsidRPr="006774D3">
              <w:rPr>
                <w:color w:val="000000"/>
                <w:sz w:val="22"/>
                <w:szCs w:val="22"/>
              </w:rPr>
              <w:t>Novartis Pharma N.V.</w:t>
            </w:r>
          </w:p>
          <w:p w14:paraId="05B8C298" w14:textId="77777777" w:rsidR="00BE5B13" w:rsidRPr="006774D3" w:rsidRDefault="00BE5B13" w:rsidP="00F77C66">
            <w:pPr>
              <w:rPr>
                <w:color w:val="000000"/>
                <w:sz w:val="22"/>
                <w:szCs w:val="22"/>
              </w:rPr>
            </w:pPr>
            <w:r w:rsidRPr="006774D3">
              <w:rPr>
                <w:color w:val="000000"/>
                <w:sz w:val="22"/>
                <w:szCs w:val="22"/>
              </w:rPr>
              <w:t>Tél/Tel: +32 2 246 16 11</w:t>
            </w:r>
          </w:p>
          <w:p w14:paraId="05B8C299" w14:textId="77777777" w:rsidR="00BE5B13" w:rsidRPr="006774D3" w:rsidRDefault="00BE5B13" w:rsidP="00F77C66">
            <w:pPr>
              <w:rPr>
                <w:b/>
                <w:color w:val="000000"/>
                <w:sz w:val="22"/>
                <w:szCs w:val="22"/>
              </w:rPr>
            </w:pPr>
          </w:p>
        </w:tc>
        <w:tc>
          <w:tcPr>
            <w:tcW w:w="4650" w:type="dxa"/>
          </w:tcPr>
          <w:p w14:paraId="05B8C29A" w14:textId="77777777" w:rsidR="00BE5B13" w:rsidRPr="006774D3" w:rsidRDefault="00BE5B13" w:rsidP="00F77C66">
            <w:pPr>
              <w:rPr>
                <w:b/>
                <w:color w:val="000000"/>
                <w:sz w:val="22"/>
                <w:szCs w:val="22"/>
              </w:rPr>
            </w:pPr>
            <w:r w:rsidRPr="006774D3">
              <w:rPr>
                <w:b/>
                <w:color w:val="000000"/>
                <w:sz w:val="22"/>
                <w:szCs w:val="22"/>
              </w:rPr>
              <w:t>Lietuva</w:t>
            </w:r>
          </w:p>
          <w:p w14:paraId="05B8C29B" w14:textId="5ED17B96" w:rsidR="00BE5B13" w:rsidRPr="006774D3" w:rsidRDefault="00DB085C" w:rsidP="00F77C66">
            <w:pPr>
              <w:rPr>
                <w:color w:val="000000"/>
                <w:sz w:val="22"/>
                <w:szCs w:val="22"/>
              </w:rPr>
            </w:pPr>
            <w:r w:rsidRPr="006774D3">
              <w:rPr>
                <w:color w:val="000000"/>
                <w:sz w:val="22"/>
                <w:szCs w:val="22"/>
              </w:rPr>
              <w:t>SIA Novartis Baltics Lietuvos filialas</w:t>
            </w:r>
          </w:p>
          <w:p w14:paraId="05B8C29C" w14:textId="77777777" w:rsidR="00BE5B13" w:rsidRPr="006774D3" w:rsidRDefault="00BE5B13" w:rsidP="00F77C66">
            <w:pPr>
              <w:rPr>
                <w:color w:val="000000"/>
                <w:sz w:val="22"/>
                <w:szCs w:val="22"/>
              </w:rPr>
            </w:pPr>
            <w:r w:rsidRPr="006774D3">
              <w:rPr>
                <w:color w:val="000000"/>
                <w:sz w:val="22"/>
                <w:szCs w:val="22"/>
              </w:rPr>
              <w:t>Tel: +370 5 269 16 50</w:t>
            </w:r>
          </w:p>
          <w:p w14:paraId="05B8C29D" w14:textId="77777777" w:rsidR="00BE5B13" w:rsidRPr="006774D3" w:rsidRDefault="00BE5B13" w:rsidP="00F77C66">
            <w:pPr>
              <w:rPr>
                <w:color w:val="000000"/>
                <w:sz w:val="22"/>
                <w:szCs w:val="22"/>
              </w:rPr>
            </w:pPr>
          </w:p>
        </w:tc>
      </w:tr>
      <w:tr w:rsidR="00BE5B13" w:rsidRPr="006774D3" w14:paraId="05B8C2A7" w14:textId="77777777" w:rsidTr="00B3755B">
        <w:trPr>
          <w:cantSplit/>
        </w:trPr>
        <w:tc>
          <w:tcPr>
            <w:tcW w:w="4650" w:type="dxa"/>
          </w:tcPr>
          <w:p w14:paraId="05B8C29F" w14:textId="77777777" w:rsidR="00BE5B13" w:rsidRPr="006774D3" w:rsidRDefault="00BE5B13" w:rsidP="00F77C66">
            <w:pPr>
              <w:rPr>
                <w:b/>
                <w:color w:val="000000"/>
                <w:sz w:val="22"/>
                <w:szCs w:val="22"/>
              </w:rPr>
            </w:pPr>
            <w:r w:rsidRPr="006774D3">
              <w:rPr>
                <w:b/>
                <w:color w:val="000000"/>
                <w:sz w:val="22"/>
                <w:szCs w:val="22"/>
              </w:rPr>
              <w:t>България</w:t>
            </w:r>
          </w:p>
          <w:p w14:paraId="05B8C2A0" w14:textId="77777777" w:rsidR="00BE5B13" w:rsidRPr="006774D3" w:rsidRDefault="00395421" w:rsidP="00F77C66">
            <w:pPr>
              <w:rPr>
                <w:color w:val="000000"/>
                <w:sz w:val="22"/>
                <w:szCs w:val="22"/>
              </w:rPr>
            </w:pPr>
            <w:r w:rsidRPr="006774D3">
              <w:rPr>
                <w:color w:val="000000"/>
                <w:sz w:val="22"/>
                <w:szCs w:val="22"/>
              </w:rPr>
              <w:t>Novartis Bulgaria EOOD</w:t>
            </w:r>
          </w:p>
          <w:p w14:paraId="05B8C2A1" w14:textId="77777777" w:rsidR="00BE5B13" w:rsidRPr="006774D3" w:rsidRDefault="00BE5B13" w:rsidP="00F77C66">
            <w:pPr>
              <w:rPr>
                <w:color w:val="000000"/>
                <w:sz w:val="22"/>
                <w:szCs w:val="22"/>
              </w:rPr>
            </w:pPr>
            <w:r w:rsidRPr="006774D3">
              <w:rPr>
                <w:color w:val="000000"/>
                <w:sz w:val="22"/>
                <w:szCs w:val="22"/>
              </w:rPr>
              <w:t>Тел.: +359 2 489 98 28</w:t>
            </w:r>
          </w:p>
          <w:p w14:paraId="05B8C2A2" w14:textId="77777777" w:rsidR="00BE5B13" w:rsidRPr="006774D3" w:rsidRDefault="00BE5B13" w:rsidP="00F77C66">
            <w:pPr>
              <w:rPr>
                <w:b/>
                <w:color w:val="000000"/>
                <w:sz w:val="22"/>
                <w:szCs w:val="22"/>
              </w:rPr>
            </w:pPr>
          </w:p>
        </w:tc>
        <w:tc>
          <w:tcPr>
            <w:tcW w:w="4650" w:type="dxa"/>
          </w:tcPr>
          <w:p w14:paraId="05B8C2A3" w14:textId="77777777" w:rsidR="00BE5B13" w:rsidRPr="006774D3" w:rsidRDefault="00BE5B13" w:rsidP="00F77C66">
            <w:pPr>
              <w:rPr>
                <w:b/>
                <w:color w:val="000000"/>
                <w:sz w:val="22"/>
                <w:szCs w:val="22"/>
              </w:rPr>
            </w:pPr>
            <w:r w:rsidRPr="006774D3">
              <w:rPr>
                <w:b/>
                <w:color w:val="000000"/>
                <w:sz w:val="22"/>
                <w:szCs w:val="22"/>
              </w:rPr>
              <w:t>Luxembourg/Luxemburg</w:t>
            </w:r>
          </w:p>
          <w:p w14:paraId="05B8C2A4" w14:textId="77777777" w:rsidR="00BE5B13" w:rsidRPr="006774D3" w:rsidRDefault="00BE5B13" w:rsidP="00F77C66">
            <w:pPr>
              <w:rPr>
                <w:color w:val="000000"/>
                <w:sz w:val="22"/>
                <w:szCs w:val="22"/>
              </w:rPr>
            </w:pPr>
            <w:r w:rsidRPr="006774D3">
              <w:rPr>
                <w:color w:val="000000"/>
                <w:sz w:val="22"/>
                <w:szCs w:val="22"/>
              </w:rPr>
              <w:t>Novartis Pharma N.V.</w:t>
            </w:r>
          </w:p>
          <w:p w14:paraId="05B8C2A5" w14:textId="77777777" w:rsidR="00BE5B13" w:rsidRPr="006774D3" w:rsidRDefault="00BE5B13" w:rsidP="00F77C66">
            <w:pPr>
              <w:rPr>
                <w:color w:val="000000"/>
                <w:sz w:val="22"/>
                <w:szCs w:val="22"/>
              </w:rPr>
            </w:pPr>
            <w:r w:rsidRPr="006774D3">
              <w:rPr>
                <w:color w:val="000000"/>
                <w:sz w:val="22"/>
                <w:szCs w:val="22"/>
              </w:rPr>
              <w:t>Tél/Tel: +32 2 246 16 11</w:t>
            </w:r>
          </w:p>
          <w:p w14:paraId="05B8C2A6" w14:textId="77777777" w:rsidR="00BE5B13" w:rsidRPr="006774D3" w:rsidRDefault="00BE5B13" w:rsidP="00F77C66">
            <w:pPr>
              <w:rPr>
                <w:color w:val="000000"/>
                <w:sz w:val="22"/>
                <w:szCs w:val="22"/>
              </w:rPr>
            </w:pPr>
          </w:p>
        </w:tc>
      </w:tr>
      <w:tr w:rsidR="00BE5B13" w:rsidRPr="006774D3" w14:paraId="05B8C2AF" w14:textId="77777777" w:rsidTr="00B3755B">
        <w:trPr>
          <w:cantSplit/>
        </w:trPr>
        <w:tc>
          <w:tcPr>
            <w:tcW w:w="4650" w:type="dxa"/>
          </w:tcPr>
          <w:p w14:paraId="05B8C2A8" w14:textId="77777777" w:rsidR="00BE5B13" w:rsidRPr="006774D3" w:rsidRDefault="00BE5B13" w:rsidP="00F77C66">
            <w:pPr>
              <w:rPr>
                <w:b/>
                <w:color w:val="000000"/>
                <w:sz w:val="22"/>
                <w:szCs w:val="22"/>
              </w:rPr>
            </w:pPr>
            <w:r w:rsidRPr="006774D3">
              <w:rPr>
                <w:b/>
                <w:color w:val="000000"/>
                <w:sz w:val="22"/>
                <w:szCs w:val="22"/>
              </w:rPr>
              <w:t>Česká republika</w:t>
            </w:r>
          </w:p>
          <w:p w14:paraId="05B8C2A9" w14:textId="77777777" w:rsidR="00BE5B13" w:rsidRPr="006774D3" w:rsidRDefault="00BE5B13" w:rsidP="00F77C66">
            <w:pPr>
              <w:rPr>
                <w:color w:val="000000"/>
                <w:sz w:val="22"/>
                <w:szCs w:val="22"/>
              </w:rPr>
            </w:pPr>
            <w:r w:rsidRPr="006774D3">
              <w:rPr>
                <w:color w:val="000000"/>
                <w:sz w:val="22"/>
                <w:szCs w:val="22"/>
              </w:rPr>
              <w:t>Novartis s.r.o.</w:t>
            </w:r>
          </w:p>
          <w:p w14:paraId="05B8C2AA" w14:textId="77777777" w:rsidR="00BE5B13" w:rsidRPr="006774D3" w:rsidRDefault="00BE5B13" w:rsidP="00F77C66">
            <w:pPr>
              <w:rPr>
                <w:color w:val="000000"/>
                <w:sz w:val="22"/>
                <w:szCs w:val="22"/>
              </w:rPr>
            </w:pPr>
            <w:r w:rsidRPr="006774D3">
              <w:rPr>
                <w:color w:val="000000"/>
                <w:sz w:val="22"/>
                <w:szCs w:val="22"/>
              </w:rPr>
              <w:t>Tel: +420 225 775 111</w:t>
            </w:r>
          </w:p>
          <w:p w14:paraId="05B8C2AB" w14:textId="77777777" w:rsidR="00BE5B13" w:rsidRPr="006774D3" w:rsidRDefault="00BE5B13" w:rsidP="00F77C66">
            <w:pPr>
              <w:rPr>
                <w:b/>
                <w:color w:val="000000"/>
                <w:sz w:val="22"/>
                <w:szCs w:val="22"/>
              </w:rPr>
            </w:pPr>
          </w:p>
        </w:tc>
        <w:tc>
          <w:tcPr>
            <w:tcW w:w="4650" w:type="dxa"/>
          </w:tcPr>
          <w:p w14:paraId="05B8C2AC" w14:textId="77777777" w:rsidR="00BE5B13" w:rsidRPr="006774D3" w:rsidRDefault="00BE5B13" w:rsidP="00F77C66">
            <w:pPr>
              <w:rPr>
                <w:b/>
                <w:color w:val="000000"/>
                <w:sz w:val="22"/>
                <w:szCs w:val="22"/>
              </w:rPr>
            </w:pPr>
            <w:r w:rsidRPr="006774D3">
              <w:rPr>
                <w:b/>
                <w:color w:val="000000"/>
                <w:sz w:val="22"/>
                <w:szCs w:val="22"/>
              </w:rPr>
              <w:t>Magyarország</w:t>
            </w:r>
          </w:p>
          <w:p w14:paraId="05B8C2AD" w14:textId="77777777" w:rsidR="00BE5B13" w:rsidRPr="006774D3" w:rsidRDefault="00BE5B13" w:rsidP="00F77C66">
            <w:pPr>
              <w:rPr>
                <w:color w:val="000000"/>
                <w:sz w:val="22"/>
                <w:szCs w:val="22"/>
              </w:rPr>
            </w:pPr>
            <w:r w:rsidRPr="006774D3">
              <w:rPr>
                <w:color w:val="000000"/>
                <w:sz w:val="22"/>
                <w:szCs w:val="22"/>
              </w:rPr>
              <w:t>Novartis Hungária Kft.</w:t>
            </w:r>
          </w:p>
          <w:p w14:paraId="05B8C2AE" w14:textId="77777777" w:rsidR="00BE5B13" w:rsidRPr="006774D3" w:rsidRDefault="00BE5B13" w:rsidP="00F77C66">
            <w:pPr>
              <w:rPr>
                <w:color w:val="000000"/>
                <w:sz w:val="22"/>
                <w:szCs w:val="22"/>
              </w:rPr>
            </w:pPr>
            <w:r w:rsidRPr="006774D3">
              <w:rPr>
                <w:color w:val="000000"/>
                <w:sz w:val="22"/>
                <w:szCs w:val="22"/>
              </w:rPr>
              <w:t>Tel.: +36 1 457 65 00</w:t>
            </w:r>
          </w:p>
        </w:tc>
      </w:tr>
      <w:tr w:rsidR="00BE5B13" w:rsidRPr="006774D3" w14:paraId="05B8C2B7" w14:textId="77777777" w:rsidTr="00B3755B">
        <w:trPr>
          <w:cantSplit/>
        </w:trPr>
        <w:tc>
          <w:tcPr>
            <w:tcW w:w="4650" w:type="dxa"/>
          </w:tcPr>
          <w:p w14:paraId="05B8C2B0" w14:textId="77777777" w:rsidR="00BE5B13" w:rsidRPr="006774D3" w:rsidRDefault="00BE5B13" w:rsidP="00F77C66">
            <w:pPr>
              <w:rPr>
                <w:b/>
                <w:color w:val="000000"/>
                <w:sz w:val="22"/>
                <w:szCs w:val="22"/>
              </w:rPr>
            </w:pPr>
            <w:r w:rsidRPr="006774D3">
              <w:rPr>
                <w:b/>
                <w:color w:val="000000"/>
                <w:sz w:val="22"/>
                <w:szCs w:val="22"/>
              </w:rPr>
              <w:t>Danmark</w:t>
            </w:r>
          </w:p>
          <w:p w14:paraId="05B8C2B1" w14:textId="77777777" w:rsidR="00BE5B13" w:rsidRPr="006774D3" w:rsidRDefault="00BE5B13" w:rsidP="00F77C66">
            <w:pPr>
              <w:rPr>
                <w:color w:val="000000"/>
                <w:sz w:val="22"/>
                <w:szCs w:val="22"/>
              </w:rPr>
            </w:pPr>
            <w:r w:rsidRPr="006774D3">
              <w:rPr>
                <w:color w:val="000000"/>
                <w:sz w:val="22"/>
                <w:szCs w:val="22"/>
              </w:rPr>
              <w:t>Novartis Healthcare A/S</w:t>
            </w:r>
          </w:p>
          <w:p w14:paraId="05B8C2B2" w14:textId="77777777" w:rsidR="00BE5B13" w:rsidRPr="006774D3" w:rsidRDefault="00BE5B13" w:rsidP="00F77C66">
            <w:pPr>
              <w:rPr>
                <w:color w:val="000000"/>
                <w:sz w:val="22"/>
                <w:szCs w:val="22"/>
              </w:rPr>
            </w:pPr>
            <w:r w:rsidRPr="006774D3">
              <w:rPr>
                <w:color w:val="000000"/>
                <w:sz w:val="22"/>
                <w:szCs w:val="22"/>
              </w:rPr>
              <w:t>Tlf: +45 39 16 84 00</w:t>
            </w:r>
          </w:p>
          <w:p w14:paraId="05B8C2B3" w14:textId="77777777" w:rsidR="00BE5B13" w:rsidRPr="006774D3" w:rsidRDefault="00BE5B13" w:rsidP="00F77C66">
            <w:pPr>
              <w:rPr>
                <w:b/>
                <w:color w:val="000000"/>
                <w:sz w:val="22"/>
                <w:szCs w:val="22"/>
              </w:rPr>
            </w:pPr>
          </w:p>
        </w:tc>
        <w:tc>
          <w:tcPr>
            <w:tcW w:w="4650" w:type="dxa"/>
          </w:tcPr>
          <w:p w14:paraId="05B8C2B4" w14:textId="77777777" w:rsidR="00BE5B13" w:rsidRPr="006774D3" w:rsidRDefault="00BE5B13" w:rsidP="00F77C66">
            <w:pPr>
              <w:rPr>
                <w:b/>
                <w:color w:val="000000"/>
                <w:sz w:val="22"/>
                <w:szCs w:val="22"/>
              </w:rPr>
            </w:pPr>
            <w:r w:rsidRPr="006774D3">
              <w:rPr>
                <w:b/>
                <w:color w:val="000000"/>
                <w:sz w:val="22"/>
                <w:szCs w:val="22"/>
              </w:rPr>
              <w:t>Malta</w:t>
            </w:r>
          </w:p>
          <w:p w14:paraId="05B8C2B5" w14:textId="77777777" w:rsidR="00BE5B13" w:rsidRPr="006774D3" w:rsidRDefault="00BE5B13" w:rsidP="00F77C66">
            <w:pPr>
              <w:rPr>
                <w:color w:val="000000"/>
                <w:sz w:val="22"/>
                <w:szCs w:val="22"/>
              </w:rPr>
            </w:pPr>
            <w:r w:rsidRPr="006774D3">
              <w:rPr>
                <w:color w:val="000000"/>
                <w:sz w:val="22"/>
                <w:szCs w:val="22"/>
              </w:rPr>
              <w:t>Novartis Pharma Services Inc.</w:t>
            </w:r>
          </w:p>
          <w:p w14:paraId="05B8C2B6" w14:textId="77777777" w:rsidR="00BE5B13" w:rsidRPr="006774D3" w:rsidRDefault="00BE5B13" w:rsidP="00F77C66">
            <w:pPr>
              <w:rPr>
                <w:color w:val="000000"/>
                <w:sz w:val="22"/>
                <w:szCs w:val="22"/>
              </w:rPr>
            </w:pPr>
            <w:r w:rsidRPr="006774D3">
              <w:rPr>
                <w:color w:val="000000"/>
                <w:sz w:val="22"/>
                <w:szCs w:val="22"/>
              </w:rPr>
              <w:t>Tel: +356 2122 2872</w:t>
            </w:r>
          </w:p>
        </w:tc>
      </w:tr>
      <w:tr w:rsidR="00BE5B13" w:rsidRPr="006774D3" w14:paraId="05B8C2BF" w14:textId="77777777" w:rsidTr="00B3755B">
        <w:trPr>
          <w:cantSplit/>
        </w:trPr>
        <w:tc>
          <w:tcPr>
            <w:tcW w:w="4650" w:type="dxa"/>
          </w:tcPr>
          <w:p w14:paraId="05B8C2B8" w14:textId="77777777" w:rsidR="00BE5B13" w:rsidRPr="006774D3" w:rsidRDefault="00BE5B13" w:rsidP="00F77C66">
            <w:pPr>
              <w:rPr>
                <w:b/>
                <w:color w:val="000000"/>
                <w:sz w:val="22"/>
                <w:szCs w:val="22"/>
              </w:rPr>
            </w:pPr>
            <w:r w:rsidRPr="006774D3">
              <w:rPr>
                <w:b/>
                <w:color w:val="000000"/>
                <w:sz w:val="22"/>
                <w:szCs w:val="22"/>
              </w:rPr>
              <w:lastRenderedPageBreak/>
              <w:t>Deutschland</w:t>
            </w:r>
          </w:p>
          <w:p w14:paraId="05B8C2B9" w14:textId="77777777" w:rsidR="00BE5B13" w:rsidRPr="006774D3" w:rsidRDefault="00BE5B13" w:rsidP="00F77C66">
            <w:pPr>
              <w:rPr>
                <w:color w:val="000000"/>
                <w:sz w:val="22"/>
                <w:szCs w:val="22"/>
              </w:rPr>
            </w:pPr>
            <w:r w:rsidRPr="006774D3">
              <w:rPr>
                <w:color w:val="000000"/>
                <w:sz w:val="22"/>
                <w:szCs w:val="22"/>
              </w:rPr>
              <w:t>Novartis Pharma GmbH</w:t>
            </w:r>
          </w:p>
          <w:p w14:paraId="05B8C2BA" w14:textId="77777777" w:rsidR="00BE5B13" w:rsidRPr="006774D3" w:rsidRDefault="00BE5B13" w:rsidP="00F77C66">
            <w:pPr>
              <w:rPr>
                <w:color w:val="000000"/>
                <w:sz w:val="22"/>
                <w:szCs w:val="22"/>
              </w:rPr>
            </w:pPr>
            <w:r w:rsidRPr="006774D3">
              <w:rPr>
                <w:color w:val="000000"/>
                <w:sz w:val="22"/>
                <w:szCs w:val="22"/>
              </w:rPr>
              <w:t>Tel: +49 911 273 0</w:t>
            </w:r>
          </w:p>
          <w:p w14:paraId="05B8C2BB" w14:textId="77777777" w:rsidR="00BE5B13" w:rsidRPr="006774D3" w:rsidRDefault="00BE5B13" w:rsidP="00F77C66">
            <w:pPr>
              <w:rPr>
                <w:b/>
                <w:color w:val="000000"/>
                <w:sz w:val="22"/>
                <w:szCs w:val="22"/>
              </w:rPr>
            </w:pPr>
          </w:p>
        </w:tc>
        <w:tc>
          <w:tcPr>
            <w:tcW w:w="4650" w:type="dxa"/>
          </w:tcPr>
          <w:p w14:paraId="05B8C2BC" w14:textId="77777777" w:rsidR="00BE5B13" w:rsidRPr="006774D3" w:rsidRDefault="00BE5B13" w:rsidP="00F77C66">
            <w:pPr>
              <w:rPr>
                <w:b/>
                <w:color w:val="000000"/>
                <w:sz w:val="22"/>
                <w:szCs w:val="22"/>
              </w:rPr>
            </w:pPr>
            <w:r w:rsidRPr="006774D3">
              <w:rPr>
                <w:b/>
                <w:color w:val="000000"/>
                <w:sz w:val="22"/>
                <w:szCs w:val="22"/>
              </w:rPr>
              <w:t>Nederland</w:t>
            </w:r>
          </w:p>
          <w:p w14:paraId="05B8C2BD" w14:textId="77777777" w:rsidR="00BE5B13" w:rsidRPr="006774D3" w:rsidRDefault="00BE5B13" w:rsidP="00F77C66">
            <w:pPr>
              <w:rPr>
                <w:color w:val="000000"/>
                <w:sz w:val="22"/>
                <w:szCs w:val="22"/>
              </w:rPr>
            </w:pPr>
            <w:r w:rsidRPr="006774D3">
              <w:rPr>
                <w:color w:val="000000"/>
                <w:sz w:val="22"/>
                <w:szCs w:val="22"/>
              </w:rPr>
              <w:t>Novartis Pharma B.V.</w:t>
            </w:r>
          </w:p>
          <w:p w14:paraId="05B8C2BE" w14:textId="257F0701" w:rsidR="00BE5B13" w:rsidRPr="006774D3" w:rsidRDefault="00BE5B13" w:rsidP="00F77C66">
            <w:pPr>
              <w:rPr>
                <w:color w:val="000000"/>
                <w:sz w:val="22"/>
                <w:szCs w:val="22"/>
              </w:rPr>
            </w:pPr>
            <w:r w:rsidRPr="006774D3">
              <w:rPr>
                <w:color w:val="000000"/>
                <w:sz w:val="22"/>
                <w:szCs w:val="22"/>
              </w:rPr>
              <w:t xml:space="preserve">Tel: +31 </w:t>
            </w:r>
            <w:r w:rsidR="00C62B6C" w:rsidRPr="00C62B6C">
              <w:rPr>
                <w:color w:val="000000"/>
                <w:sz w:val="22"/>
                <w:szCs w:val="22"/>
                <w:lang w:val="de-CH"/>
              </w:rPr>
              <w:t>88 04 52</w:t>
            </w:r>
            <w:r w:rsidRPr="006774D3">
              <w:rPr>
                <w:color w:val="000000"/>
                <w:sz w:val="22"/>
                <w:szCs w:val="22"/>
              </w:rPr>
              <w:t xml:space="preserve"> </w:t>
            </w:r>
            <w:r w:rsidR="004B606D" w:rsidRPr="006774D3">
              <w:rPr>
                <w:color w:val="000000"/>
                <w:sz w:val="22"/>
                <w:szCs w:val="22"/>
              </w:rPr>
              <w:t>555</w:t>
            </w:r>
          </w:p>
        </w:tc>
      </w:tr>
      <w:tr w:rsidR="00BE5B13" w:rsidRPr="006774D3" w14:paraId="05B8C2C7" w14:textId="77777777" w:rsidTr="00B3755B">
        <w:trPr>
          <w:cantSplit/>
        </w:trPr>
        <w:tc>
          <w:tcPr>
            <w:tcW w:w="4650" w:type="dxa"/>
          </w:tcPr>
          <w:p w14:paraId="05B8C2C0" w14:textId="77777777" w:rsidR="00BE5B13" w:rsidRPr="006774D3" w:rsidRDefault="00BE5B13" w:rsidP="00F77C66">
            <w:pPr>
              <w:rPr>
                <w:b/>
                <w:color w:val="000000"/>
                <w:sz w:val="22"/>
                <w:szCs w:val="22"/>
              </w:rPr>
            </w:pPr>
            <w:r w:rsidRPr="006774D3">
              <w:rPr>
                <w:b/>
                <w:color w:val="000000"/>
                <w:sz w:val="22"/>
                <w:szCs w:val="22"/>
              </w:rPr>
              <w:t>Eesti</w:t>
            </w:r>
          </w:p>
          <w:p w14:paraId="05B8C2C1" w14:textId="77777777" w:rsidR="00BE5B13" w:rsidRPr="006774D3" w:rsidRDefault="00DB085C" w:rsidP="00F77C66">
            <w:pPr>
              <w:rPr>
                <w:color w:val="000000"/>
                <w:sz w:val="22"/>
                <w:szCs w:val="22"/>
              </w:rPr>
            </w:pPr>
            <w:r w:rsidRPr="006774D3">
              <w:rPr>
                <w:color w:val="000000"/>
                <w:sz w:val="22"/>
                <w:szCs w:val="22"/>
              </w:rPr>
              <w:t>SIA Novartis Baltics Eesti filiaal</w:t>
            </w:r>
          </w:p>
          <w:p w14:paraId="05B8C2C2" w14:textId="77777777" w:rsidR="00BE5B13" w:rsidRPr="006774D3" w:rsidRDefault="00BE5B13" w:rsidP="00F77C66">
            <w:pPr>
              <w:rPr>
                <w:color w:val="000000"/>
                <w:sz w:val="22"/>
                <w:szCs w:val="22"/>
              </w:rPr>
            </w:pPr>
            <w:r w:rsidRPr="006774D3">
              <w:rPr>
                <w:color w:val="000000"/>
                <w:sz w:val="22"/>
                <w:szCs w:val="22"/>
              </w:rPr>
              <w:t>Tel: +372 66 30 810</w:t>
            </w:r>
          </w:p>
          <w:p w14:paraId="05B8C2C3" w14:textId="77777777" w:rsidR="00BE5B13" w:rsidRPr="006774D3" w:rsidRDefault="00BE5B13" w:rsidP="00F77C66">
            <w:pPr>
              <w:rPr>
                <w:b/>
                <w:color w:val="000000"/>
                <w:sz w:val="22"/>
                <w:szCs w:val="22"/>
              </w:rPr>
            </w:pPr>
          </w:p>
        </w:tc>
        <w:tc>
          <w:tcPr>
            <w:tcW w:w="4650" w:type="dxa"/>
          </w:tcPr>
          <w:p w14:paraId="05B8C2C4" w14:textId="77777777" w:rsidR="00BE5B13" w:rsidRPr="006774D3" w:rsidRDefault="00BE5B13" w:rsidP="00F77C66">
            <w:pPr>
              <w:rPr>
                <w:b/>
                <w:color w:val="000000"/>
                <w:sz w:val="22"/>
                <w:szCs w:val="22"/>
              </w:rPr>
            </w:pPr>
            <w:r w:rsidRPr="006774D3">
              <w:rPr>
                <w:b/>
                <w:color w:val="000000"/>
                <w:sz w:val="22"/>
                <w:szCs w:val="22"/>
              </w:rPr>
              <w:t>Norge</w:t>
            </w:r>
          </w:p>
          <w:p w14:paraId="05B8C2C5" w14:textId="77777777" w:rsidR="00BE5B13" w:rsidRPr="006774D3" w:rsidRDefault="00BE5B13" w:rsidP="00F77C66">
            <w:pPr>
              <w:rPr>
                <w:color w:val="000000"/>
                <w:sz w:val="22"/>
                <w:szCs w:val="22"/>
              </w:rPr>
            </w:pPr>
            <w:r w:rsidRPr="006774D3">
              <w:rPr>
                <w:color w:val="000000"/>
                <w:sz w:val="22"/>
                <w:szCs w:val="22"/>
              </w:rPr>
              <w:t>Novartis Norge AS</w:t>
            </w:r>
          </w:p>
          <w:p w14:paraId="05B8C2C6" w14:textId="77777777" w:rsidR="00BE5B13" w:rsidRPr="006774D3" w:rsidRDefault="00BE5B13" w:rsidP="00F77C66">
            <w:pPr>
              <w:rPr>
                <w:color w:val="000000"/>
                <w:sz w:val="22"/>
                <w:szCs w:val="22"/>
              </w:rPr>
            </w:pPr>
            <w:r w:rsidRPr="006774D3">
              <w:rPr>
                <w:color w:val="000000"/>
                <w:sz w:val="22"/>
                <w:szCs w:val="22"/>
              </w:rPr>
              <w:t>Tlf: +47 23 05 20 00</w:t>
            </w:r>
          </w:p>
        </w:tc>
      </w:tr>
      <w:tr w:rsidR="00BE5B13" w:rsidRPr="006774D3" w14:paraId="05B8C2CF" w14:textId="77777777" w:rsidTr="00B3755B">
        <w:trPr>
          <w:cantSplit/>
        </w:trPr>
        <w:tc>
          <w:tcPr>
            <w:tcW w:w="4650" w:type="dxa"/>
          </w:tcPr>
          <w:p w14:paraId="05B8C2C8" w14:textId="77777777" w:rsidR="00BE5B13" w:rsidRPr="006774D3" w:rsidRDefault="00BE5B13" w:rsidP="00F77C66">
            <w:pPr>
              <w:rPr>
                <w:b/>
                <w:color w:val="000000"/>
                <w:sz w:val="22"/>
                <w:szCs w:val="22"/>
              </w:rPr>
            </w:pPr>
            <w:r w:rsidRPr="006774D3">
              <w:rPr>
                <w:b/>
                <w:color w:val="000000"/>
                <w:sz w:val="22"/>
                <w:szCs w:val="22"/>
              </w:rPr>
              <w:t>Ελλάδα</w:t>
            </w:r>
          </w:p>
          <w:p w14:paraId="05B8C2C9" w14:textId="77777777" w:rsidR="00BE5B13" w:rsidRPr="006774D3" w:rsidRDefault="00BE5B13" w:rsidP="00F77C66">
            <w:pPr>
              <w:rPr>
                <w:color w:val="000000"/>
                <w:sz w:val="22"/>
                <w:szCs w:val="22"/>
              </w:rPr>
            </w:pPr>
            <w:r w:rsidRPr="006774D3">
              <w:rPr>
                <w:color w:val="000000"/>
                <w:sz w:val="22"/>
                <w:szCs w:val="22"/>
              </w:rPr>
              <w:t>Novartis (Hellas) A.E.B.E.</w:t>
            </w:r>
          </w:p>
          <w:p w14:paraId="05B8C2CA" w14:textId="77777777" w:rsidR="00BE5B13" w:rsidRPr="006774D3" w:rsidRDefault="00BE5B13" w:rsidP="00F77C66">
            <w:pPr>
              <w:rPr>
                <w:color w:val="000000"/>
                <w:sz w:val="22"/>
                <w:szCs w:val="22"/>
              </w:rPr>
            </w:pPr>
            <w:r w:rsidRPr="006774D3">
              <w:rPr>
                <w:color w:val="000000"/>
                <w:sz w:val="22"/>
                <w:szCs w:val="22"/>
              </w:rPr>
              <w:t>Τηλ: +30 210 281 17 12</w:t>
            </w:r>
          </w:p>
          <w:p w14:paraId="05B8C2CB" w14:textId="77777777" w:rsidR="00BE5B13" w:rsidRPr="006774D3" w:rsidRDefault="00BE5B13" w:rsidP="00F77C66">
            <w:pPr>
              <w:rPr>
                <w:b/>
                <w:color w:val="000000"/>
                <w:sz w:val="22"/>
                <w:szCs w:val="22"/>
              </w:rPr>
            </w:pPr>
          </w:p>
        </w:tc>
        <w:tc>
          <w:tcPr>
            <w:tcW w:w="4650" w:type="dxa"/>
          </w:tcPr>
          <w:p w14:paraId="05B8C2CC" w14:textId="77777777" w:rsidR="00BE5B13" w:rsidRPr="006774D3" w:rsidRDefault="00BE5B13" w:rsidP="00F77C66">
            <w:pPr>
              <w:rPr>
                <w:b/>
                <w:color w:val="000000"/>
                <w:sz w:val="22"/>
                <w:szCs w:val="22"/>
              </w:rPr>
            </w:pPr>
            <w:r w:rsidRPr="006774D3">
              <w:rPr>
                <w:b/>
                <w:color w:val="000000"/>
                <w:sz w:val="22"/>
                <w:szCs w:val="22"/>
              </w:rPr>
              <w:t>Österreich</w:t>
            </w:r>
          </w:p>
          <w:p w14:paraId="05B8C2CD" w14:textId="77777777" w:rsidR="00BE5B13" w:rsidRPr="006774D3" w:rsidRDefault="00BE5B13" w:rsidP="00F77C66">
            <w:pPr>
              <w:rPr>
                <w:color w:val="000000"/>
                <w:sz w:val="22"/>
                <w:szCs w:val="22"/>
              </w:rPr>
            </w:pPr>
            <w:r w:rsidRPr="006774D3">
              <w:rPr>
                <w:color w:val="000000"/>
                <w:sz w:val="22"/>
                <w:szCs w:val="22"/>
              </w:rPr>
              <w:t>Novartis Pharma GmbH</w:t>
            </w:r>
          </w:p>
          <w:p w14:paraId="05B8C2CE" w14:textId="77777777" w:rsidR="00BE5B13" w:rsidRPr="006774D3" w:rsidRDefault="00BE5B13" w:rsidP="00F77C66">
            <w:pPr>
              <w:rPr>
                <w:color w:val="000000"/>
                <w:sz w:val="22"/>
                <w:szCs w:val="22"/>
              </w:rPr>
            </w:pPr>
            <w:r w:rsidRPr="006774D3">
              <w:rPr>
                <w:color w:val="000000"/>
                <w:sz w:val="22"/>
                <w:szCs w:val="22"/>
              </w:rPr>
              <w:t>Tel: +43 1 86 6570</w:t>
            </w:r>
          </w:p>
        </w:tc>
      </w:tr>
      <w:tr w:rsidR="00BE5B13" w:rsidRPr="006774D3" w14:paraId="05B8C2D7" w14:textId="77777777" w:rsidTr="00B3755B">
        <w:trPr>
          <w:cantSplit/>
        </w:trPr>
        <w:tc>
          <w:tcPr>
            <w:tcW w:w="4650" w:type="dxa"/>
          </w:tcPr>
          <w:p w14:paraId="05B8C2D0" w14:textId="77777777" w:rsidR="00BE5B13" w:rsidRPr="006774D3" w:rsidRDefault="00BE5B13" w:rsidP="00F77C66">
            <w:pPr>
              <w:rPr>
                <w:b/>
                <w:color w:val="000000"/>
                <w:sz w:val="22"/>
                <w:szCs w:val="22"/>
              </w:rPr>
            </w:pPr>
            <w:r w:rsidRPr="006774D3">
              <w:rPr>
                <w:b/>
                <w:color w:val="000000"/>
                <w:sz w:val="22"/>
                <w:szCs w:val="22"/>
              </w:rPr>
              <w:t>España</w:t>
            </w:r>
          </w:p>
          <w:p w14:paraId="05B8C2D1" w14:textId="77777777" w:rsidR="00BE5B13" w:rsidRPr="006774D3" w:rsidRDefault="00BE5B13" w:rsidP="00F77C66">
            <w:pPr>
              <w:rPr>
                <w:color w:val="000000"/>
                <w:sz w:val="22"/>
                <w:szCs w:val="22"/>
              </w:rPr>
            </w:pPr>
            <w:r w:rsidRPr="006774D3">
              <w:rPr>
                <w:color w:val="000000"/>
                <w:sz w:val="22"/>
                <w:szCs w:val="22"/>
              </w:rPr>
              <w:t>Novartis Farmacéutica, S.A.</w:t>
            </w:r>
          </w:p>
          <w:p w14:paraId="05B8C2D2" w14:textId="77777777" w:rsidR="00BE5B13" w:rsidRPr="006774D3" w:rsidRDefault="00BE5B13" w:rsidP="00F77C66">
            <w:pPr>
              <w:rPr>
                <w:color w:val="000000"/>
                <w:sz w:val="22"/>
                <w:szCs w:val="22"/>
              </w:rPr>
            </w:pPr>
            <w:r w:rsidRPr="006774D3">
              <w:rPr>
                <w:color w:val="000000"/>
                <w:sz w:val="22"/>
                <w:szCs w:val="22"/>
              </w:rPr>
              <w:t>Tel: +34 93 306 42 00</w:t>
            </w:r>
          </w:p>
          <w:p w14:paraId="05B8C2D3" w14:textId="77777777" w:rsidR="00BE5B13" w:rsidRPr="006774D3" w:rsidRDefault="00BE5B13" w:rsidP="00F77C66">
            <w:pPr>
              <w:rPr>
                <w:b/>
                <w:color w:val="000000"/>
                <w:sz w:val="22"/>
                <w:szCs w:val="22"/>
              </w:rPr>
            </w:pPr>
          </w:p>
        </w:tc>
        <w:tc>
          <w:tcPr>
            <w:tcW w:w="4650" w:type="dxa"/>
          </w:tcPr>
          <w:p w14:paraId="05B8C2D4" w14:textId="77777777" w:rsidR="00BE5B13" w:rsidRPr="006774D3" w:rsidRDefault="00BE5B13" w:rsidP="00F77C66">
            <w:pPr>
              <w:rPr>
                <w:b/>
                <w:color w:val="000000"/>
                <w:sz w:val="22"/>
                <w:szCs w:val="22"/>
              </w:rPr>
            </w:pPr>
            <w:r w:rsidRPr="006774D3">
              <w:rPr>
                <w:b/>
                <w:color w:val="000000"/>
                <w:sz w:val="22"/>
                <w:szCs w:val="22"/>
              </w:rPr>
              <w:t>Polska</w:t>
            </w:r>
          </w:p>
          <w:p w14:paraId="05B8C2D5" w14:textId="77777777" w:rsidR="00BE5B13" w:rsidRPr="006774D3" w:rsidRDefault="00BE5B13" w:rsidP="00F77C66">
            <w:pPr>
              <w:rPr>
                <w:color w:val="000000"/>
                <w:sz w:val="22"/>
                <w:szCs w:val="22"/>
              </w:rPr>
            </w:pPr>
            <w:r w:rsidRPr="006774D3">
              <w:rPr>
                <w:color w:val="000000"/>
                <w:sz w:val="22"/>
                <w:szCs w:val="22"/>
              </w:rPr>
              <w:t>Novartis Poland Sp. z o.o.</w:t>
            </w:r>
          </w:p>
          <w:p w14:paraId="05B8C2D6" w14:textId="77777777" w:rsidR="00BE5B13" w:rsidRPr="006774D3" w:rsidRDefault="00BE5B13" w:rsidP="00F77C66">
            <w:pPr>
              <w:rPr>
                <w:color w:val="000000"/>
                <w:sz w:val="22"/>
                <w:szCs w:val="22"/>
              </w:rPr>
            </w:pPr>
            <w:r w:rsidRPr="006774D3">
              <w:rPr>
                <w:color w:val="000000"/>
                <w:sz w:val="22"/>
                <w:szCs w:val="22"/>
              </w:rPr>
              <w:t xml:space="preserve">Tel.: +48 22 </w:t>
            </w:r>
            <w:r w:rsidRPr="006774D3">
              <w:rPr>
                <w:sz w:val="22"/>
                <w:szCs w:val="22"/>
              </w:rPr>
              <w:t>375 4888</w:t>
            </w:r>
          </w:p>
        </w:tc>
      </w:tr>
      <w:tr w:rsidR="00BE5B13" w:rsidRPr="006774D3" w14:paraId="05B8C2DF" w14:textId="77777777" w:rsidTr="00B3755B">
        <w:trPr>
          <w:cantSplit/>
        </w:trPr>
        <w:tc>
          <w:tcPr>
            <w:tcW w:w="4650" w:type="dxa"/>
          </w:tcPr>
          <w:p w14:paraId="05B8C2D8" w14:textId="77777777" w:rsidR="00BE5B13" w:rsidRPr="006774D3" w:rsidRDefault="00BE5B13" w:rsidP="00F77C66">
            <w:pPr>
              <w:rPr>
                <w:b/>
                <w:color w:val="000000"/>
                <w:sz w:val="22"/>
                <w:szCs w:val="22"/>
              </w:rPr>
            </w:pPr>
            <w:r w:rsidRPr="006774D3">
              <w:rPr>
                <w:b/>
                <w:color w:val="000000"/>
                <w:sz w:val="22"/>
                <w:szCs w:val="22"/>
              </w:rPr>
              <w:t>France</w:t>
            </w:r>
          </w:p>
          <w:p w14:paraId="05B8C2D9" w14:textId="77777777" w:rsidR="00BE5B13" w:rsidRPr="006774D3" w:rsidRDefault="00BE5B13" w:rsidP="00F77C66">
            <w:pPr>
              <w:rPr>
                <w:color w:val="000000"/>
                <w:sz w:val="22"/>
                <w:szCs w:val="22"/>
              </w:rPr>
            </w:pPr>
            <w:r w:rsidRPr="006774D3">
              <w:rPr>
                <w:color w:val="000000"/>
                <w:sz w:val="22"/>
                <w:szCs w:val="22"/>
              </w:rPr>
              <w:t>Novartis Pharma S.A.S.</w:t>
            </w:r>
          </w:p>
          <w:p w14:paraId="05B8C2DA" w14:textId="77777777" w:rsidR="00BE5B13" w:rsidRPr="006774D3" w:rsidRDefault="00BE5B13" w:rsidP="00F77C66">
            <w:pPr>
              <w:rPr>
                <w:color w:val="000000"/>
                <w:sz w:val="22"/>
                <w:szCs w:val="22"/>
              </w:rPr>
            </w:pPr>
            <w:r w:rsidRPr="006774D3">
              <w:rPr>
                <w:color w:val="000000"/>
                <w:sz w:val="22"/>
                <w:szCs w:val="22"/>
              </w:rPr>
              <w:t>Tél: +33 1 55 47 66 00</w:t>
            </w:r>
          </w:p>
          <w:p w14:paraId="05B8C2DB" w14:textId="77777777" w:rsidR="00BE5B13" w:rsidRPr="006774D3" w:rsidRDefault="00BE5B13" w:rsidP="00F77C66">
            <w:pPr>
              <w:rPr>
                <w:b/>
                <w:color w:val="000000"/>
                <w:sz w:val="22"/>
                <w:szCs w:val="22"/>
              </w:rPr>
            </w:pPr>
          </w:p>
        </w:tc>
        <w:tc>
          <w:tcPr>
            <w:tcW w:w="4650" w:type="dxa"/>
          </w:tcPr>
          <w:p w14:paraId="05B8C2DC" w14:textId="77777777" w:rsidR="00BE5B13" w:rsidRPr="006774D3" w:rsidRDefault="00BE5B13" w:rsidP="00F77C66">
            <w:pPr>
              <w:rPr>
                <w:b/>
                <w:color w:val="000000"/>
                <w:sz w:val="22"/>
                <w:szCs w:val="22"/>
              </w:rPr>
            </w:pPr>
            <w:r w:rsidRPr="006774D3">
              <w:rPr>
                <w:b/>
                <w:color w:val="000000"/>
                <w:sz w:val="22"/>
                <w:szCs w:val="22"/>
              </w:rPr>
              <w:t>Portugal</w:t>
            </w:r>
          </w:p>
          <w:p w14:paraId="05B8C2DD" w14:textId="77777777" w:rsidR="00BE5B13" w:rsidRPr="006774D3" w:rsidRDefault="00BE5B13" w:rsidP="00F77C66">
            <w:pPr>
              <w:rPr>
                <w:color w:val="000000"/>
                <w:sz w:val="22"/>
                <w:szCs w:val="22"/>
              </w:rPr>
            </w:pPr>
            <w:r w:rsidRPr="006774D3">
              <w:rPr>
                <w:color w:val="000000"/>
                <w:sz w:val="22"/>
                <w:szCs w:val="22"/>
              </w:rPr>
              <w:t>Novartis Farma - Produtos Farmacêuticos, S.A.</w:t>
            </w:r>
          </w:p>
          <w:p w14:paraId="05B8C2DE" w14:textId="77777777" w:rsidR="00BE5B13" w:rsidRPr="006774D3" w:rsidRDefault="00BE5B13" w:rsidP="00F77C66">
            <w:pPr>
              <w:rPr>
                <w:color w:val="000000"/>
                <w:sz w:val="22"/>
                <w:szCs w:val="22"/>
              </w:rPr>
            </w:pPr>
            <w:r w:rsidRPr="006774D3">
              <w:rPr>
                <w:color w:val="000000"/>
                <w:sz w:val="22"/>
                <w:szCs w:val="22"/>
              </w:rPr>
              <w:t>Tel: +351 21 000 8600</w:t>
            </w:r>
          </w:p>
        </w:tc>
      </w:tr>
      <w:tr w:rsidR="00BE5B13" w:rsidRPr="006774D3" w14:paraId="05B8C2E7" w14:textId="77777777" w:rsidTr="00B3755B">
        <w:trPr>
          <w:cantSplit/>
        </w:trPr>
        <w:tc>
          <w:tcPr>
            <w:tcW w:w="4650" w:type="dxa"/>
          </w:tcPr>
          <w:p w14:paraId="05B8C2E0" w14:textId="77777777" w:rsidR="00BE5B13" w:rsidRPr="006774D3" w:rsidRDefault="00BE5B13" w:rsidP="00F77C66">
            <w:pPr>
              <w:rPr>
                <w:rFonts w:eastAsia="PMingLiU"/>
                <w:b/>
                <w:sz w:val="22"/>
                <w:szCs w:val="22"/>
              </w:rPr>
            </w:pPr>
            <w:r w:rsidRPr="006774D3">
              <w:rPr>
                <w:rFonts w:eastAsia="PMingLiU"/>
                <w:b/>
                <w:sz w:val="22"/>
                <w:szCs w:val="22"/>
              </w:rPr>
              <w:t>Hrvatska</w:t>
            </w:r>
          </w:p>
          <w:p w14:paraId="05B8C2E1" w14:textId="77777777" w:rsidR="00BE5B13" w:rsidRPr="006774D3" w:rsidRDefault="00BE5B13" w:rsidP="00F77C66">
            <w:pPr>
              <w:rPr>
                <w:sz w:val="22"/>
                <w:szCs w:val="22"/>
              </w:rPr>
            </w:pPr>
            <w:r w:rsidRPr="006774D3">
              <w:rPr>
                <w:sz w:val="22"/>
                <w:szCs w:val="22"/>
              </w:rPr>
              <w:t>Novartis Hrvatska d.o.o.</w:t>
            </w:r>
          </w:p>
          <w:p w14:paraId="05B8C2E2" w14:textId="77777777" w:rsidR="00BE5B13" w:rsidRPr="006774D3" w:rsidRDefault="00BE5B13" w:rsidP="00F77C66">
            <w:pPr>
              <w:rPr>
                <w:sz w:val="22"/>
                <w:szCs w:val="22"/>
              </w:rPr>
            </w:pPr>
            <w:r w:rsidRPr="006774D3">
              <w:rPr>
                <w:sz w:val="22"/>
                <w:szCs w:val="22"/>
              </w:rPr>
              <w:t>Tel. +385 1 6274 220</w:t>
            </w:r>
          </w:p>
          <w:p w14:paraId="05B8C2E3" w14:textId="77777777" w:rsidR="00BE5B13" w:rsidRPr="006774D3" w:rsidRDefault="00BE5B13" w:rsidP="00F77C66">
            <w:pPr>
              <w:rPr>
                <w:b/>
                <w:color w:val="000000"/>
                <w:sz w:val="22"/>
                <w:szCs w:val="22"/>
              </w:rPr>
            </w:pPr>
          </w:p>
        </w:tc>
        <w:tc>
          <w:tcPr>
            <w:tcW w:w="4650" w:type="dxa"/>
          </w:tcPr>
          <w:p w14:paraId="05B8C2E4" w14:textId="77777777" w:rsidR="00BE5B13" w:rsidRPr="006774D3" w:rsidRDefault="00BE5B13" w:rsidP="00F77C66">
            <w:pPr>
              <w:rPr>
                <w:b/>
                <w:color w:val="000000"/>
                <w:sz w:val="22"/>
                <w:szCs w:val="22"/>
              </w:rPr>
            </w:pPr>
            <w:r w:rsidRPr="006774D3">
              <w:rPr>
                <w:b/>
                <w:color w:val="000000"/>
                <w:sz w:val="22"/>
                <w:szCs w:val="22"/>
              </w:rPr>
              <w:t>România</w:t>
            </w:r>
          </w:p>
          <w:p w14:paraId="05B8C2E5" w14:textId="77777777" w:rsidR="00BE5B13" w:rsidRPr="006774D3" w:rsidRDefault="00BE5B13" w:rsidP="00F77C66">
            <w:pPr>
              <w:rPr>
                <w:color w:val="000000"/>
                <w:sz w:val="22"/>
                <w:szCs w:val="22"/>
              </w:rPr>
            </w:pPr>
            <w:r w:rsidRPr="006774D3">
              <w:rPr>
                <w:color w:val="000000"/>
                <w:sz w:val="22"/>
                <w:szCs w:val="22"/>
              </w:rPr>
              <w:t xml:space="preserve">Novartis Pharma Services </w:t>
            </w:r>
            <w:r w:rsidRPr="006774D3">
              <w:rPr>
                <w:color w:val="2F2F2F"/>
                <w:sz w:val="22"/>
                <w:szCs w:val="22"/>
              </w:rPr>
              <w:t>Romania SRL</w:t>
            </w:r>
          </w:p>
          <w:p w14:paraId="05B8C2E6" w14:textId="77777777" w:rsidR="00BE5B13" w:rsidRPr="006774D3" w:rsidRDefault="00BE5B13" w:rsidP="00F77C66">
            <w:pPr>
              <w:rPr>
                <w:color w:val="000000"/>
                <w:sz w:val="22"/>
                <w:szCs w:val="22"/>
              </w:rPr>
            </w:pPr>
            <w:r w:rsidRPr="006774D3">
              <w:rPr>
                <w:color w:val="000000"/>
                <w:sz w:val="22"/>
                <w:szCs w:val="22"/>
              </w:rPr>
              <w:t>Tel: +40 21 31299 01</w:t>
            </w:r>
          </w:p>
        </w:tc>
      </w:tr>
      <w:tr w:rsidR="00BE5B13" w:rsidRPr="006774D3" w14:paraId="05B8C2EF" w14:textId="77777777" w:rsidTr="00B3755B">
        <w:trPr>
          <w:cantSplit/>
        </w:trPr>
        <w:tc>
          <w:tcPr>
            <w:tcW w:w="4650" w:type="dxa"/>
          </w:tcPr>
          <w:p w14:paraId="05B8C2E8" w14:textId="77777777" w:rsidR="00BE5B13" w:rsidRPr="006774D3" w:rsidRDefault="00BE5B13" w:rsidP="00F77C66">
            <w:pPr>
              <w:rPr>
                <w:b/>
                <w:color w:val="000000"/>
                <w:sz w:val="22"/>
                <w:szCs w:val="22"/>
              </w:rPr>
            </w:pPr>
            <w:r w:rsidRPr="006774D3">
              <w:rPr>
                <w:b/>
                <w:color w:val="000000"/>
                <w:sz w:val="22"/>
                <w:szCs w:val="22"/>
              </w:rPr>
              <w:t>Ireland</w:t>
            </w:r>
          </w:p>
          <w:p w14:paraId="05B8C2E9" w14:textId="77777777" w:rsidR="00BE5B13" w:rsidRPr="006774D3" w:rsidRDefault="00BE5B13" w:rsidP="00F77C66">
            <w:pPr>
              <w:rPr>
                <w:color w:val="000000"/>
                <w:sz w:val="22"/>
                <w:szCs w:val="22"/>
              </w:rPr>
            </w:pPr>
            <w:r w:rsidRPr="006774D3">
              <w:rPr>
                <w:color w:val="000000"/>
                <w:sz w:val="22"/>
                <w:szCs w:val="22"/>
              </w:rPr>
              <w:t>Novartis Ireland Limited</w:t>
            </w:r>
          </w:p>
          <w:p w14:paraId="05B8C2EA" w14:textId="77777777" w:rsidR="00BE5B13" w:rsidRPr="006774D3" w:rsidRDefault="00BE5B13" w:rsidP="00F77C66">
            <w:pPr>
              <w:rPr>
                <w:color w:val="000000"/>
                <w:sz w:val="22"/>
                <w:szCs w:val="22"/>
              </w:rPr>
            </w:pPr>
            <w:r w:rsidRPr="006774D3">
              <w:rPr>
                <w:color w:val="000000"/>
                <w:sz w:val="22"/>
                <w:szCs w:val="22"/>
              </w:rPr>
              <w:t>Tel: +353 1 260 12 55</w:t>
            </w:r>
          </w:p>
          <w:p w14:paraId="05B8C2EB" w14:textId="77777777" w:rsidR="00BE5B13" w:rsidRPr="006774D3" w:rsidRDefault="00BE5B13" w:rsidP="00F77C66">
            <w:pPr>
              <w:rPr>
                <w:b/>
                <w:color w:val="000000"/>
                <w:sz w:val="22"/>
                <w:szCs w:val="22"/>
              </w:rPr>
            </w:pPr>
          </w:p>
        </w:tc>
        <w:tc>
          <w:tcPr>
            <w:tcW w:w="4650" w:type="dxa"/>
          </w:tcPr>
          <w:p w14:paraId="05B8C2EC" w14:textId="77777777" w:rsidR="00BE5B13" w:rsidRPr="006774D3" w:rsidRDefault="00BE5B13" w:rsidP="00F77C66">
            <w:pPr>
              <w:rPr>
                <w:b/>
                <w:color w:val="000000"/>
                <w:sz w:val="22"/>
                <w:szCs w:val="22"/>
              </w:rPr>
            </w:pPr>
            <w:r w:rsidRPr="006774D3">
              <w:rPr>
                <w:b/>
                <w:color w:val="000000"/>
                <w:sz w:val="22"/>
                <w:szCs w:val="22"/>
              </w:rPr>
              <w:t>Slovenija</w:t>
            </w:r>
          </w:p>
          <w:p w14:paraId="05B8C2ED" w14:textId="77777777" w:rsidR="00BE5B13" w:rsidRPr="006774D3" w:rsidRDefault="00BE5B13" w:rsidP="00F77C66">
            <w:pPr>
              <w:rPr>
                <w:color w:val="000000"/>
                <w:sz w:val="22"/>
                <w:szCs w:val="22"/>
              </w:rPr>
            </w:pPr>
            <w:r w:rsidRPr="006774D3">
              <w:rPr>
                <w:color w:val="000000"/>
                <w:sz w:val="22"/>
                <w:szCs w:val="22"/>
              </w:rPr>
              <w:t>Novartis Pharma Services Inc.</w:t>
            </w:r>
          </w:p>
          <w:p w14:paraId="05B8C2EE" w14:textId="77777777" w:rsidR="00BE5B13" w:rsidRPr="006774D3" w:rsidRDefault="00BE5B13" w:rsidP="00F77C66">
            <w:pPr>
              <w:rPr>
                <w:color w:val="000000"/>
                <w:sz w:val="22"/>
                <w:szCs w:val="22"/>
              </w:rPr>
            </w:pPr>
            <w:r w:rsidRPr="006774D3">
              <w:rPr>
                <w:color w:val="000000"/>
                <w:sz w:val="22"/>
                <w:szCs w:val="22"/>
              </w:rPr>
              <w:t>Tel: +386 1 300 75 50</w:t>
            </w:r>
          </w:p>
        </w:tc>
      </w:tr>
      <w:tr w:rsidR="00BE5B13" w:rsidRPr="006774D3" w14:paraId="05B8C2F8" w14:textId="77777777" w:rsidTr="00B3755B">
        <w:trPr>
          <w:cantSplit/>
        </w:trPr>
        <w:tc>
          <w:tcPr>
            <w:tcW w:w="4650" w:type="dxa"/>
          </w:tcPr>
          <w:p w14:paraId="05B8C2F0" w14:textId="77777777" w:rsidR="00BE5B13" w:rsidRPr="006774D3" w:rsidRDefault="00BE5B13" w:rsidP="00F77C66">
            <w:pPr>
              <w:rPr>
                <w:b/>
                <w:color w:val="000000"/>
                <w:sz w:val="22"/>
                <w:szCs w:val="22"/>
              </w:rPr>
            </w:pPr>
            <w:r w:rsidRPr="006774D3">
              <w:rPr>
                <w:b/>
                <w:color w:val="000000"/>
                <w:sz w:val="22"/>
                <w:szCs w:val="22"/>
              </w:rPr>
              <w:t>Ísland</w:t>
            </w:r>
          </w:p>
          <w:p w14:paraId="05B8C2F1" w14:textId="77777777" w:rsidR="00BE5B13" w:rsidRPr="006774D3" w:rsidRDefault="00BE5B13" w:rsidP="00F77C66">
            <w:pPr>
              <w:rPr>
                <w:color w:val="000000"/>
                <w:sz w:val="22"/>
                <w:szCs w:val="22"/>
              </w:rPr>
            </w:pPr>
            <w:r w:rsidRPr="006774D3">
              <w:rPr>
                <w:color w:val="000000"/>
                <w:sz w:val="22"/>
                <w:szCs w:val="22"/>
              </w:rPr>
              <w:t>Vistor hf.</w:t>
            </w:r>
          </w:p>
          <w:p w14:paraId="05B8C2F2" w14:textId="77777777" w:rsidR="00BE5B13" w:rsidRPr="006774D3" w:rsidRDefault="00BE5B13" w:rsidP="00F77C66">
            <w:pPr>
              <w:rPr>
                <w:color w:val="000000"/>
                <w:sz w:val="22"/>
                <w:szCs w:val="22"/>
              </w:rPr>
            </w:pPr>
            <w:r w:rsidRPr="006774D3">
              <w:rPr>
                <w:color w:val="000000"/>
                <w:sz w:val="22"/>
                <w:szCs w:val="22"/>
              </w:rPr>
              <w:t>Sími: +354 535 7000</w:t>
            </w:r>
          </w:p>
          <w:p w14:paraId="05B8C2F3" w14:textId="77777777" w:rsidR="00BE5B13" w:rsidRPr="006774D3" w:rsidRDefault="00BE5B13" w:rsidP="00F77C66">
            <w:pPr>
              <w:rPr>
                <w:b/>
                <w:color w:val="000000"/>
                <w:sz w:val="22"/>
                <w:szCs w:val="22"/>
              </w:rPr>
            </w:pPr>
          </w:p>
        </w:tc>
        <w:tc>
          <w:tcPr>
            <w:tcW w:w="4650" w:type="dxa"/>
          </w:tcPr>
          <w:p w14:paraId="05B8C2F4" w14:textId="77777777" w:rsidR="00BE5B13" w:rsidRPr="006774D3" w:rsidRDefault="00BE5B13" w:rsidP="00F77C66">
            <w:pPr>
              <w:rPr>
                <w:b/>
                <w:color w:val="000000"/>
                <w:sz w:val="22"/>
                <w:szCs w:val="22"/>
              </w:rPr>
            </w:pPr>
            <w:r w:rsidRPr="006774D3">
              <w:rPr>
                <w:b/>
                <w:color w:val="000000"/>
                <w:sz w:val="22"/>
                <w:szCs w:val="22"/>
              </w:rPr>
              <w:t>Slovenská republika</w:t>
            </w:r>
          </w:p>
          <w:p w14:paraId="05B8C2F5" w14:textId="77777777" w:rsidR="00BE5B13" w:rsidRPr="006774D3" w:rsidRDefault="00BE5B13" w:rsidP="00F77C66">
            <w:pPr>
              <w:rPr>
                <w:color w:val="000000"/>
                <w:sz w:val="22"/>
                <w:szCs w:val="22"/>
              </w:rPr>
            </w:pPr>
            <w:r w:rsidRPr="006774D3">
              <w:rPr>
                <w:color w:val="000000"/>
                <w:sz w:val="22"/>
                <w:szCs w:val="22"/>
              </w:rPr>
              <w:t>Novartis Slovakia s.r.o.</w:t>
            </w:r>
          </w:p>
          <w:p w14:paraId="05B8C2F6" w14:textId="77777777" w:rsidR="00BE5B13" w:rsidRPr="006774D3" w:rsidRDefault="00BE5B13" w:rsidP="00F77C66">
            <w:pPr>
              <w:rPr>
                <w:color w:val="000000"/>
                <w:sz w:val="22"/>
                <w:szCs w:val="22"/>
              </w:rPr>
            </w:pPr>
            <w:r w:rsidRPr="006774D3">
              <w:rPr>
                <w:color w:val="000000"/>
                <w:sz w:val="22"/>
                <w:szCs w:val="22"/>
              </w:rPr>
              <w:t>Tel: +421 2 5542 5439</w:t>
            </w:r>
          </w:p>
          <w:p w14:paraId="05B8C2F7" w14:textId="77777777" w:rsidR="00BE5B13" w:rsidRPr="006774D3" w:rsidRDefault="00BE5B13" w:rsidP="00F77C66">
            <w:pPr>
              <w:rPr>
                <w:color w:val="000000"/>
                <w:sz w:val="22"/>
                <w:szCs w:val="22"/>
              </w:rPr>
            </w:pPr>
          </w:p>
        </w:tc>
      </w:tr>
      <w:tr w:rsidR="00BE5B13" w:rsidRPr="006774D3" w14:paraId="05B8C300" w14:textId="77777777" w:rsidTr="00B3755B">
        <w:trPr>
          <w:cantSplit/>
        </w:trPr>
        <w:tc>
          <w:tcPr>
            <w:tcW w:w="4650" w:type="dxa"/>
          </w:tcPr>
          <w:p w14:paraId="05B8C2F9" w14:textId="77777777" w:rsidR="00BE5B13" w:rsidRPr="006774D3" w:rsidRDefault="00BE5B13" w:rsidP="00F77C66">
            <w:pPr>
              <w:rPr>
                <w:b/>
                <w:color w:val="000000"/>
                <w:sz w:val="22"/>
                <w:szCs w:val="22"/>
              </w:rPr>
            </w:pPr>
            <w:r w:rsidRPr="006774D3">
              <w:rPr>
                <w:b/>
                <w:color w:val="000000"/>
                <w:sz w:val="22"/>
                <w:szCs w:val="22"/>
              </w:rPr>
              <w:t>Italia</w:t>
            </w:r>
          </w:p>
          <w:p w14:paraId="05B8C2FA" w14:textId="77777777" w:rsidR="00BE5B13" w:rsidRPr="006774D3" w:rsidRDefault="00BE5B13" w:rsidP="00F77C66">
            <w:pPr>
              <w:rPr>
                <w:color w:val="000000"/>
                <w:sz w:val="22"/>
                <w:szCs w:val="22"/>
              </w:rPr>
            </w:pPr>
            <w:r w:rsidRPr="006774D3">
              <w:rPr>
                <w:color w:val="000000"/>
                <w:sz w:val="22"/>
                <w:szCs w:val="22"/>
              </w:rPr>
              <w:t>Novartis Farma S.p.A.</w:t>
            </w:r>
          </w:p>
          <w:p w14:paraId="05B8C2FB" w14:textId="77777777" w:rsidR="00BE5B13" w:rsidRPr="006774D3" w:rsidRDefault="00BE5B13" w:rsidP="00F77C66">
            <w:pPr>
              <w:rPr>
                <w:b/>
                <w:color w:val="000000"/>
                <w:sz w:val="22"/>
                <w:szCs w:val="22"/>
              </w:rPr>
            </w:pPr>
            <w:r w:rsidRPr="006774D3">
              <w:rPr>
                <w:color w:val="000000"/>
                <w:sz w:val="22"/>
                <w:szCs w:val="22"/>
              </w:rPr>
              <w:t>Tel: +39 02 96 54 1</w:t>
            </w:r>
          </w:p>
        </w:tc>
        <w:tc>
          <w:tcPr>
            <w:tcW w:w="4650" w:type="dxa"/>
          </w:tcPr>
          <w:p w14:paraId="05B8C2FC" w14:textId="77777777" w:rsidR="00BE5B13" w:rsidRPr="006774D3" w:rsidRDefault="00BE5B13" w:rsidP="00F77C66">
            <w:pPr>
              <w:rPr>
                <w:b/>
                <w:color w:val="000000"/>
                <w:sz w:val="22"/>
                <w:szCs w:val="22"/>
              </w:rPr>
            </w:pPr>
            <w:r w:rsidRPr="006774D3">
              <w:rPr>
                <w:b/>
                <w:color w:val="000000"/>
                <w:sz w:val="22"/>
                <w:szCs w:val="22"/>
              </w:rPr>
              <w:t>Suomi/Finland</w:t>
            </w:r>
          </w:p>
          <w:p w14:paraId="05B8C2FD" w14:textId="77777777" w:rsidR="00BE5B13" w:rsidRPr="006774D3" w:rsidRDefault="00BE5B13" w:rsidP="00F77C66">
            <w:pPr>
              <w:rPr>
                <w:color w:val="000000"/>
                <w:sz w:val="22"/>
                <w:szCs w:val="22"/>
              </w:rPr>
            </w:pPr>
            <w:r w:rsidRPr="006774D3">
              <w:rPr>
                <w:color w:val="000000"/>
                <w:sz w:val="22"/>
                <w:szCs w:val="22"/>
              </w:rPr>
              <w:t>Novartis Finland Oy</w:t>
            </w:r>
          </w:p>
          <w:p w14:paraId="05B8C2FE" w14:textId="77777777" w:rsidR="00BE5B13" w:rsidRPr="006774D3" w:rsidRDefault="00BE5B13" w:rsidP="00F77C66">
            <w:pPr>
              <w:rPr>
                <w:color w:val="000000"/>
                <w:sz w:val="22"/>
                <w:szCs w:val="22"/>
              </w:rPr>
            </w:pPr>
            <w:r w:rsidRPr="006774D3">
              <w:rPr>
                <w:color w:val="000000"/>
                <w:sz w:val="22"/>
                <w:szCs w:val="22"/>
              </w:rPr>
              <w:t xml:space="preserve">Puh/Tel: </w:t>
            </w:r>
            <w:r w:rsidRPr="006774D3">
              <w:rPr>
                <w:color w:val="000000"/>
                <w:sz w:val="22"/>
                <w:szCs w:val="22"/>
                <w:lang w:bidi="he-IL"/>
              </w:rPr>
              <w:t>+358 (0)10 6133 200</w:t>
            </w:r>
          </w:p>
          <w:p w14:paraId="05B8C2FF" w14:textId="77777777" w:rsidR="00BE5B13" w:rsidRPr="006774D3" w:rsidRDefault="00BE5B13" w:rsidP="00F77C66">
            <w:pPr>
              <w:rPr>
                <w:color w:val="000000"/>
                <w:sz w:val="22"/>
                <w:szCs w:val="22"/>
              </w:rPr>
            </w:pPr>
          </w:p>
        </w:tc>
      </w:tr>
      <w:tr w:rsidR="00BE5B13" w:rsidRPr="006774D3" w14:paraId="05B8C309" w14:textId="77777777" w:rsidTr="00B3755B">
        <w:trPr>
          <w:cantSplit/>
        </w:trPr>
        <w:tc>
          <w:tcPr>
            <w:tcW w:w="4650" w:type="dxa"/>
          </w:tcPr>
          <w:p w14:paraId="05B8C301" w14:textId="77777777" w:rsidR="00BE5B13" w:rsidRPr="006774D3" w:rsidRDefault="00BE5B13" w:rsidP="00F77C66">
            <w:pPr>
              <w:rPr>
                <w:b/>
                <w:color w:val="000000"/>
                <w:sz w:val="22"/>
                <w:szCs w:val="22"/>
              </w:rPr>
            </w:pPr>
            <w:r w:rsidRPr="006774D3">
              <w:rPr>
                <w:b/>
                <w:color w:val="000000"/>
                <w:sz w:val="22"/>
                <w:szCs w:val="22"/>
              </w:rPr>
              <w:t>Κύπρος</w:t>
            </w:r>
          </w:p>
          <w:p w14:paraId="05B8C302" w14:textId="77777777" w:rsidR="00BE5B13" w:rsidRPr="006774D3" w:rsidRDefault="00BE5B13" w:rsidP="00F77C66">
            <w:pPr>
              <w:rPr>
                <w:color w:val="000000"/>
                <w:sz w:val="22"/>
                <w:szCs w:val="22"/>
              </w:rPr>
            </w:pPr>
            <w:r w:rsidRPr="006774D3">
              <w:rPr>
                <w:color w:val="000000"/>
                <w:sz w:val="22"/>
                <w:szCs w:val="22"/>
                <w:lang w:bidi="he-IL"/>
              </w:rPr>
              <w:t>Novartis Pharma Services Inc.</w:t>
            </w:r>
          </w:p>
          <w:p w14:paraId="05B8C303" w14:textId="77777777" w:rsidR="00BE5B13" w:rsidRPr="006774D3" w:rsidRDefault="00BE5B13" w:rsidP="00F77C66">
            <w:pPr>
              <w:rPr>
                <w:color w:val="000000"/>
                <w:sz w:val="22"/>
                <w:szCs w:val="22"/>
              </w:rPr>
            </w:pPr>
            <w:r w:rsidRPr="006774D3">
              <w:rPr>
                <w:color w:val="000000"/>
                <w:sz w:val="22"/>
                <w:szCs w:val="22"/>
              </w:rPr>
              <w:t>Τηλ: +357 22 690 690</w:t>
            </w:r>
          </w:p>
          <w:p w14:paraId="05B8C304" w14:textId="77777777" w:rsidR="00BE5B13" w:rsidRPr="006774D3" w:rsidRDefault="00BE5B13" w:rsidP="00F77C66">
            <w:pPr>
              <w:rPr>
                <w:b/>
                <w:color w:val="000000"/>
                <w:sz w:val="22"/>
                <w:szCs w:val="22"/>
              </w:rPr>
            </w:pPr>
          </w:p>
        </w:tc>
        <w:tc>
          <w:tcPr>
            <w:tcW w:w="4650" w:type="dxa"/>
          </w:tcPr>
          <w:p w14:paraId="05B8C305" w14:textId="77777777" w:rsidR="00BE5B13" w:rsidRPr="006774D3" w:rsidRDefault="00BE5B13" w:rsidP="00F77C66">
            <w:pPr>
              <w:rPr>
                <w:b/>
                <w:color w:val="000000"/>
                <w:sz w:val="22"/>
                <w:szCs w:val="22"/>
              </w:rPr>
            </w:pPr>
            <w:r w:rsidRPr="006774D3">
              <w:rPr>
                <w:b/>
                <w:color w:val="000000"/>
                <w:sz w:val="22"/>
                <w:szCs w:val="22"/>
              </w:rPr>
              <w:t>Sverige</w:t>
            </w:r>
          </w:p>
          <w:p w14:paraId="05B8C306" w14:textId="77777777" w:rsidR="00BE5B13" w:rsidRPr="006774D3" w:rsidRDefault="00BE5B13" w:rsidP="00F77C66">
            <w:pPr>
              <w:rPr>
                <w:color w:val="000000"/>
                <w:sz w:val="22"/>
                <w:szCs w:val="22"/>
              </w:rPr>
            </w:pPr>
            <w:r w:rsidRPr="006774D3">
              <w:rPr>
                <w:color w:val="000000"/>
                <w:sz w:val="22"/>
                <w:szCs w:val="22"/>
              </w:rPr>
              <w:t>Novartis Sverige AB</w:t>
            </w:r>
          </w:p>
          <w:p w14:paraId="05B8C307" w14:textId="77777777" w:rsidR="00BE5B13" w:rsidRPr="006774D3" w:rsidRDefault="00BE5B13" w:rsidP="00F77C66">
            <w:pPr>
              <w:rPr>
                <w:color w:val="000000"/>
                <w:sz w:val="22"/>
                <w:szCs w:val="22"/>
              </w:rPr>
            </w:pPr>
            <w:r w:rsidRPr="006774D3">
              <w:rPr>
                <w:color w:val="000000"/>
                <w:sz w:val="22"/>
                <w:szCs w:val="22"/>
              </w:rPr>
              <w:t>Tel: +46 8 732 32 00</w:t>
            </w:r>
          </w:p>
          <w:p w14:paraId="05B8C308" w14:textId="77777777" w:rsidR="00BE5B13" w:rsidRPr="006774D3" w:rsidRDefault="00BE5B13" w:rsidP="00F77C66">
            <w:pPr>
              <w:rPr>
                <w:color w:val="000000"/>
                <w:sz w:val="22"/>
                <w:szCs w:val="22"/>
              </w:rPr>
            </w:pPr>
          </w:p>
        </w:tc>
      </w:tr>
      <w:tr w:rsidR="00BE5B13" w:rsidRPr="006774D3" w14:paraId="05B8C312" w14:textId="77777777" w:rsidTr="00B3755B">
        <w:trPr>
          <w:cantSplit/>
        </w:trPr>
        <w:tc>
          <w:tcPr>
            <w:tcW w:w="4650" w:type="dxa"/>
          </w:tcPr>
          <w:p w14:paraId="05B8C30A" w14:textId="77777777" w:rsidR="00BE5B13" w:rsidRPr="006774D3" w:rsidRDefault="00BE5B13" w:rsidP="00F77C66">
            <w:pPr>
              <w:rPr>
                <w:b/>
                <w:color w:val="000000"/>
                <w:sz w:val="22"/>
                <w:szCs w:val="22"/>
              </w:rPr>
            </w:pPr>
            <w:r w:rsidRPr="006774D3">
              <w:rPr>
                <w:b/>
                <w:color w:val="000000"/>
                <w:sz w:val="22"/>
                <w:szCs w:val="22"/>
              </w:rPr>
              <w:t>Latvija</w:t>
            </w:r>
          </w:p>
          <w:p w14:paraId="05B8C30B" w14:textId="4CE93041" w:rsidR="00BE5B13" w:rsidRPr="006774D3" w:rsidRDefault="00395421" w:rsidP="00F77C66">
            <w:pPr>
              <w:rPr>
                <w:color w:val="000000"/>
                <w:sz w:val="22"/>
                <w:szCs w:val="22"/>
              </w:rPr>
            </w:pPr>
            <w:r w:rsidRPr="006774D3">
              <w:rPr>
                <w:color w:val="000000"/>
                <w:sz w:val="22"/>
                <w:szCs w:val="22"/>
              </w:rPr>
              <w:t>SIA Novartis Baltics</w:t>
            </w:r>
          </w:p>
          <w:p w14:paraId="05B8C30C" w14:textId="77777777" w:rsidR="00BE5B13" w:rsidRPr="006774D3" w:rsidRDefault="00BE5B13" w:rsidP="00F77C66">
            <w:pPr>
              <w:rPr>
                <w:color w:val="000000"/>
                <w:sz w:val="22"/>
                <w:szCs w:val="22"/>
              </w:rPr>
            </w:pPr>
            <w:r w:rsidRPr="006774D3">
              <w:rPr>
                <w:color w:val="000000"/>
                <w:sz w:val="22"/>
                <w:szCs w:val="22"/>
              </w:rPr>
              <w:t>Tel: +371 67 887 070</w:t>
            </w:r>
          </w:p>
          <w:p w14:paraId="05B8C30D" w14:textId="77777777" w:rsidR="00BE5B13" w:rsidRPr="006774D3" w:rsidRDefault="00BE5B13" w:rsidP="00F77C66">
            <w:pPr>
              <w:rPr>
                <w:b/>
                <w:color w:val="000000"/>
                <w:sz w:val="22"/>
                <w:szCs w:val="22"/>
              </w:rPr>
            </w:pPr>
          </w:p>
        </w:tc>
        <w:tc>
          <w:tcPr>
            <w:tcW w:w="4650" w:type="dxa"/>
          </w:tcPr>
          <w:p w14:paraId="05B8C30E" w14:textId="77777777" w:rsidR="00BE5B13" w:rsidRPr="006774D3" w:rsidRDefault="00BE5B13" w:rsidP="00F77C66">
            <w:pPr>
              <w:rPr>
                <w:b/>
                <w:color w:val="000000"/>
                <w:sz w:val="22"/>
                <w:szCs w:val="22"/>
              </w:rPr>
            </w:pPr>
            <w:r w:rsidRPr="006774D3">
              <w:rPr>
                <w:b/>
                <w:color w:val="000000"/>
                <w:sz w:val="22"/>
                <w:szCs w:val="22"/>
              </w:rPr>
              <w:t>United Kingdom</w:t>
            </w:r>
          </w:p>
          <w:p w14:paraId="05B8C30F" w14:textId="77777777" w:rsidR="00BE5B13" w:rsidRPr="006774D3" w:rsidRDefault="00BE5B13" w:rsidP="00F77C66">
            <w:pPr>
              <w:rPr>
                <w:color w:val="000000"/>
                <w:sz w:val="22"/>
                <w:szCs w:val="22"/>
              </w:rPr>
            </w:pPr>
            <w:r w:rsidRPr="006774D3">
              <w:rPr>
                <w:color w:val="000000"/>
                <w:sz w:val="22"/>
                <w:szCs w:val="22"/>
              </w:rPr>
              <w:t>Novartis Pharmaceuticals UK Ltd.</w:t>
            </w:r>
          </w:p>
          <w:p w14:paraId="05B8C310" w14:textId="77777777" w:rsidR="00BE5B13" w:rsidRPr="006774D3" w:rsidRDefault="00BE5B13" w:rsidP="00F77C66">
            <w:pPr>
              <w:rPr>
                <w:color w:val="000000"/>
                <w:sz w:val="22"/>
                <w:szCs w:val="22"/>
              </w:rPr>
            </w:pPr>
            <w:r w:rsidRPr="006774D3">
              <w:rPr>
                <w:color w:val="000000"/>
                <w:sz w:val="22"/>
                <w:szCs w:val="22"/>
              </w:rPr>
              <w:t>Tel: +44 1276 698370</w:t>
            </w:r>
          </w:p>
          <w:p w14:paraId="05B8C311" w14:textId="77777777" w:rsidR="00BE5B13" w:rsidRPr="006774D3" w:rsidRDefault="00BE5B13" w:rsidP="00F77C66">
            <w:pPr>
              <w:rPr>
                <w:color w:val="000000"/>
                <w:sz w:val="22"/>
                <w:szCs w:val="22"/>
              </w:rPr>
            </w:pPr>
          </w:p>
        </w:tc>
      </w:tr>
    </w:tbl>
    <w:p w14:paraId="05B8C313" w14:textId="77777777" w:rsidR="00BE5B13" w:rsidRPr="006774D3" w:rsidRDefault="00BE5B13" w:rsidP="00F77C66">
      <w:pPr>
        <w:widowControl w:val="0"/>
        <w:ind w:right="-449"/>
        <w:rPr>
          <w:color w:val="000000"/>
          <w:sz w:val="22"/>
          <w:szCs w:val="22"/>
        </w:rPr>
      </w:pPr>
    </w:p>
    <w:p w14:paraId="05B8C314" w14:textId="77777777" w:rsidR="00D363A7" w:rsidRPr="006774D3" w:rsidRDefault="00D363A7" w:rsidP="00F77C66">
      <w:pPr>
        <w:rPr>
          <w:b/>
          <w:color w:val="000000"/>
          <w:sz w:val="22"/>
          <w:szCs w:val="22"/>
        </w:rPr>
      </w:pPr>
      <w:r w:rsidRPr="006774D3">
        <w:rPr>
          <w:b/>
          <w:color w:val="000000"/>
          <w:sz w:val="22"/>
          <w:szCs w:val="22"/>
        </w:rPr>
        <w:t xml:space="preserve">Þessi fylgiseðill var síðast </w:t>
      </w:r>
      <w:r w:rsidR="0032598F" w:rsidRPr="006774D3">
        <w:rPr>
          <w:b/>
          <w:color w:val="000000"/>
          <w:sz w:val="22"/>
          <w:szCs w:val="22"/>
        </w:rPr>
        <w:t>uppfærður</w:t>
      </w:r>
    </w:p>
    <w:p w14:paraId="05B8C315" w14:textId="77777777" w:rsidR="00D363A7" w:rsidRPr="006774D3" w:rsidRDefault="00D363A7" w:rsidP="00F77C66">
      <w:pPr>
        <w:rPr>
          <w:color w:val="000000"/>
          <w:sz w:val="22"/>
          <w:szCs w:val="22"/>
        </w:rPr>
      </w:pPr>
    </w:p>
    <w:p w14:paraId="05B8C316" w14:textId="77777777" w:rsidR="0032598F" w:rsidRPr="006774D3" w:rsidRDefault="0032598F" w:rsidP="00E22B2C">
      <w:pPr>
        <w:keepNext/>
        <w:rPr>
          <w:b/>
          <w:sz w:val="22"/>
          <w:szCs w:val="22"/>
        </w:rPr>
      </w:pPr>
      <w:r w:rsidRPr="006774D3">
        <w:rPr>
          <w:b/>
          <w:sz w:val="22"/>
          <w:szCs w:val="22"/>
        </w:rPr>
        <w:t>Upplýsingar sem hægt er að nálgast annars staðar</w:t>
      </w:r>
    </w:p>
    <w:p w14:paraId="05B8C317" w14:textId="77777777" w:rsidR="00D363A7" w:rsidRPr="006774D3" w:rsidRDefault="00D363A7" w:rsidP="00F77C66">
      <w:pPr>
        <w:rPr>
          <w:color w:val="000000"/>
          <w:sz w:val="22"/>
          <w:szCs w:val="22"/>
        </w:rPr>
      </w:pPr>
      <w:r w:rsidRPr="006774D3">
        <w:rPr>
          <w:sz w:val="22"/>
          <w:szCs w:val="22"/>
        </w:rPr>
        <w:t xml:space="preserve">Ítarlegar upplýsingar um lyfið eru birtar á </w:t>
      </w:r>
      <w:r w:rsidR="0032598F" w:rsidRPr="006774D3">
        <w:rPr>
          <w:sz w:val="22"/>
          <w:szCs w:val="22"/>
        </w:rPr>
        <w:t xml:space="preserve">vef </w:t>
      </w:r>
      <w:r w:rsidRPr="006774D3">
        <w:rPr>
          <w:sz w:val="22"/>
          <w:szCs w:val="22"/>
        </w:rPr>
        <w:t xml:space="preserve">Lyfjastofnunar Evrópu </w:t>
      </w:r>
      <w:r w:rsidRPr="006774D3">
        <w:rPr>
          <w:color w:val="000000"/>
          <w:sz w:val="22"/>
        </w:rPr>
        <w:t>http://www.ema.europa.eu</w:t>
      </w:r>
    </w:p>
    <w:p w14:paraId="05B8C4AB" w14:textId="77777777" w:rsidR="005F57F3" w:rsidRPr="006774D3" w:rsidRDefault="005F57F3">
      <w:pPr>
        <w:rPr>
          <w:color w:val="000000"/>
        </w:rPr>
      </w:pPr>
    </w:p>
    <w:sectPr w:rsidR="005F57F3" w:rsidRPr="006774D3" w:rsidSect="003D78B4">
      <w:footerReference w:type="even" r:id="rId18"/>
      <w:footerReference w:type="default" r:id="rId19"/>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C4DA" w14:textId="77777777" w:rsidR="00CF33A2" w:rsidRDefault="00CF33A2">
      <w:r>
        <w:separator/>
      </w:r>
    </w:p>
  </w:endnote>
  <w:endnote w:type="continuationSeparator" w:id="0">
    <w:p w14:paraId="05B8C4DB" w14:textId="77777777" w:rsidR="00CF33A2" w:rsidRDefault="00CF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8C4DC" w14:textId="77777777" w:rsidR="00CF33A2" w:rsidRDefault="00CF33A2" w:rsidP="00546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B8C4DD" w14:textId="77777777" w:rsidR="00CF33A2" w:rsidRDefault="00CF3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8C4DE" w14:textId="315A3BD8" w:rsidR="00CF33A2" w:rsidRPr="000E6ECD" w:rsidRDefault="00CF33A2" w:rsidP="00546D5B">
    <w:pPr>
      <w:pStyle w:val="Footer"/>
      <w:framePr w:wrap="around" w:vAnchor="text" w:hAnchor="margin" w:xAlign="center" w:y="1"/>
      <w:rPr>
        <w:rStyle w:val="PageNumber"/>
        <w:rFonts w:ascii="Arial" w:hAnsi="Arial" w:cs="Arial"/>
        <w:sz w:val="16"/>
        <w:szCs w:val="16"/>
      </w:rPr>
    </w:pPr>
    <w:r w:rsidRPr="000E6ECD">
      <w:rPr>
        <w:rStyle w:val="PageNumber"/>
        <w:rFonts w:ascii="Arial" w:hAnsi="Arial" w:cs="Arial"/>
        <w:sz w:val="16"/>
        <w:szCs w:val="16"/>
      </w:rPr>
      <w:fldChar w:fldCharType="begin"/>
    </w:r>
    <w:r w:rsidRPr="000E6ECD">
      <w:rPr>
        <w:rStyle w:val="PageNumber"/>
        <w:rFonts w:ascii="Arial" w:hAnsi="Arial" w:cs="Arial"/>
        <w:sz w:val="16"/>
        <w:szCs w:val="16"/>
      </w:rPr>
      <w:instrText xml:space="preserve">PAGE  </w:instrText>
    </w:r>
    <w:r w:rsidRPr="000E6ECD">
      <w:rPr>
        <w:rStyle w:val="PageNumber"/>
        <w:rFonts w:ascii="Arial" w:hAnsi="Arial" w:cs="Arial"/>
        <w:sz w:val="16"/>
        <w:szCs w:val="16"/>
      </w:rPr>
      <w:fldChar w:fldCharType="separate"/>
    </w:r>
    <w:r>
      <w:rPr>
        <w:rStyle w:val="PageNumber"/>
        <w:rFonts w:ascii="Arial" w:hAnsi="Arial" w:cs="Arial"/>
        <w:noProof/>
        <w:sz w:val="16"/>
        <w:szCs w:val="16"/>
      </w:rPr>
      <w:t>108</w:t>
    </w:r>
    <w:r w:rsidRPr="000E6ECD">
      <w:rPr>
        <w:rStyle w:val="PageNumber"/>
        <w:rFonts w:ascii="Arial" w:hAnsi="Arial" w:cs="Arial"/>
        <w:sz w:val="16"/>
        <w:szCs w:val="16"/>
      </w:rPr>
      <w:fldChar w:fldCharType="end"/>
    </w:r>
  </w:p>
  <w:p w14:paraId="05B8C4DF" w14:textId="77777777" w:rsidR="00CF33A2" w:rsidRPr="000E6ECD" w:rsidRDefault="00CF33A2" w:rsidP="000E6ECD">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8C4D8" w14:textId="77777777" w:rsidR="00CF33A2" w:rsidRDefault="00CF33A2">
      <w:r>
        <w:separator/>
      </w:r>
    </w:p>
  </w:footnote>
  <w:footnote w:type="continuationSeparator" w:id="0">
    <w:p w14:paraId="05B8C4D9" w14:textId="77777777" w:rsidR="00CF33A2" w:rsidRDefault="00CF3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6063"/>
    <w:multiLevelType w:val="hybridMultilevel"/>
    <w:tmpl w:val="EB76D01C"/>
    <w:lvl w:ilvl="0" w:tplc="E3608AC0">
      <w:start w:val="2"/>
      <w:numFmt w:val="bullet"/>
      <w:lvlText w:val="-"/>
      <w:lvlJc w:val="left"/>
      <w:pPr>
        <w:tabs>
          <w:tab w:val="num" w:pos="576"/>
        </w:tabs>
        <w:ind w:left="576" w:hanging="57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61531C"/>
    <w:multiLevelType w:val="hybridMultilevel"/>
    <w:tmpl w:val="1A827320"/>
    <w:lvl w:ilvl="0" w:tplc="B0E61F1A">
      <w:start w:val="1"/>
      <w:numFmt w:val="bullet"/>
      <w:lvlText w:val=""/>
      <w:lvlJc w:val="left"/>
      <w:pPr>
        <w:tabs>
          <w:tab w:val="num" w:pos="720"/>
        </w:tabs>
        <w:ind w:left="720" w:hanging="360"/>
      </w:pPr>
      <w:rPr>
        <w:rFonts w:ascii="Symbol" w:hAnsi="Symbol" w:hint="default"/>
        <w:color w:val="auto"/>
        <w:sz w:val="22"/>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 w15:restartNumberingAfterBreak="0">
    <w:nsid w:val="195460B7"/>
    <w:multiLevelType w:val="hybridMultilevel"/>
    <w:tmpl w:val="2076B40A"/>
    <w:lvl w:ilvl="0" w:tplc="E3608AC0">
      <w:start w:val="2"/>
      <w:numFmt w:val="bullet"/>
      <w:lvlText w:val="-"/>
      <w:lvlJc w:val="left"/>
      <w:pPr>
        <w:tabs>
          <w:tab w:val="num" w:pos="630"/>
        </w:tabs>
        <w:ind w:left="630" w:hanging="570"/>
      </w:pPr>
      <w:rPr>
        <w:rFonts w:hint="default"/>
        <w:b w:val="0"/>
        <w:i w:val="0"/>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3" w15:restartNumberingAfterBreak="0">
    <w:nsid w:val="1BC05B62"/>
    <w:multiLevelType w:val="hybridMultilevel"/>
    <w:tmpl w:val="42D078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1D63B3"/>
    <w:multiLevelType w:val="hybridMultilevel"/>
    <w:tmpl w:val="1EC029F6"/>
    <w:lvl w:ilvl="0" w:tplc="47201E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8774F"/>
    <w:multiLevelType w:val="hybridMultilevel"/>
    <w:tmpl w:val="22AA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0538"/>
    <w:multiLevelType w:val="hybridMultilevel"/>
    <w:tmpl w:val="C2527398"/>
    <w:lvl w:ilvl="0" w:tplc="5CC6A978">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3D489D"/>
    <w:multiLevelType w:val="hybridMultilevel"/>
    <w:tmpl w:val="D38A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C5C4D"/>
    <w:multiLevelType w:val="hybridMultilevel"/>
    <w:tmpl w:val="B69C1C86"/>
    <w:lvl w:ilvl="0" w:tplc="2C924C70">
      <w:numFmt w:val="bullet"/>
      <w:lvlText w:val="-"/>
      <w:lvlJc w:val="left"/>
      <w:pPr>
        <w:tabs>
          <w:tab w:val="num" w:pos="930"/>
        </w:tabs>
        <w:ind w:left="930" w:hanging="57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1459E3"/>
    <w:multiLevelType w:val="hybridMultilevel"/>
    <w:tmpl w:val="31E45760"/>
    <w:lvl w:ilvl="0" w:tplc="FFFFFFFF">
      <w:start w:val="1"/>
      <w:numFmt w:val="bullet"/>
      <w:lvlText w:val="-"/>
      <w:lvlJc w:val="left"/>
      <w:pPr>
        <w:ind w:left="1290" w:hanging="360"/>
      </w:pPr>
    </w:lvl>
    <w:lvl w:ilvl="1" w:tplc="040F0003" w:tentative="1">
      <w:start w:val="1"/>
      <w:numFmt w:val="bullet"/>
      <w:lvlText w:val="o"/>
      <w:lvlJc w:val="left"/>
      <w:pPr>
        <w:ind w:left="2010" w:hanging="360"/>
      </w:pPr>
      <w:rPr>
        <w:rFonts w:ascii="Courier New" w:hAnsi="Courier New" w:cs="Courier New" w:hint="default"/>
      </w:rPr>
    </w:lvl>
    <w:lvl w:ilvl="2" w:tplc="040F0005" w:tentative="1">
      <w:start w:val="1"/>
      <w:numFmt w:val="bullet"/>
      <w:lvlText w:val=""/>
      <w:lvlJc w:val="left"/>
      <w:pPr>
        <w:ind w:left="2730" w:hanging="360"/>
      </w:pPr>
      <w:rPr>
        <w:rFonts w:ascii="Wingdings" w:hAnsi="Wingdings" w:hint="default"/>
      </w:rPr>
    </w:lvl>
    <w:lvl w:ilvl="3" w:tplc="040F0001" w:tentative="1">
      <w:start w:val="1"/>
      <w:numFmt w:val="bullet"/>
      <w:lvlText w:val=""/>
      <w:lvlJc w:val="left"/>
      <w:pPr>
        <w:ind w:left="3450" w:hanging="360"/>
      </w:pPr>
      <w:rPr>
        <w:rFonts w:ascii="Symbol" w:hAnsi="Symbol" w:hint="default"/>
      </w:rPr>
    </w:lvl>
    <w:lvl w:ilvl="4" w:tplc="040F0003" w:tentative="1">
      <w:start w:val="1"/>
      <w:numFmt w:val="bullet"/>
      <w:lvlText w:val="o"/>
      <w:lvlJc w:val="left"/>
      <w:pPr>
        <w:ind w:left="4170" w:hanging="360"/>
      </w:pPr>
      <w:rPr>
        <w:rFonts w:ascii="Courier New" w:hAnsi="Courier New" w:cs="Courier New" w:hint="default"/>
      </w:rPr>
    </w:lvl>
    <w:lvl w:ilvl="5" w:tplc="040F0005" w:tentative="1">
      <w:start w:val="1"/>
      <w:numFmt w:val="bullet"/>
      <w:lvlText w:val=""/>
      <w:lvlJc w:val="left"/>
      <w:pPr>
        <w:ind w:left="4890" w:hanging="360"/>
      </w:pPr>
      <w:rPr>
        <w:rFonts w:ascii="Wingdings" w:hAnsi="Wingdings" w:hint="default"/>
      </w:rPr>
    </w:lvl>
    <w:lvl w:ilvl="6" w:tplc="040F0001" w:tentative="1">
      <w:start w:val="1"/>
      <w:numFmt w:val="bullet"/>
      <w:lvlText w:val=""/>
      <w:lvlJc w:val="left"/>
      <w:pPr>
        <w:ind w:left="5610" w:hanging="360"/>
      </w:pPr>
      <w:rPr>
        <w:rFonts w:ascii="Symbol" w:hAnsi="Symbol" w:hint="default"/>
      </w:rPr>
    </w:lvl>
    <w:lvl w:ilvl="7" w:tplc="040F0003" w:tentative="1">
      <w:start w:val="1"/>
      <w:numFmt w:val="bullet"/>
      <w:lvlText w:val="o"/>
      <w:lvlJc w:val="left"/>
      <w:pPr>
        <w:ind w:left="6330" w:hanging="360"/>
      </w:pPr>
      <w:rPr>
        <w:rFonts w:ascii="Courier New" w:hAnsi="Courier New" w:cs="Courier New" w:hint="default"/>
      </w:rPr>
    </w:lvl>
    <w:lvl w:ilvl="8" w:tplc="040F0005" w:tentative="1">
      <w:start w:val="1"/>
      <w:numFmt w:val="bullet"/>
      <w:lvlText w:val=""/>
      <w:lvlJc w:val="left"/>
      <w:pPr>
        <w:ind w:left="7050" w:hanging="360"/>
      </w:pPr>
      <w:rPr>
        <w:rFonts w:ascii="Wingdings" w:hAnsi="Wingdings" w:hint="default"/>
      </w:rPr>
    </w:lvl>
  </w:abstractNum>
  <w:abstractNum w:abstractNumId="10" w15:restartNumberingAfterBreak="0">
    <w:nsid w:val="6706154F"/>
    <w:multiLevelType w:val="hybridMultilevel"/>
    <w:tmpl w:val="A4D88F76"/>
    <w:lvl w:ilvl="0" w:tplc="04090001">
      <w:start w:val="7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0"/>
  </w:num>
  <w:num w:numId="4">
    <w:abstractNumId w:val="8"/>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 w:numId="9">
    <w:abstractNumId w:val="11"/>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F0"/>
    <w:rsid w:val="000002E6"/>
    <w:rsid w:val="000025F0"/>
    <w:rsid w:val="00002E3E"/>
    <w:rsid w:val="00002FA1"/>
    <w:rsid w:val="00007DFF"/>
    <w:rsid w:val="00011108"/>
    <w:rsid w:val="0002472D"/>
    <w:rsid w:val="0002790E"/>
    <w:rsid w:val="00030D4B"/>
    <w:rsid w:val="00033B3A"/>
    <w:rsid w:val="000341A5"/>
    <w:rsid w:val="00034792"/>
    <w:rsid w:val="000354B8"/>
    <w:rsid w:val="00036BD9"/>
    <w:rsid w:val="00037673"/>
    <w:rsid w:val="0004122E"/>
    <w:rsid w:val="000441DF"/>
    <w:rsid w:val="00055DA2"/>
    <w:rsid w:val="00056C6E"/>
    <w:rsid w:val="00067B9A"/>
    <w:rsid w:val="00072BC2"/>
    <w:rsid w:val="00072EEF"/>
    <w:rsid w:val="0007707F"/>
    <w:rsid w:val="000808E7"/>
    <w:rsid w:val="000827F9"/>
    <w:rsid w:val="00084587"/>
    <w:rsid w:val="00084D72"/>
    <w:rsid w:val="000857DF"/>
    <w:rsid w:val="0008594B"/>
    <w:rsid w:val="0008752B"/>
    <w:rsid w:val="00090DB9"/>
    <w:rsid w:val="00095015"/>
    <w:rsid w:val="0009545B"/>
    <w:rsid w:val="000A3685"/>
    <w:rsid w:val="000A4558"/>
    <w:rsid w:val="000A472F"/>
    <w:rsid w:val="000B103B"/>
    <w:rsid w:val="000B26F7"/>
    <w:rsid w:val="000B2946"/>
    <w:rsid w:val="000B2F4D"/>
    <w:rsid w:val="000B58AE"/>
    <w:rsid w:val="000B725B"/>
    <w:rsid w:val="000B7B64"/>
    <w:rsid w:val="000B7E68"/>
    <w:rsid w:val="000C0747"/>
    <w:rsid w:val="000C0CE7"/>
    <w:rsid w:val="000C30C2"/>
    <w:rsid w:val="000C57F1"/>
    <w:rsid w:val="000C6D03"/>
    <w:rsid w:val="000C7354"/>
    <w:rsid w:val="000D391D"/>
    <w:rsid w:val="000D539D"/>
    <w:rsid w:val="000D7244"/>
    <w:rsid w:val="000E2D6B"/>
    <w:rsid w:val="000E3563"/>
    <w:rsid w:val="000E36BC"/>
    <w:rsid w:val="000E55F3"/>
    <w:rsid w:val="000E6100"/>
    <w:rsid w:val="000E6ECD"/>
    <w:rsid w:val="000E73DA"/>
    <w:rsid w:val="000F0E2C"/>
    <w:rsid w:val="000F1F54"/>
    <w:rsid w:val="000F4ABC"/>
    <w:rsid w:val="00101714"/>
    <w:rsid w:val="0010264B"/>
    <w:rsid w:val="001038A7"/>
    <w:rsid w:val="00104041"/>
    <w:rsid w:val="001040A0"/>
    <w:rsid w:val="001046B8"/>
    <w:rsid w:val="00104EF3"/>
    <w:rsid w:val="00107D5B"/>
    <w:rsid w:val="00110B1F"/>
    <w:rsid w:val="00111884"/>
    <w:rsid w:val="00113E22"/>
    <w:rsid w:val="00116F46"/>
    <w:rsid w:val="00120CA5"/>
    <w:rsid w:val="00121118"/>
    <w:rsid w:val="0012201B"/>
    <w:rsid w:val="0012364D"/>
    <w:rsid w:val="00124909"/>
    <w:rsid w:val="00124DAD"/>
    <w:rsid w:val="00124F1D"/>
    <w:rsid w:val="0012543A"/>
    <w:rsid w:val="00127078"/>
    <w:rsid w:val="001350DC"/>
    <w:rsid w:val="0014155F"/>
    <w:rsid w:val="00142B05"/>
    <w:rsid w:val="00146A13"/>
    <w:rsid w:val="00150D92"/>
    <w:rsid w:val="001514B2"/>
    <w:rsid w:val="00151DC5"/>
    <w:rsid w:val="001523D1"/>
    <w:rsid w:val="00153449"/>
    <w:rsid w:val="00154479"/>
    <w:rsid w:val="0015644E"/>
    <w:rsid w:val="00170F6B"/>
    <w:rsid w:val="00172F56"/>
    <w:rsid w:val="00177053"/>
    <w:rsid w:val="00177EB1"/>
    <w:rsid w:val="001806D0"/>
    <w:rsid w:val="00180BA7"/>
    <w:rsid w:val="00186A8D"/>
    <w:rsid w:val="00190D05"/>
    <w:rsid w:val="00192480"/>
    <w:rsid w:val="001973ED"/>
    <w:rsid w:val="001A12C5"/>
    <w:rsid w:val="001A5FFE"/>
    <w:rsid w:val="001B0865"/>
    <w:rsid w:val="001B0E92"/>
    <w:rsid w:val="001B2C89"/>
    <w:rsid w:val="001B334B"/>
    <w:rsid w:val="001B3BB6"/>
    <w:rsid w:val="001B4F9C"/>
    <w:rsid w:val="001B6E0C"/>
    <w:rsid w:val="001B72C8"/>
    <w:rsid w:val="001C0292"/>
    <w:rsid w:val="001C256E"/>
    <w:rsid w:val="001C6E0C"/>
    <w:rsid w:val="001D305F"/>
    <w:rsid w:val="001D30BF"/>
    <w:rsid w:val="001D5F61"/>
    <w:rsid w:val="001D74EA"/>
    <w:rsid w:val="001E06A6"/>
    <w:rsid w:val="001E1D03"/>
    <w:rsid w:val="001E1D4F"/>
    <w:rsid w:val="001E2752"/>
    <w:rsid w:val="001E413A"/>
    <w:rsid w:val="001E463A"/>
    <w:rsid w:val="001E6E0E"/>
    <w:rsid w:val="001E723B"/>
    <w:rsid w:val="001F7B41"/>
    <w:rsid w:val="002018AD"/>
    <w:rsid w:val="002024C8"/>
    <w:rsid w:val="00202BA8"/>
    <w:rsid w:val="00206647"/>
    <w:rsid w:val="00207815"/>
    <w:rsid w:val="00207BDC"/>
    <w:rsid w:val="002142AB"/>
    <w:rsid w:val="002204D0"/>
    <w:rsid w:val="00222F7E"/>
    <w:rsid w:val="00223364"/>
    <w:rsid w:val="00224A32"/>
    <w:rsid w:val="002252FB"/>
    <w:rsid w:val="00227230"/>
    <w:rsid w:val="00234EF9"/>
    <w:rsid w:val="00236168"/>
    <w:rsid w:val="00236DDA"/>
    <w:rsid w:val="00240D34"/>
    <w:rsid w:val="00241377"/>
    <w:rsid w:val="00241D8B"/>
    <w:rsid w:val="00247E61"/>
    <w:rsid w:val="002506D8"/>
    <w:rsid w:val="002524EF"/>
    <w:rsid w:val="00256EDD"/>
    <w:rsid w:val="002572E2"/>
    <w:rsid w:val="002578B2"/>
    <w:rsid w:val="00261D58"/>
    <w:rsid w:val="00267187"/>
    <w:rsid w:val="00267F0E"/>
    <w:rsid w:val="00281753"/>
    <w:rsid w:val="00283C19"/>
    <w:rsid w:val="00283CC4"/>
    <w:rsid w:val="00285BB2"/>
    <w:rsid w:val="002871A2"/>
    <w:rsid w:val="00291ECC"/>
    <w:rsid w:val="00294D11"/>
    <w:rsid w:val="002950C3"/>
    <w:rsid w:val="002A24A1"/>
    <w:rsid w:val="002A3BF3"/>
    <w:rsid w:val="002A3E92"/>
    <w:rsid w:val="002A5402"/>
    <w:rsid w:val="002A77C8"/>
    <w:rsid w:val="002B199A"/>
    <w:rsid w:val="002B1BD3"/>
    <w:rsid w:val="002C28A0"/>
    <w:rsid w:val="002C2F32"/>
    <w:rsid w:val="002C3669"/>
    <w:rsid w:val="002C3712"/>
    <w:rsid w:val="002C5553"/>
    <w:rsid w:val="002C700D"/>
    <w:rsid w:val="002D17B9"/>
    <w:rsid w:val="002D4270"/>
    <w:rsid w:val="002D6BC9"/>
    <w:rsid w:val="002E1E3D"/>
    <w:rsid w:val="002E4818"/>
    <w:rsid w:val="002E6890"/>
    <w:rsid w:val="002F1451"/>
    <w:rsid w:val="002F2BB7"/>
    <w:rsid w:val="002F3A62"/>
    <w:rsid w:val="002F57FC"/>
    <w:rsid w:val="002F70BD"/>
    <w:rsid w:val="002F755F"/>
    <w:rsid w:val="002F783D"/>
    <w:rsid w:val="00300DE2"/>
    <w:rsid w:val="00301452"/>
    <w:rsid w:val="00302441"/>
    <w:rsid w:val="0030257E"/>
    <w:rsid w:val="003047DD"/>
    <w:rsid w:val="00311425"/>
    <w:rsid w:val="00312B13"/>
    <w:rsid w:val="00313D8C"/>
    <w:rsid w:val="00323545"/>
    <w:rsid w:val="0032598F"/>
    <w:rsid w:val="00326AF2"/>
    <w:rsid w:val="00331276"/>
    <w:rsid w:val="00334FD6"/>
    <w:rsid w:val="00337EF9"/>
    <w:rsid w:val="00337F46"/>
    <w:rsid w:val="0034252F"/>
    <w:rsid w:val="003451A7"/>
    <w:rsid w:val="00346C92"/>
    <w:rsid w:val="00346ED4"/>
    <w:rsid w:val="00346F25"/>
    <w:rsid w:val="00347A01"/>
    <w:rsid w:val="00351A4D"/>
    <w:rsid w:val="00351B9B"/>
    <w:rsid w:val="003550A1"/>
    <w:rsid w:val="003551CF"/>
    <w:rsid w:val="00363D28"/>
    <w:rsid w:val="00364CE0"/>
    <w:rsid w:val="00364D11"/>
    <w:rsid w:val="00380C16"/>
    <w:rsid w:val="00381481"/>
    <w:rsid w:val="003818DA"/>
    <w:rsid w:val="00394346"/>
    <w:rsid w:val="00395421"/>
    <w:rsid w:val="003954DE"/>
    <w:rsid w:val="003A1940"/>
    <w:rsid w:val="003A26D4"/>
    <w:rsid w:val="003A33D0"/>
    <w:rsid w:val="003A5E89"/>
    <w:rsid w:val="003A7308"/>
    <w:rsid w:val="003A7990"/>
    <w:rsid w:val="003B268D"/>
    <w:rsid w:val="003B4FF3"/>
    <w:rsid w:val="003B7065"/>
    <w:rsid w:val="003C2A6F"/>
    <w:rsid w:val="003C5A06"/>
    <w:rsid w:val="003D3E5E"/>
    <w:rsid w:val="003D3F38"/>
    <w:rsid w:val="003D5841"/>
    <w:rsid w:val="003D768B"/>
    <w:rsid w:val="003D78B4"/>
    <w:rsid w:val="003E3322"/>
    <w:rsid w:val="003E7297"/>
    <w:rsid w:val="003E7C65"/>
    <w:rsid w:val="003F0C85"/>
    <w:rsid w:val="003F67CA"/>
    <w:rsid w:val="003F6AF8"/>
    <w:rsid w:val="004046BE"/>
    <w:rsid w:val="0041495E"/>
    <w:rsid w:val="00422E26"/>
    <w:rsid w:val="0042552E"/>
    <w:rsid w:val="00427347"/>
    <w:rsid w:val="00436CAC"/>
    <w:rsid w:val="00437630"/>
    <w:rsid w:val="004418C2"/>
    <w:rsid w:val="00443C15"/>
    <w:rsid w:val="00446704"/>
    <w:rsid w:val="004513F0"/>
    <w:rsid w:val="0045609A"/>
    <w:rsid w:val="00460C52"/>
    <w:rsid w:val="004730C0"/>
    <w:rsid w:val="004763CB"/>
    <w:rsid w:val="004776F4"/>
    <w:rsid w:val="00490288"/>
    <w:rsid w:val="00493406"/>
    <w:rsid w:val="004A1B30"/>
    <w:rsid w:val="004A2916"/>
    <w:rsid w:val="004A396D"/>
    <w:rsid w:val="004A4324"/>
    <w:rsid w:val="004A4659"/>
    <w:rsid w:val="004A6018"/>
    <w:rsid w:val="004A6901"/>
    <w:rsid w:val="004B46E4"/>
    <w:rsid w:val="004B606D"/>
    <w:rsid w:val="004C7961"/>
    <w:rsid w:val="004D3553"/>
    <w:rsid w:val="004D43A1"/>
    <w:rsid w:val="004D468F"/>
    <w:rsid w:val="004D711C"/>
    <w:rsid w:val="004F0647"/>
    <w:rsid w:val="004F229A"/>
    <w:rsid w:val="004F55D9"/>
    <w:rsid w:val="004F7D5A"/>
    <w:rsid w:val="004F7D8A"/>
    <w:rsid w:val="004F7EC6"/>
    <w:rsid w:val="00500B74"/>
    <w:rsid w:val="00500D48"/>
    <w:rsid w:val="005010A0"/>
    <w:rsid w:val="00501169"/>
    <w:rsid w:val="005024CE"/>
    <w:rsid w:val="00503A4E"/>
    <w:rsid w:val="0051010B"/>
    <w:rsid w:val="00512666"/>
    <w:rsid w:val="00512DCB"/>
    <w:rsid w:val="00513C8C"/>
    <w:rsid w:val="005147BF"/>
    <w:rsid w:val="0051569D"/>
    <w:rsid w:val="00524D17"/>
    <w:rsid w:val="00532B32"/>
    <w:rsid w:val="00543252"/>
    <w:rsid w:val="00546D5B"/>
    <w:rsid w:val="00547FF4"/>
    <w:rsid w:val="00552F50"/>
    <w:rsid w:val="00553AFF"/>
    <w:rsid w:val="00553BEA"/>
    <w:rsid w:val="00553DF5"/>
    <w:rsid w:val="00554F87"/>
    <w:rsid w:val="005629BB"/>
    <w:rsid w:val="00563BD5"/>
    <w:rsid w:val="0056676A"/>
    <w:rsid w:val="005706EE"/>
    <w:rsid w:val="00571B6D"/>
    <w:rsid w:val="00573B20"/>
    <w:rsid w:val="0057402D"/>
    <w:rsid w:val="005742F4"/>
    <w:rsid w:val="005772B9"/>
    <w:rsid w:val="005802B1"/>
    <w:rsid w:val="00581DDC"/>
    <w:rsid w:val="00583E8A"/>
    <w:rsid w:val="00584A48"/>
    <w:rsid w:val="00585F39"/>
    <w:rsid w:val="0059084F"/>
    <w:rsid w:val="00592B2C"/>
    <w:rsid w:val="00593B3B"/>
    <w:rsid w:val="0059400E"/>
    <w:rsid w:val="00596DA6"/>
    <w:rsid w:val="005A08E5"/>
    <w:rsid w:val="005A25D7"/>
    <w:rsid w:val="005A38AF"/>
    <w:rsid w:val="005A6B51"/>
    <w:rsid w:val="005B0088"/>
    <w:rsid w:val="005B1AA4"/>
    <w:rsid w:val="005B2863"/>
    <w:rsid w:val="005B3754"/>
    <w:rsid w:val="005B3E55"/>
    <w:rsid w:val="005B482E"/>
    <w:rsid w:val="005B6965"/>
    <w:rsid w:val="005C504A"/>
    <w:rsid w:val="005C69F9"/>
    <w:rsid w:val="005D0149"/>
    <w:rsid w:val="005D23C2"/>
    <w:rsid w:val="005D3B7F"/>
    <w:rsid w:val="005D3C58"/>
    <w:rsid w:val="005D45D2"/>
    <w:rsid w:val="005D6739"/>
    <w:rsid w:val="005E0A96"/>
    <w:rsid w:val="005E242A"/>
    <w:rsid w:val="005E3F54"/>
    <w:rsid w:val="005F57F3"/>
    <w:rsid w:val="005F740A"/>
    <w:rsid w:val="00600891"/>
    <w:rsid w:val="00604514"/>
    <w:rsid w:val="00605647"/>
    <w:rsid w:val="00606840"/>
    <w:rsid w:val="00610200"/>
    <w:rsid w:val="006109B3"/>
    <w:rsid w:val="006130B4"/>
    <w:rsid w:val="00616FF9"/>
    <w:rsid w:val="00621156"/>
    <w:rsid w:val="00623C5C"/>
    <w:rsid w:val="00625CFD"/>
    <w:rsid w:val="0062759F"/>
    <w:rsid w:val="00630A46"/>
    <w:rsid w:val="00631807"/>
    <w:rsid w:val="00632192"/>
    <w:rsid w:val="00632D98"/>
    <w:rsid w:val="00633E88"/>
    <w:rsid w:val="00635B44"/>
    <w:rsid w:val="00636729"/>
    <w:rsid w:val="00640CC0"/>
    <w:rsid w:val="00640EC0"/>
    <w:rsid w:val="006420F6"/>
    <w:rsid w:val="0064226C"/>
    <w:rsid w:val="006439AF"/>
    <w:rsid w:val="00646770"/>
    <w:rsid w:val="00647875"/>
    <w:rsid w:val="006512C0"/>
    <w:rsid w:val="006600BF"/>
    <w:rsid w:val="00662205"/>
    <w:rsid w:val="00662889"/>
    <w:rsid w:val="00663D59"/>
    <w:rsid w:val="006646A0"/>
    <w:rsid w:val="0066719E"/>
    <w:rsid w:val="00673DE6"/>
    <w:rsid w:val="006774D3"/>
    <w:rsid w:val="006779F2"/>
    <w:rsid w:val="00682968"/>
    <w:rsid w:val="00687C84"/>
    <w:rsid w:val="00694DC9"/>
    <w:rsid w:val="006A0A38"/>
    <w:rsid w:val="006A4AFD"/>
    <w:rsid w:val="006A692F"/>
    <w:rsid w:val="006A6ABD"/>
    <w:rsid w:val="006A6C58"/>
    <w:rsid w:val="006A7AF8"/>
    <w:rsid w:val="006B76D0"/>
    <w:rsid w:val="006C0F3E"/>
    <w:rsid w:val="006C3520"/>
    <w:rsid w:val="006C4A42"/>
    <w:rsid w:val="006C4DAC"/>
    <w:rsid w:val="006C6075"/>
    <w:rsid w:val="006D49D1"/>
    <w:rsid w:val="006D74A9"/>
    <w:rsid w:val="006E55BE"/>
    <w:rsid w:val="006F017F"/>
    <w:rsid w:val="006F09D9"/>
    <w:rsid w:val="006F0B10"/>
    <w:rsid w:val="006F2D75"/>
    <w:rsid w:val="006F42EA"/>
    <w:rsid w:val="006F4DD4"/>
    <w:rsid w:val="006F579C"/>
    <w:rsid w:val="006F58AA"/>
    <w:rsid w:val="00700B2D"/>
    <w:rsid w:val="007038B3"/>
    <w:rsid w:val="00703A1E"/>
    <w:rsid w:val="00704D47"/>
    <w:rsid w:val="00707005"/>
    <w:rsid w:val="00707F20"/>
    <w:rsid w:val="00711E69"/>
    <w:rsid w:val="00714550"/>
    <w:rsid w:val="007176E1"/>
    <w:rsid w:val="00720084"/>
    <w:rsid w:val="007200ED"/>
    <w:rsid w:val="00721534"/>
    <w:rsid w:val="00724008"/>
    <w:rsid w:val="00726CCA"/>
    <w:rsid w:val="00731508"/>
    <w:rsid w:val="00732E14"/>
    <w:rsid w:val="00733062"/>
    <w:rsid w:val="007372F1"/>
    <w:rsid w:val="00737839"/>
    <w:rsid w:val="00741BA6"/>
    <w:rsid w:val="007437BA"/>
    <w:rsid w:val="00744ADE"/>
    <w:rsid w:val="00745B5F"/>
    <w:rsid w:val="00746BCD"/>
    <w:rsid w:val="007515C6"/>
    <w:rsid w:val="00752D50"/>
    <w:rsid w:val="007539D8"/>
    <w:rsid w:val="00755FBC"/>
    <w:rsid w:val="00757419"/>
    <w:rsid w:val="00762465"/>
    <w:rsid w:val="007640EA"/>
    <w:rsid w:val="0076539D"/>
    <w:rsid w:val="00767BAE"/>
    <w:rsid w:val="007708B0"/>
    <w:rsid w:val="00770CD9"/>
    <w:rsid w:val="00773AD9"/>
    <w:rsid w:val="00774509"/>
    <w:rsid w:val="00776DFA"/>
    <w:rsid w:val="00777358"/>
    <w:rsid w:val="00782CBA"/>
    <w:rsid w:val="00785C04"/>
    <w:rsid w:val="00786D88"/>
    <w:rsid w:val="007917A5"/>
    <w:rsid w:val="00791B9C"/>
    <w:rsid w:val="00793900"/>
    <w:rsid w:val="007A1265"/>
    <w:rsid w:val="007A2303"/>
    <w:rsid w:val="007A2368"/>
    <w:rsid w:val="007A26EA"/>
    <w:rsid w:val="007A2C30"/>
    <w:rsid w:val="007A6D18"/>
    <w:rsid w:val="007A729C"/>
    <w:rsid w:val="007A7C99"/>
    <w:rsid w:val="007B1798"/>
    <w:rsid w:val="007B1A77"/>
    <w:rsid w:val="007B377D"/>
    <w:rsid w:val="007B4DE0"/>
    <w:rsid w:val="007B5D76"/>
    <w:rsid w:val="007B5EA6"/>
    <w:rsid w:val="007B77CF"/>
    <w:rsid w:val="007B7F96"/>
    <w:rsid w:val="007C00E4"/>
    <w:rsid w:val="007C03D4"/>
    <w:rsid w:val="007C13EA"/>
    <w:rsid w:val="007C1867"/>
    <w:rsid w:val="007C1B65"/>
    <w:rsid w:val="007C60F6"/>
    <w:rsid w:val="007D42E9"/>
    <w:rsid w:val="007D657B"/>
    <w:rsid w:val="007D7B79"/>
    <w:rsid w:val="007E0383"/>
    <w:rsid w:val="007E2F3A"/>
    <w:rsid w:val="007E3EA9"/>
    <w:rsid w:val="007E3F1E"/>
    <w:rsid w:val="007E4C8C"/>
    <w:rsid w:val="007F3E2F"/>
    <w:rsid w:val="007F46A3"/>
    <w:rsid w:val="00805EBE"/>
    <w:rsid w:val="00811D6C"/>
    <w:rsid w:val="00813F37"/>
    <w:rsid w:val="00817A6F"/>
    <w:rsid w:val="00820CCD"/>
    <w:rsid w:val="00822A75"/>
    <w:rsid w:val="008237BA"/>
    <w:rsid w:val="008258C7"/>
    <w:rsid w:val="00827083"/>
    <w:rsid w:val="00831252"/>
    <w:rsid w:val="0084180F"/>
    <w:rsid w:val="00842EBF"/>
    <w:rsid w:val="00844C71"/>
    <w:rsid w:val="00844FD0"/>
    <w:rsid w:val="008478EE"/>
    <w:rsid w:val="0085040F"/>
    <w:rsid w:val="00850F2B"/>
    <w:rsid w:val="00860DDA"/>
    <w:rsid w:val="0086634F"/>
    <w:rsid w:val="00871ED8"/>
    <w:rsid w:val="00872997"/>
    <w:rsid w:val="0087685A"/>
    <w:rsid w:val="008819FB"/>
    <w:rsid w:val="0088276C"/>
    <w:rsid w:val="008829C6"/>
    <w:rsid w:val="00886CE5"/>
    <w:rsid w:val="0089006B"/>
    <w:rsid w:val="008908D2"/>
    <w:rsid w:val="008916D5"/>
    <w:rsid w:val="00892D80"/>
    <w:rsid w:val="00895870"/>
    <w:rsid w:val="008A2C90"/>
    <w:rsid w:val="008A5A8D"/>
    <w:rsid w:val="008B0AE4"/>
    <w:rsid w:val="008B0BFB"/>
    <w:rsid w:val="008B1176"/>
    <w:rsid w:val="008B7536"/>
    <w:rsid w:val="008C0FD8"/>
    <w:rsid w:val="008C146A"/>
    <w:rsid w:val="008C4CCA"/>
    <w:rsid w:val="008C5517"/>
    <w:rsid w:val="008D236C"/>
    <w:rsid w:val="008D2689"/>
    <w:rsid w:val="008E0955"/>
    <w:rsid w:val="008E1AFC"/>
    <w:rsid w:val="008E1CBC"/>
    <w:rsid w:val="008E3350"/>
    <w:rsid w:val="008E6379"/>
    <w:rsid w:val="008F636A"/>
    <w:rsid w:val="00900018"/>
    <w:rsid w:val="00901592"/>
    <w:rsid w:val="00910BD6"/>
    <w:rsid w:val="009127CA"/>
    <w:rsid w:val="00912A35"/>
    <w:rsid w:val="0091395C"/>
    <w:rsid w:val="00914717"/>
    <w:rsid w:val="009148BD"/>
    <w:rsid w:val="009154BB"/>
    <w:rsid w:val="009214F9"/>
    <w:rsid w:val="00921DA7"/>
    <w:rsid w:val="00921F1F"/>
    <w:rsid w:val="00921FDD"/>
    <w:rsid w:val="0092272A"/>
    <w:rsid w:val="00924D98"/>
    <w:rsid w:val="00927366"/>
    <w:rsid w:val="009316F9"/>
    <w:rsid w:val="00933636"/>
    <w:rsid w:val="00933EC8"/>
    <w:rsid w:val="00936E3E"/>
    <w:rsid w:val="00936E97"/>
    <w:rsid w:val="009374C4"/>
    <w:rsid w:val="00946B1B"/>
    <w:rsid w:val="00946BD5"/>
    <w:rsid w:val="00951592"/>
    <w:rsid w:val="009636CF"/>
    <w:rsid w:val="009652AF"/>
    <w:rsid w:val="00965D3C"/>
    <w:rsid w:val="00965F16"/>
    <w:rsid w:val="00972BA0"/>
    <w:rsid w:val="00973AE3"/>
    <w:rsid w:val="0098401A"/>
    <w:rsid w:val="00984615"/>
    <w:rsid w:val="009849B2"/>
    <w:rsid w:val="00985395"/>
    <w:rsid w:val="00987044"/>
    <w:rsid w:val="009924E3"/>
    <w:rsid w:val="00996A06"/>
    <w:rsid w:val="00996C84"/>
    <w:rsid w:val="00996CBD"/>
    <w:rsid w:val="0099757A"/>
    <w:rsid w:val="009A0343"/>
    <w:rsid w:val="009A3795"/>
    <w:rsid w:val="009A40C5"/>
    <w:rsid w:val="009A4CED"/>
    <w:rsid w:val="009A555A"/>
    <w:rsid w:val="009B6E1D"/>
    <w:rsid w:val="009C12F2"/>
    <w:rsid w:val="009C1CE4"/>
    <w:rsid w:val="009C2166"/>
    <w:rsid w:val="009C3A34"/>
    <w:rsid w:val="009D0392"/>
    <w:rsid w:val="009D21B9"/>
    <w:rsid w:val="009D51DC"/>
    <w:rsid w:val="009D7659"/>
    <w:rsid w:val="009E088B"/>
    <w:rsid w:val="009E2D3B"/>
    <w:rsid w:val="009F3BC4"/>
    <w:rsid w:val="009F7F08"/>
    <w:rsid w:val="009F7FE4"/>
    <w:rsid w:val="00A00CBA"/>
    <w:rsid w:val="00A0484D"/>
    <w:rsid w:val="00A07540"/>
    <w:rsid w:val="00A07580"/>
    <w:rsid w:val="00A07A76"/>
    <w:rsid w:val="00A121EA"/>
    <w:rsid w:val="00A12781"/>
    <w:rsid w:val="00A128C0"/>
    <w:rsid w:val="00A23021"/>
    <w:rsid w:val="00A30391"/>
    <w:rsid w:val="00A3117F"/>
    <w:rsid w:val="00A315CD"/>
    <w:rsid w:val="00A33112"/>
    <w:rsid w:val="00A35AB1"/>
    <w:rsid w:val="00A3620E"/>
    <w:rsid w:val="00A42178"/>
    <w:rsid w:val="00A43266"/>
    <w:rsid w:val="00A44217"/>
    <w:rsid w:val="00A4497D"/>
    <w:rsid w:val="00A45406"/>
    <w:rsid w:val="00A4588C"/>
    <w:rsid w:val="00A45DE2"/>
    <w:rsid w:val="00A46BB3"/>
    <w:rsid w:val="00A51710"/>
    <w:rsid w:val="00A51E77"/>
    <w:rsid w:val="00A521DC"/>
    <w:rsid w:val="00A53EA5"/>
    <w:rsid w:val="00A548DF"/>
    <w:rsid w:val="00A55C5D"/>
    <w:rsid w:val="00A65E3D"/>
    <w:rsid w:val="00A6636B"/>
    <w:rsid w:val="00A66C97"/>
    <w:rsid w:val="00A71236"/>
    <w:rsid w:val="00A71DE5"/>
    <w:rsid w:val="00A72FA0"/>
    <w:rsid w:val="00A76FEB"/>
    <w:rsid w:val="00A77476"/>
    <w:rsid w:val="00A8278A"/>
    <w:rsid w:val="00A84844"/>
    <w:rsid w:val="00A8596B"/>
    <w:rsid w:val="00A864D0"/>
    <w:rsid w:val="00A90235"/>
    <w:rsid w:val="00A9608B"/>
    <w:rsid w:val="00AA251B"/>
    <w:rsid w:val="00AA3AFC"/>
    <w:rsid w:val="00AA40FA"/>
    <w:rsid w:val="00AA7D78"/>
    <w:rsid w:val="00AB0325"/>
    <w:rsid w:val="00AB2CBF"/>
    <w:rsid w:val="00AB3B45"/>
    <w:rsid w:val="00AB49E0"/>
    <w:rsid w:val="00AB5AC6"/>
    <w:rsid w:val="00AB656D"/>
    <w:rsid w:val="00AC02F4"/>
    <w:rsid w:val="00AC2873"/>
    <w:rsid w:val="00AC494B"/>
    <w:rsid w:val="00AC5039"/>
    <w:rsid w:val="00AC74ED"/>
    <w:rsid w:val="00AD3344"/>
    <w:rsid w:val="00AD37B3"/>
    <w:rsid w:val="00AD3B79"/>
    <w:rsid w:val="00AD3EF4"/>
    <w:rsid w:val="00AE15A5"/>
    <w:rsid w:val="00AE350B"/>
    <w:rsid w:val="00AE443D"/>
    <w:rsid w:val="00AF252E"/>
    <w:rsid w:val="00AF2A57"/>
    <w:rsid w:val="00AF5300"/>
    <w:rsid w:val="00AF6758"/>
    <w:rsid w:val="00AF6A51"/>
    <w:rsid w:val="00AF7A7E"/>
    <w:rsid w:val="00B00F31"/>
    <w:rsid w:val="00B0279D"/>
    <w:rsid w:val="00B02CBB"/>
    <w:rsid w:val="00B03268"/>
    <w:rsid w:val="00B069F7"/>
    <w:rsid w:val="00B10B21"/>
    <w:rsid w:val="00B12FED"/>
    <w:rsid w:val="00B16D58"/>
    <w:rsid w:val="00B174B9"/>
    <w:rsid w:val="00B22617"/>
    <w:rsid w:val="00B22C51"/>
    <w:rsid w:val="00B24D2E"/>
    <w:rsid w:val="00B25E30"/>
    <w:rsid w:val="00B25E57"/>
    <w:rsid w:val="00B26921"/>
    <w:rsid w:val="00B269FB"/>
    <w:rsid w:val="00B35578"/>
    <w:rsid w:val="00B3755B"/>
    <w:rsid w:val="00B41904"/>
    <w:rsid w:val="00B467B3"/>
    <w:rsid w:val="00B4689A"/>
    <w:rsid w:val="00B47A54"/>
    <w:rsid w:val="00B50909"/>
    <w:rsid w:val="00B533CB"/>
    <w:rsid w:val="00B60BC7"/>
    <w:rsid w:val="00B61B75"/>
    <w:rsid w:val="00B64231"/>
    <w:rsid w:val="00B67420"/>
    <w:rsid w:val="00B70A22"/>
    <w:rsid w:val="00B739D9"/>
    <w:rsid w:val="00B73F0F"/>
    <w:rsid w:val="00B771D7"/>
    <w:rsid w:val="00B80852"/>
    <w:rsid w:val="00B81D74"/>
    <w:rsid w:val="00B835E8"/>
    <w:rsid w:val="00B84392"/>
    <w:rsid w:val="00B9187A"/>
    <w:rsid w:val="00B91CA1"/>
    <w:rsid w:val="00BA00BE"/>
    <w:rsid w:val="00BA197B"/>
    <w:rsid w:val="00BA4998"/>
    <w:rsid w:val="00BA5B93"/>
    <w:rsid w:val="00BA6737"/>
    <w:rsid w:val="00BB1CAD"/>
    <w:rsid w:val="00BB1E35"/>
    <w:rsid w:val="00BB20E2"/>
    <w:rsid w:val="00BB412D"/>
    <w:rsid w:val="00BB6E67"/>
    <w:rsid w:val="00BB6FC3"/>
    <w:rsid w:val="00BC021C"/>
    <w:rsid w:val="00BC7E38"/>
    <w:rsid w:val="00BD158A"/>
    <w:rsid w:val="00BD21FA"/>
    <w:rsid w:val="00BD78C4"/>
    <w:rsid w:val="00BD7EDB"/>
    <w:rsid w:val="00BE0FCE"/>
    <w:rsid w:val="00BE1696"/>
    <w:rsid w:val="00BE1F4D"/>
    <w:rsid w:val="00BE2A1B"/>
    <w:rsid w:val="00BE2F30"/>
    <w:rsid w:val="00BE34EC"/>
    <w:rsid w:val="00BE5B13"/>
    <w:rsid w:val="00BE7AAF"/>
    <w:rsid w:val="00BF0986"/>
    <w:rsid w:val="00BF1D1D"/>
    <w:rsid w:val="00BF6EA7"/>
    <w:rsid w:val="00BF7A06"/>
    <w:rsid w:val="00BF7D22"/>
    <w:rsid w:val="00C01D51"/>
    <w:rsid w:val="00C03140"/>
    <w:rsid w:val="00C040F8"/>
    <w:rsid w:val="00C04645"/>
    <w:rsid w:val="00C0476D"/>
    <w:rsid w:val="00C052FB"/>
    <w:rsid w:val="00C065CA"/>
    <w:rsid w:val="00C06FAE"/>
    <w:rsid w:val="00C16FBA"/>
    <w:rsid w:val="00C205C6"/>
    <w:rsid w:val="00C20DAC"/>
    <w:rsid w:val="00C26825"/>
    <w:rsid w:val="00C30FC7"/>
    <w:rsid w:val="00C3139A"/>
    <w:rsid w:val="00C31FFF"/>
    <w:rsid w:val="00C335D7"/>
    <w:rsid w:val="00C350A2"/>
    <w:rsid w:val="00C36F1A"/>
    <w:rsid w:val="00C40750"/>
    <w:rsid w:val="00C424E2"/>
    <w:rsid w:val="00C426C6"/>
    <w:rsid w:val="00C433D4"/>
    <w:rsid w:val="00C43AC6"/>
    <w:rsid w:val="00C4470B"/>
    <w:rsid w:val="00C44E14"/>
    <w:rsid w:val="00C45112"/>
    <w:rsid w:val="00C50526"/>
    <w:rsid w:val="00C510D3"/>
    <w:rsid w:val="00C5292B"/>
    <w:rsid w:val="00C56EB8"/>
    <w:rsid w:val="00C570CA"/>
    <w:rsid w:val="00C57A90"/>
    <w:rsid w:val="00C6024A"/>
    <w:rsid w:val="00C62B6C"/>
    <w:rsid w:val="00C6348B"/>
    <w:rsid w:val="00C652F0"/>
    <w:rsid w:val="00C65514"/>
    <w:rsid w:val="00C66547"/>
    <w:rsid w:val="00C665D2"/>
    <w:rsid w:val="00C70FCF"/>
    <w:rsid w:val="00C73A56"/>
    <w:rsid w:val="00C74DFA"/>
    <w:rsid w:val="00C74F2C"/>
    <w:rsid w:val="00C752BC"/>
    <w:rsid w:val="00C7731A"/>
    <w:rsid w:val="00C80E79"/>
    <w:rsid w:val="00C818F7"/>
    <w:rsid w:val="00C81E39"/>
    <w:rsid w:val="00C825CD"/>
    <w:rsid w:val="00C83315"/>
    <w:rsid w:val="00C834E6"/>
    <w:rsid w:val="00C84905"/>
    <w:rsid w:val="00C87D25"/>
    <w:rsid w:val="00C950C2"/>
    <w:rsid w:val="00CA0AA8"/>
    <w:rsid w:val="00CA1568"/>
    <w:rsid w:val="00CA1857"/>
    <w:rsid w:val="00CA56F6"/>
    <w:rsid w:val="00CA5A80"/>
    <w:rsid w:val="00CB064C"/>
    <w:rsid w:val="00CB1F20"/>
    <w:rsid w:val="00CB4C30"/>
    <w:rsid w:val="00CB6A35"/>
    <w:rsid w:val="00CB6F8C"/>
    <w:rsid w:val="00CB7126"/>
    <w:rsid w:val="00CB77C6"/>
    <w:rsid w:val="00CC70C8"/>
    <w:rsid w:val="00CD123B"/>
    <w:rsid w:val="00CD2002"/>
    <w:rsid w:val="00CD32B3"/>
    <w:rsid w:val="00CD449E"/>
    <w:rsid w:val="00CD5AC1"/>
    <w:rsid w:val="00CD6CF9"/>
    <w:rsid w:val="00CD75DA"/>
    <w:rsid w:val="00CE177B"/>
    <w:rsid w:val="00CE250C"/>
    <w:rsid w:val="00CE7B9D"/>
    <w:rsid w:val="00CF0376"/>
    <w:rsid w:val="00CF1438"/>
    <w:rsid w:val="00CF33A2"/>
    <w:rsid w:val="00D035A7"/>
    <w:rsid w:val="00D03F8A"/>
    <w:rsid w:val="00D05F08"/>
    <w:rsid w:val="00D07ACB"/>
    <w:rsid w:val="00D102A9"/>
    <w:rsid w:val="00D13442"/>
    <w:rsid w:val="00D143E1"/>
    <w:rsid w:val="00D24E80"/>
    <w:rsid w:val="00D25FC3"/>
    <w:rsid w:val="00D31102"/>
    <w:rsid w:val="00D312DD"/>
    <w:rsid w:val="00D35D89"/>
    <w:rsid w:val="00D363A7"/>
    <w:rsid w:val="00D54BA7"/>
    <w:rsid w:val="00D56F97"/>
    <w:rsid w:val="00D621FE"/>
    <w:rsid w:val="00D736BD"/>
    <w:rsid w:val="00D736D7"/>
    <w:rsid w:val="00D74D85"/>
    <w:rsid w:val="00D7604A"/>
    <w:rsid w:val="00D80A4C"/>
    <w:rsid w:val="00D80BAB"/>
    <w:rsid w:val="00D83EA1"/>
    <w:rsid w:val="00D85C47"/>
    <w:rsid w:val="00D85F19"/>
    <w:rsid w:val="00D86EA6"/>
    <w:rsid w:val="00D92AEB"/>
    <w:rsid w:val="00D940B6"/>
    <w:rsid w:val="00D94AD2"/>
    <w:rsid w:val="00D959D7"/>
    <w:rsid w:val="00D96458"/>
    <w:rsid w:val="00DA15F0"/>
    <w:rsid w:val="00DA25BB"/>
    <w:rsid w:val="00DA4605"/>
    <w:rsid w:val="00DA5118"/>
    <w:rsid w:val="00DB085C"/>
    <w:rsid w:val="00DB158A"/>
    <w:rsid w:val="00DB2FD2"/>
    <w:rsid w:val="00DB4527"/>
    <w:rsid w:val="00DC4713"/>
    <w:rsid w:val="00DC6F38"/>
    <w:rsid w:val="00DC6F77"/>
    <w:rsid w:val="00DD1513"/>
    <w:rsid w:val="00DD280F"/>
    <w:rsid w:val="00DD2B26"/>
    <w:rsid w:val="00DD306A"/>
    <w:rsid w:val="00DD33AE"/>
    <w:rsid w:val="00DD6FEB"/>
    <w:rsid w:val="00DE2DAB"/>
    <w:rsid w:val="00DE2FB6"/>
    <w:rsid w:val="00DE4C40"/>
    <w:rsid w:val="00DE4E67"/>
    <w:rsid w:val="00DE70B0"/>
    <w:rsid w:val="00DF3092"/>
    <w:rsid w:val="00DF439C"/>
    <w:rsid w:val="00DF48B1"/>
    <w:rsid w:val="00DF48CE"/>
    <w:rsid w:val="00DF5C7F"/>
    <w:rsid w:val="00E00D89"/>
    <w:rsid w:val="00E0563E"/>
    <w:rsid w:val="00E05AEF"/>
    <w:rsid w:val="00E06963"/>
    <w:rsid w:val="00E06C0D"/>
    <w:rsid w:val="00E07025"/>
    <w:rsid w:val="00E072D6"/>
    <w:rsid w:val="00E076FF"/>
    <w:rsid w:val="00E125FC"/>
    <w:rsid w:val="00E13686"/>
    <w:rsid w:val="00E16A05"/>
    <w:rsid w:val="00E171AC"/>
    <w:rsid w:val="00E20B6E"/>
    <w:rsid w:val="00E220ED"/>
    <w:rsid w:val="00E2211F"/>
    <w:rsid w:val="00E22B2C"/>
    <w:rsid w:val="00E22C01"/>
    <w:rsid w:val="00E2390B"/>
    <w:rsid w:val="00E23FC2"/>
    <w:rsid w:val="00E27D1D"/>
    <w:rsid w:val="00E30EEE"/>
    <w:rsid w:val="00E3153A"/>
    <w:rsid w:val="00E318E7"/>
    <w:rsid w:val="00E320B8"/>
    <w:rsid w:val="00E33199"/>
    <w:rsid w:val="00E35A6C"/>
    <w:rsid w:val="00E41BF3"/>
    <w:rsid w:val="00E426D2"/>
    <w:rsid w:val="00E432F4"/>
    <w:rsid w:val="00E44A98"/>
    <w:rsid w:val="00E46288"/>
    <w:rsid w:val="00E47C1B"/>
    <w:rsid w:val="00E50850"/>
    <w:rsid w:val="00E5322C"/>
    <w:rsid w:val="00E6059E"/>
    <w:rsid w:val="00E60DB3"/>
    <w:rsid w:val="00E61DF9"/>
    <w:rsid w:val="00E708D7"/>
    <w:rsid w:val="00E716F2"/>
    <w:rsid w:val="00E7306E"/>
    <w:rsid w:val="00E730F1"/>
    <w:rsid w:val="00E740F2"/>
    <w:rsid w:val="00E76430"/>
    <w:rsid w:val="00E81898"/>
    <w:rsid w:val="00E83924"/>
    <w:rsid w:val="00E8470A"/>
    <w:rsid w:val="00E8624D"/>
    <w:rsid w:val="00E90CE2"/>
    <w:rsid w:val="00E91AE5"/>
    <w:rsid w:val="00E91E57"/>
    <w:rsid w:val="00E924B0"/>
    <w:rsid w:val="00E92EE9"/>
    <w:rsid w:val="00E92F88"/>
    <w:rsid w:val="00E93F8B"/>
    <w:rsid w:val="00E952F2"/>
    <w:rsid w:val="00E97798"/>
    <w:rsid w:val="00EA2A58"/>
    <w:rsid w:val="00EA324C"/>
    <w:rsid w:val="00EB0736"/>
    <w:rsid w:val="00EB1DD3"/>
    <w:rsid w:val="00EB31D5"/>
    <w:rsid w:val="00EB3EF0"/>
    <w:rsid w:val="00EB6890"/>
    <w:rsid w:val="00EC1028"/>
    <w:rsid w:val="00EC3F00"/>
    <w:rsid w:val="00EC4041"/>
    <w:rsid w:val="00EC50A0"/>
    <w:rsid w:val="00EC5C9C"/>
    <w:rsid w:val="00EC63CC"/>
    <w:rsid w:val="00EC64EB"/>
    <w:rsid w:val="00EC7393"/>
    <w:rsid w:val="00ED0541"/>
    <w:rsid w:val="00ED11B5"/>
    <w:rsid w:val="00ED1854"/>
    <w:rsid w:val="00ED2D56"/>
    <w:rsid w:val="00EE2906"/>
    <w:rsid w:val="00EE4AAA"/>
    <w:rsid w:val="00EF2546"/>
    <w:rsid w:val="00EF3BE0"/>
    <w:rsid w:val="00EF6C89"/>
    <w:rsid w:val="00EF6C95"/>
    <w:rsid w:val="00EF72D4"/>
    <w:rsid w:val="00F10435"/>
    <w:rsid w:val="00F13F6B"/>
    <w:rsid w:val="00F15D05"/>
    <w:rsid w:val="00F16D8B"/>
    <w:rsid w:val="00F22112"/>
    <w:rsid w:val="00F2607C"/>
    <w:rsid w:val="00F30154"/>
    <w:rsid w:val="00F32BF2"/>
    <w:rsid w:val="00F34A12"/>
    <w:rsid w:val="00F35FE0"/>
    <w:rsid w:val="00F37BD5"/>
    <w:rsid w:val="00F40B8C"/>
    <w:rsid w:val="00F4275E"/>
    <w:rsid w:val="00F43E1E"/>
    <w:rsid w:val="00F50A1A"/>
    <w:rsid w:val="00F5318F"/>
    <w:rsid w:val="00F56305"/>
    <w:rsid w:val="00F629A8"/>
    <w:rsid w:val="00F67C83"/>
    <w:rsid w:val="00F7091A"/>
    <w:rsid w:val="00F75472"/>
    <w:rsid w:val="00F77C66"/>
    <w:rsid w:val="00F81036"/>
    <w:rsid w:val="00F81FCA"/>
    <w:rsid w:val="00F83C85"/>
    <w:rsid w:val="00F8650A"/>
    <w:rsid w:val="00F91CA8"/>
    <w:rsid w:val="00FA2310"/>
    <w:rsid w:val="00FA2DC3"/>
    <w:rsid w:val="00FA33E6"/>
    <w:rsid w:val="00FA3E82"/>
    <w:rsid w:val="00FA5D6F"/>
    <w:rsid w:val="00FB2473"/>
    <w:rsid w:val="00FB2796"/>
    <w:rsid w:val="00FB2AE8"/>
    <w:rsid w:val="00FB2E5A"/>
    <w:rsid w:val="00FB533F"/>
    <w:rsid w:val="00FB7AAE"/>
    <w:rsid w:val="00FC5D8D"/>
    <w:rsid w:val="00FD216F"/>
    <w:rsid w:val="00FD690B"/>
    <w:rsid w:val="00FD6ABA"/>
    <w:rsid w:val="00FD7489"/>
    <w:rsid w:val="00FE21C2"/>
    <w:rsid w:val="00FE4E5A"/>
    <w:rsid w:val="00FF0662"/>
    <w:rsid w:val="00FF4ED5"/>
    <w:rsid w:val="00FF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5B8AFE8"/>
  <w15:chartTrackingRefBased/>
  <w15:docId w15:val="{E05B719B-5065-4EE9-981C-7B7107A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40"/>
    <w:rPr>
      <w:sz w:val="24"/>
      <w:szCs w:val="24"/>
      <w:lang w:val="is-IS" w:eastAsia="en-US"/>
    </w:rPr>
  </w:style>
  <w:style w:type="paragraph" w:styleId="Heading1">
    <w:name w:val="heading 1"/>
    <w:basedOn w:val="Normal"/>
    <w:next w:val="Text"/>
    <w:qFormat/>
    <w:pPr>
      <w:keepNext/>
      <w:keepLines/>
      <w:spacing w:before="360"/>
      <w:ind w:left="851" w:hanging="851"/>
      <w:outlineLvl w:val="0"/>
    </w:pPr>
    <w:rPr>
      <w:rFonts w:ascii="Arial" w:hAnsi="Arial"/>
      <w:b/>
      <w:sz w:val="28"/>
      <w:szCs w:val="20"/>
      <w:lang w:val="en-GB"/>
    </w:rPr>
  </w:style>
  <w:style w:type="paragraph" w:styleId="Heading2">
    <w:name w:val="heading 2"/>
    <w:basedOn w:val="Normal"/>
    <w:next w:val="Text"/>
    <w:qFormat/>
    <w:pPr>
      <w:keepNext/>
      <w:keepLines/>
      <w:spacing w:before="240"/>
      <w:ind w:left="851" w:hanging="851"/>
      <w:outlineLvl w:val="1"/>
    </w:pPr>
    <w:rPr>
      <w:rFonts w:ascii="Arial" w:hAnsi="Arial"/>
      <w:b/>
      <w:sz w:val="26"/>
      <w:szCs w:val="20"/>
      <w:lang w:val="en-GB"/>
    </w:rPr>
  </w:style>
  <w:style w:type="paragraph" w:styleId="Heading3">
    <w:name w:val="heading 3"/>
    <w:basedOn w:val="Normal"/>
    <w:next w:val="Normal"/>
    <w:qFormat/>
    <w:pPr>
      <w:keepNext/>
      <w:outlineLvl w:val="2"/>
    </w:pPr>
    <w:rPr>
      <w:sz w:val="22"/>
      <w:u w:val="single"/>
    </w:rPr>
  </w:style>
  <w:style w:type="paragraph" w:styleId="Heading4">
    <w:name w:val="heading 4"/>
    <w:basedOn w:val="Normal"/>
    <w:next w:val="Text"/>
    <w:qFormat/>
    <w:pPr>
      <w:keepNext/>
      <w:keepLines/>
      <w:spacing w:before="240"/>
      <w:outlineLvl w:val="3"/>
    </w:pPr>
    <w:rPr>
      <w:rFonts w:ascii="Arial" w:hAnsi="Arial"/>
      <w:b/>
      <w:sz w:val="22"/>
      <w:szCs w:val="20"/>
      <w:lang w:val="en-GB"/>
    </w:rPr>
  </w:style>
  <w:style w:type="paragraph" w:styleId="Heading5">
    <w:name w:val="heading 5"/>
    <w:basedOn w:val="Heading4"/>
    <w:next w:val="Text"/>
    <w:qFormat/>
    <w:pPr>
      <w:outlineLvl w:val="4"/>
    </w:pPr>
    <w:rPr>
      <w:b w:val="0"/>
    </w:rPr>
  </w:style>
  <w:style w:type="paragraph" w:styleId="Heading6">
    <w:name w:val="heading 6"/>
    <w:basedOn w:val="Normal"/>
    <w:next w:val="Normal"/>
    <w:qFormat/>
    <w:pPr>
      <w:keepNext/>
      <w:jc w:val="center"/>
      <w:outlineLvl w:val="5"/>
    </w:pPr>
    <w:rPr>
      <w:b/>
      <w:bCs/>
      <w:sz w:val="22"/>
    </w:rPr>
  </w:style>
  <w:style w:type="paragraph" w:styleId="Heading8">
    <w:name w:val="heading 8"/>
    <w:basedOn w:val="Normal"/>
    <w:next w:val="Normal"/>
    <w:qFormat/>
    <w:pPr>
      <w:keepNext/>
      <w:ind w:right="-449"/>
      <w:outlineLvl w:val="7"/>
    </w:pPr>
    <w:rPr>
      <w:sz w:val="22"/>
      <w:szCs w:val="20"/>
      <w:u w:val="single"/>
      <w:lang w:val="en-GB"/>
    </w:rPr>
  </w:style>
  <w:style w:type="paragraph" w:styleId="Heading9">
    <w:name w:val="heading 9"/>
    <w:basedOn w:val="Normal"/>
    <w:next w:val="Normal"/>
    <w:qFormat/>
    <w:pPr>
      <w:keepNext/>
      <w:ind w:right="-2"/>
      <w:outlineLvl w:val="8"/>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jc w:val="both"/>
    </w:pPr>
    <w:rPr>
      <w:szCs w:val="20"/>
      <w:lang w:val="en-GB"/>
    </w:rPr>
  </w:style>
  <w:style w:type="paragraph" w:styleId="EndnoteText">
    <w:name w:val="endnote text"/>
    <w:basedOn w:val="Normal"/>
    <w:link w:val="EndnoteTextChar"/>
    <w:semiHidden/>
    <w:pPr>
      <w:spacing w:before="80" w:after="60"/>
      <w:ind w:left="907" w:hanging="907"/>
    </w:pPr>
    <w:rPr>
      <w:szCs w:val="20"/>
      <w:lang w:val="en-GB"/>
    </w:rPr>
  </w:style>
  <w:style w:type="paragraph" w:customStyle="1" w:styleId="Authors">
    <w:name w:val="Authors"/>
    <w:basedOn w:val="Normal"/>
    <w:pPr>
      <w:keepNext/>
      <w:spacing w:before="240"/>
    </w:pPr>
    <w:rPr>
      <w:rFonts w:ascii="Arial" w:hAnsi="Arial"/>
      <w:sz w:val="22"/>
      <w:szCs w:val="20"/>
      <w:lang w:val="en-GB"/>
    </w:rPr>
  </w:style>
  <w:style w:type="paragraph" w:styleId="Header">
    <w:name w:val="header"/>
    <w:basedOn w:val="Normal"/>
    <w:pPr>
      <w:widowControl w:val="0"/>
      <w:tabs>
        <w:tab w:val="center" w:pos="4542"/>
        <w:tab w:val="right" w:pos="9078"/>
      </w:tabs>
    </w:pPr>
    <w:rPr>
      <w:rFonts w:ascii="Arial" w:hAnsi="Arial"/>
      <w:sz w:val="20"/>
      <w:szCs w:val="20"/>
      <w:lang w:val="en-GB"/>
    </w:rPr>
  </w:style>
  <w:style w:type="paragraph" w:styleId="BodyText">
    <w:name w:val="Body Text"/>
    <w:basedOn w:val="Normal"/>
    <w:pPr>
      <w:overflowPunct w:val="0"/>
      <w:autoSpaceDE w:val="0"/>
      <w:autoSpaceDN w:val="0"/>
      <w:adjustRightInd w:val="0"/>
      <w:ind w:right="-2"/>
      <w:textAlignment w:val="baseline"/>
    </w:pPr>
    <w:rPr>
      <w:b/>
      <w:sz w:val="22"/>
      <w:szCs w:val="20"/>
    </w:rPr>
  </w:style>
  <w:style w:type="paragraph" w:styleId="BodyText2">
    <w:name w:val="Body Text 2"/>
    <w:basedOn w:val="Normal"/>
    <w:pPr>
      <w:overflowPunct w:val="0"/>
      <w:autoSpaceDE w:val="0"/>
      <w:autoSpaceDN w:val="0"/>
      <w:adjustRightInd w:val="0"/>
      <w:ind w:right="-449"/>
      <w:textAlignment w:val="baseline"/>
    </w:pPr>
    <w:rPr>
      <w:sz w:val="22"/>
      <w:szCs w:val="20"/>
    </w:rPr>
  </w:style>
  <w:style w:type="paragraph" w:styleId="BodyTextIndent">
    <w:name w:val="Body Text Indent"/>
    <w:basedOn w:val="Normal"/>
    <w:pPr>
      <w:overflowPunct w:val="0"/>
      <w:autoSpaceDE w:val="0"/>
      <w:autoSpaceDN w:val="0"/>
      <w:adjustRightInd w:val="0"/>
      <w:ind w:left="284"/>
      <w:textAlignment w:val="baseline"/>
      <w:outlineLvl w:val="0"/>
    </w:pPr>
    <w:rPr>
      <w:sz w:val="22"/>
      <w:szCs w:val="20"/>
    </w:rPr>
  </w:style>
  <w:style w:type="paragraph" w:styleId="BodyTextIndent3">
    <w:name w:val="Body Text Indent 3"/>
    <w:basedOn w:val="Normal"/>
    <w:pPr>
      <w:ind w:left="567" w:hanging="567"/>
    </w:pPr>
    <w:rPr>
      <w:b/>
      <w:sz w:val="22"/>
      <w:szCs w:val="20"/>
      <w:lang w:val="en-GB"/>
    </w:rPr>
  </w:style>
  <w:style w:type="paragraph" w:styleId="Title">
    <w:name w:val="Title"/>
    <w:basedOn w:val="Normal"/>
    <w:qFormat/>
    <w:pPr>
      <w:jc w:val="center"/>
      <w:outlineLvl w:val="0"/>
    </w:pPr>
    <w:rPr>
      <w:b/>
      <w:sz w:val="2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3">
    <w:name w:val="Body Text 3"/>
    <w:basedOn w:val="Normal"/>
    <w:pPr>
      <w:ind w:right="-2"/>
    </w:pPr>
    <w:rPr>
      <w:sz w:val="22"/>
      <w:szCs w:val="20"/>
    </w:rPr>
  </w:style>
  <w:style w:type="paragraph" w:styleId="BlockText">
    <w:name w:val="Block Text"/>
    <w:basedOn w:val="Normal"/>
    <w:pPr>
      <w:widowControl w:val="0"/>
      <w:ind w:left="567" w:right="-2" w:hanging="567"/>
    </w:pPr>
    <w:rPr>
      <w:sz w:val="22"/>
      <w:szCs w:val="22"/>
    </w:rPr>
  </w:style>
  <w:style w:type="character" w:customStyle="1" w:styleId="TextChar">
    <w:name w:val="Text Char"/>
    <w:rPr>
      <w:sz w:val="24"/>
      <w:lang w:val="en-GB" w:eastAsia="en-US" w:bidi="ar-SA"/>
    </w:rPr>
  </w:style>
  <w:style w:type="table" w:styleId="TableGrid">
    <w:name w:val="Table Grid"/>
    <w:basedOn w:val="TableNormal"/>
    <w:rsid w:val="00682968"/>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aliases w:val="Comment Text Char1 Char,Comment Text Char Char Char,Comment Text Char1"/>
    <w:basedOn w:val="Normal"/>
    <w:link w:val="CommentTextChar"/>
    <w:rPr>
      <w:sz w:val="20"/>
      <w:szCs w:val="20"/>
    </w:rPr>
  </w:style>
  <w:style w:type="paragraph" w:styleId="CommentSubject">
    <w:name w:val="annotation subject"/>
    <w:basedOn w:val="CommentText"/>
    <w:next w:val="CommentText"/>
    <w:semiHidden/>
    <w:rPr>
      <w:b/>
      <w:bCs/>
    </w:rPr>
  </w:style>
  <w:style w:type="paragraph" w:customStyle="1" w:styleId="Table">
    <w:name w:val="Table"/>
    <w:basedOn w:val="Normal"/>
    <w:pPr>
      <w:keepNext/>
      <w:keepLines/>
      <w:tabs>
        <w:tab w:val="left" w:pos="284"/>
      </w:tabs>
      <w:spacing w:before="40" w:after="20"/>
    </w:pPr>
    <w:rPr>
      <w:rFonts w:ascii="Arial" w:hAnsi="Arial"/>
      <w:sz w:val="20"/>
      <w:szCs w:val="20"/>
    </w:rPr>
  </w:style>
  <w:style w:type="character" w:customStyle="1" w:styleId="TableChar">
    <w:name w:val="Table Char"/>
    <w:rPr>
      <w:rFonts w:ascii="Arial" w:hAnsi="Arial"/>
      <w:lang w:val="en-US" w:eastAsia="en-US" w:bidi="ar-SA"/>
    </w:rPr>
  </w:style>
  <w:style w:type="paragraph" w:customStyle="1" w:styleId="Listlevel1">
    <w:name w:val="List level 1"/>
    <w:basedOn w:val="Normal"/>
    <w:pPr>
      <w:spacing w:before="40" w:after="20"/>
      <w:ind w:left="425" w:hanging="425"/>
    </w:pPr>
    <w:rPr>
      <w:szCs w:val="20"/>
    </w:rPr>
  </w:style>
  <w:style w:type="character" w:customStyle="1" w:styleId="Char">
    <w:name w:val="Char"/>
    <w:rPr>
      <w:sz w:val="24"/>
      <w:lang w:val="en-GB" w:eastAsia="en-US" w:bidi="ar-SA"/>
    </w:rPr>
  </w:style>
  <w:style w:type="paragraph" w:customStyle="1" w:styleId="Style">
    <w:name w:val="Style"/>
    <w:basedOn w:val="Normal"/>
    <w:rsid w:val="00886CE5"/>
    <w:pPr>
      <w:spacing w:after="160" w:line="240" w:lineRule="exact"/>
    </w:pPr>
    <w:rPr>
      <w:rFonts w:ascii="Verdana" w:hAnsi="Verdana" w:cs="Verdana"/>
      <w:sz w:val="20"/>
      <w:szCs w:val="20"/>
      <w:lang w:val="en-GB"/>
    </w:rPr>
  </w:style>
  <w:style w:type="paragraph" w:styleId="Revision">
    <w:name w:val="Revision"/>
    <w:hidden/>
    <w:uiPriority w:val="99"/>
    <w:semiHidden/>
    <w:rsid w:val="008D236C"/>
    <w:rPr>
      <w:sz w:val="24"/>
      <w:szCs w:val="24"/>
      <w:lang w:val="en-US" w:eastAsia="en-US"/>
    </w:rPr>
  </w:style>
  <w:style w:type="character" w:styleId="Hyperlink">
    <w:name w:val="Hyperlink"/>
    <w:uiPriority w:val="99"/>
    <w:unhideWhenUsed/>
    <w:rsid w:val="002E1E3D"/>
    <w:rPr>
      <w:color w:val="0000FF"/>
      <w:u w:val="single"/>
    </w:rPr>
  </w:style>
  <w:style w:type="character" w:customStyle="1" w:styleId="CommentTextChar">
    <w:name w:val="Comment Text Char"/>
    <w:aliases w:val="Comment Text Char1 Char Char,Comment Text Char Char Char Char,Comment Text Char1 Char1"/>
    <w:link w:val="CommentText"/>
    <w:uiPriority w:val="99"/>
    <w:rsid w:val="00A07540"/>
  </w:style>
  <w:style w:type="character" w:customStyle="1" w:styleId="searchresultinfo1">
    <w:name w:val="searchresultinfo1"/>
    <w:rsid w:val="00BB6FC3"/>
    <w:rPr>
      <w:rFonts w:ascii="Verdana" w:hAnsi="Verdana" w:hint="default"/>
      <w:color w:val="666666"/>
      <w:sz w:val="18"/>
      <w:szCs w:val="18"/>
    </w:rPr>
  </w:style>
  <w:style w:type="character" w:styleId="FollowedHyperlink">
    <w:name w:val="FollowedHyperlink"/>
    <w:uiPriority w:val="99"/>
    <w:semiHidden/>
    <w:unhideWhenUsed/>
    <w:rsid w:val="00965F16"/>
    <w:rPr>
      <w:color w:val="800080"/>
      <w:u w:val="single"/>
    </w:rPr>
  </w:style>
  <w:style w:type="paragraph" w:styleId="NormalWeb">
    <w:name w:val="Normal (Web)"/>
    <w:basedOn w:val="Normal"/>
    <w:uiPriority w:val="99"/>
    <w:rsid w:val="00FB2E5A"/>
    <w:pPr>
      <w:spacing w:before="100" w:beforeAutospacing="1" w:after="100" w:afterAutospacing="1"/>
    </w:pPr>
    <w:rPr>
      <w:lang w:val="en-GB"/>
    </w:rPr>
  </w:style>
  <w:style w:type="character" w:customStyle="1" w:styleId="EndnoteTextChar">
    <w:name w:val="Endnote Text Char"/>
    <w:link w:val="EndnoteText"/>
    <w:semiHidden/>
    <w:rsid w:val="00D35D89"/>
    <w:rPr>
      <w:sz w:val="24"/>
      <w:lang w:val="en-GB" w:eastAsia="en-US"/>
    </w:rPr>
  </w:style>
  <w:style w:type="character" w:customStyle="1" w:styleId="content">
    <w:name w:val="content"/>
    <w:rsid w:val="00BD78C4"/>
  </w:style>
  <w:style w:type="character" w:styleId="Strong">
    <w:name w:val="Strong"/>
    <w:uiPriority w:val="22"/>
    <w:qFormat/>
    <w:rsid w:val="00BD78C4"/>
    <w:rPr>
      <w:b/>
      <w:bCs/>
    </w:rPr>
  </w:style>
  <w:style w:type="paragraph" w:customStyle="1" w:styleId="BodytextAgency">
    <w:name w:val="Body text (Agency)"/>
    <w:basedOn w:val="Normal"/>
    <w:link w:val="BodytextAgencyChar"/>
    <w:qFormat/>
    <w:rsid w:val="005D3C58"/>
    <w:pPr>
      <w:spacing w:after="140" w:line="280" w:lineRule="atLeast"/>
    </w:pPr>
    <w:rPr>
      <w:rFonts w:ascii="Verdana" w:hAnsi="Verdana"/>
      <w:snapToGrid w:val="0"/>
      <w:sz w:val="18"/>
      <w:szCs w:val="20"/>
      <w:lang w:val="en-GB" w:eastAsia="en-GB"/>
    </w:rPr>
  </w:style>
  <w:style w:type="paragraph" w:customStyle="1" w:styleId="No-numheading3Agency">
    <w:name w:val="No-num heading 3 (Agency)"/>
    <w:basedOn w:val="Normal"/>
    <w:next w:val="BodytextAgency"/>
    <w:rsid w:val="005D3C58"/>
    <w:pPr>
      <w:keepNext/>
      <w:spacing w:before="280" w:after="220"/>
      <w:outlineLvl w:val="2"/>
    </w:pPr>
    <w:rPr>
      <w:rFonts w:ascii="Verdana" w:hAnsi="Verdana"/>
      <w:b/>
      <w:snapToGrid w:val="0"/>
      <w:kern w:val="32"/>
      <w:sz w:val="22"/>
      <w:szCs w:val="20"/>
      <w:lang w:val="en-GB" w:eastAsia="en-GB"/>
    </w:rPr>
  </w:style>
  <w:style w:type="character" w:customStyle="1" w:styleId="BodytextAgencyChar">
    <w:name w:val="Body text (Agency) Char"/>
    <w:link w:val="BodytextAgency"/>
    <w:qFormat/>
    <w:locked/>
    <w:rsid w:val="005D3C58"/>
    <w:rPr>
      <w:rFonts w:ascii="Verdana" w:hAnsi="Verdana"/>
      <w:snapToGrid w:val="0"/>
      <w:sz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3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D4454-649A-43D6-8FA3-0C90A9539BE2}">
  <ds:schemaRefs>
    <ds:schemaRef ds:uri="http://purl.org/dc/dcmitype/"/>
    <ds:schemaRef ds:uri="0c5af80b-a198-4f91-9204-304822adff13"/>
    <ds:schemaRef ds:uri="http://schemas.openxmlformats.org/package/2006/metadata/core-properties"/>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EF367564-878E-4C9B-8660-E521FB26EC33}">
  <ds:schemaRefs>
    <ds:schemaRef ds:uri="http://schemas.microsoft.com/sharepoint/v3/contenttype/forms"/>
  </ds:schemaRefs>
</ds:datastoreItem>
</file>

<file path=customXml/itemProps3.xml><?xml version="1.0" encoding="utf-8"?>
<ds:datastoreItem xmlns:ds="http://schemas.openxmlformats.org/officeDocument/2006/customXml" ds:itemID="{14E15B47-4BEF-48D2-8EC6-20C4A1DC3DBF}"/>
</file>

<file path=customXml/itemProps4.xml><?xml version="1.0" encoding="utf-8"?>
<ds:datastoreItem xmlns:ds="http://schemas.openxmlformats.org/officeDocument/2006/customXml" ds:itemID="{2B25A437-6E69-44A2-A425-F6CDCBCE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39922</Words>
  <Characters>227557</Characters>
  <Application>Microsoft Office Word</Application>
  <DocSecurity>0</DocSecurity>
  <Lines>1896</Lines>
  <Paragraphs>533</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Glivec, INN-imatinib</vt:lpstr>
      <vt:lpstr>Glivec, INN-imatinib</vt:lpstr>
    </vt:vector>
  </TitlesOfParts>
  <Company>Novartis</Company>
  <LinksUpToDate>false</LinksUpToDate>
  <CharactersWithSpaces>266946</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9</cp:revision>
  <cp:lastPrinted>2015-02-10T12:53:00Z</cp:lastPrinted>
  <dcterms:created xsi:type="dcterms:W3CDTF">2021-01-14T13:19:00Z</dcterms:created>
  <dcterms:modified xsi:type="dcterms:W3CDTF">2021-05-21T16:04:00Z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2020-02-26T14:58:46.6023866Z</vt:lpwstr>
  </property>
  <property fmtid="{D5CDD505-2E9C-101B-9397-08002B2CF9AE}" pid="5" name="MSIP_Label_4929bff8-5b33-42aa-95d2-28f72e792cb0_Name">
    <vt:lpwstr>Business Use Only</vt:lpwstr>
  </property>
  <property fmtid="{D5CDD505-2E9C-101B-9397-08002B2CF9AE}" pid="6" name="MSIP_Label_4929bff8-5b33-42aa-95d2-28f72e792cb0_ActionId">
    <vt:lpwstr>0ca23091-c366-4862-a0f7-8c9bc6c2d61d</vt:lpwstr>
  </property>
  <property fmtid="{D5CDD505-2E9C-101B-9397-08002B2CF9AE}" pid="7" name="MSIP_Label_4929bff8-5b33-42aa-95d2-28f72e792cb0_Extended_MSFT_Method">
    <vt:lpwstr>Automatic</vt:lpwstr>
  </property>
  <property fmtid="{D5CDD505-2E9C-101B-9397-08002B2CF9AE}" pid="8" name="Confidentiality">
    <vt:lpwstr>Business Use Only</vt:lpwstr>
  </property>
  <property fmtid="{D5CDD505-2E9C-101B-9397-08002B2CF9AE}" pid="9" name="ContentTypeId">
    <vt:lpwstr>0x010100726F91DD1AE57B44B1BCEB7F1056F5D0</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2021-05-21T16:04:29Z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cf876285-825c-4172-b2ed-4429117aaf21</vt:lpwstr>
  </property>
  <property fmtid="{D5CDD505-2E9C-101B-9397-08002B2CF9AE}" pid="16" name="MSIP_Label_0eea11ca-d417-4147-80ed-01a58412c458_ContentBits">
    <vt:lpwstr>2</vt:lpwstr>
  </property>
</Properties>
</file>