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4A43" w14:textId="77777777" w:rsidR="003646A0" w:rsidRDefault="003646A0" w:rsidP="00DE16D0">
      <w:pPr>
        <w:widowControl w:val="0"/>
        <w:ind w:left="567" w:hanging="567"/>
        <w:rPr>
          <w:color w:val="000000"/>
          <w:sz w:val="22"/>
          <w:szCs w:val="22"/>
        </w:rPr>
      </w:pPr>
    </w:p>
    <w:p w14:paraId="4B09CA73" w14:textId="77777777" w:rsidR="003646A0" w:rsidRDefault="003646A0" w:rsidP="00DE16D0">
      <w:pPr>
        <w:widowControl w:val="0"/>
        <w:ind w:left="567" w:hanging="567"/>
        <w:rPr>
          <w:color w:val="000000"/>
          <w:sz w:val="22"/>
          <w:szCs w:val="22"/>
        </w:rPr>
      </w:pPr>
      <w:bookmarkStart w:id="0" w:name="_GoBack"/>
      <w:bookmarkEnd w:id="0"/>
    </w:p>
    <w:p w14:paraId="51A87D03" w14:textId="77777777" w:rsidR="003646A0" w:rsidRDefault="003646A0" w:rsidP="00DE16D0">
      <w:pPr>
        <w:widowControl w:val="0"/>
        <w:ind w:left="567" w:hanging="567"/>
        <w:rPr>
          <w:color w:val="000000"/>
          <w:sz w:val="22"/>
          <w:szCs w:val="22"/>
        </w:rPr>
      </w:pPr>
    </w:p>
    <w:p w14:paraId="47D0B0C2" w14:textId="77777777" w:rsidR="003646A0" w:rsidRDefault="003646A0" w:rsidP="00DE16D0">
      <w:pPr>
        <w:widowControl w:val="0"/>
        <w:ind w:left="567" w:hanging="567"/>
        <w:rPr>
          <w:color w:val="000000"/>
          <w:sz w:val="22"/>
          <w:szCs w:val="22"/>
        </w:rPr>
      </w:pPr>
    </w:p>
    <w:p w14:paraId="2C19E60F" w14:textId="77777777" w:rsidR="003646A0" w:rsidRDefault="003646A0" w:rsidP="00DE16D0">
      <w:pPr>
        <w:widowControl w:val="0"/>
        <w:ind w:left="567" w:hanging="567"/>
        <w:rPr>
          <w:color w:val="000000"/>
          <w:sz w:val="22"/>
          <w:szCs w:val="22"/>
        </w:rPr>
      </w:pPr>
    </w:p>
    <w:p w14:paraId="789B9048" w14:textId="77777777" w:rsidR="003646A0" w:rsidRDefault="003646A0" w:rsidP="00DE16D0">
      <w:pPr>
        <w:widowControl w:val="0"/>
        <w:ind w:left="567" w:hanging="567"/>
        <w:rPr>
          <w:color w:val="000000"/>
          <w:sz w:val="22"/>
          <w:szCs w:val="22"/>
        </w:rPr>
      </w:pPr>
    </w:p>
    <w:p w14:paraId="02FB1B43" w14:textId="77777777" w:rsidR="003646A0" w:rsidRDefault="003646A0" w:rsidP="00DE16D0">
      <w:pPr>
        <w:widowControl w:val="0"/>
        <w:ind w:left="567" w:hanging="567"/>
        <w:rPr>
          <w:color w:val="000000"/>
          <w:sz w:val="22"/>
          <w:szCs w:val="22"/>
        </w:rPr>
      </w:pPr>
    </w:p>
    <w:p w14:paraId="76518B9D" w14:textId="77777777" w:rsidR="003646A0" w:rsidRDefault="003646A0" w:rsidP="00DE16D0">
      <w:pPr>
        <w:widowControl w:val="0"/>
        <w:ind w:left="567" w:hanging="567"/>
        <w:rPr>
          <w:color w:val="000000"/>
          <w:sz w:val="22"/>
          <w:szCs w:val="22"/>
        </w:rPr>
      </w:pPr>
    </w:p>
    <w:p w14:paraId="316601AC" w14:textId="77777777" w:rsidR="003646A0" w:rsidRDefault="003646A0" w:rsidP="00DE16D0">
      <w:pPr>
        <w:widowControl w:val="0"/>
        <w:ind w:left="567" w:hanging="567"/>
        <w:rPr>
          <w:color w:val="000000"/>
          <w:sz w:val="22"/>
          <w:szCs w:val="22"/>
        </w:rPr>
      </w:pPr>
    </w:p>
    <w:p w14:paraId="315AE2CD" w14:textId="77777777" w:rsidR="003646A0" w:rsidRDefault="003646A0" w:rsidP="00DE16D0">
      <w:pPr>
        <w:widowControl w:val="0"/>
        <w:ind w:left="567" w:hanging="567"/>
        <w:rPr>
          <w:color w:val="000000"/>
          <w:sz w:val="22"/>
          <w:szCs w:val="22"/>
        </w:rPr>
      </w:pPr>
    </w:p>
    <w:p w14:paraId="06BB989C" w14:textId="77777777" w:rsidR="003646A0" w:rsidRDefault="003646A0" w:rsidP="00DE16D0">
      <w:pPr>
        <w:widowControl w:val="0"/>
        <w:ind w:left="567" w:hanging="567"/>
        <w:rPr>
          <w:color w:val="000000"/>
          <w:sz w:val="22"/>
          <w:szCs w:val="22"/>
        </w:rPr>
      </w:pPr>
    </w:p>
    <w:p w14:paraId="65DA4CBF" w14:textId="77777777" w:rsidR="003646A0" w:rsidRDefault="003646A0" w:rsidP="00DE16D0">
      <w:pPr>
        <w:widowControl w:val="0"/>
        <w:ind w:left="567" w:hanging="567"/>
        <w:rPr>
          <w:color w:val="000000"/>
          <w:sz w:val="22"/>
          <w:szCs w:val="22"/>
        </w:rPr>
      </w:pPr>
    </w:p>
    <w:p w14:paraId="02BF1E72" w14:textId="77777777" w:rsidR="003646A0" w:rsidRDefault="003646A0" w:rsidP="00DE16D0">
      <w:pPr>
        <w:widowControl w:val="0"/>
        <w:ind w:left="567" w:hanging="567"/>
        <w:rPr>
          <w:color w:val="000000"/>
          <w:sz w:val="22"/>
          <w:szCs w:val="22"/>
        </w:rPr>
      </w:pPr>
    </w:p>
    <w:p w14:paraId="78FFB3D5" w14:textId="77777777" w:rsidR="003646A0" w:rsidRDefault="003646A0" w:rsidP="00DE16D0">
      <w:pPr>
        <w:widowControl w:val="0"/>
        <w:ind w:left="567" w:hanging="567"/>
        <w:rPr>
          <w:color w:val="000000"/>
          <w:sz w:val="22"/>
          <w:szCs w:val="22"/>
        </w:rPr>
      </w:pPr>
    </w:p>
    <w:p w14:paraId="04A2E9F9" w14:textId="77777777" w:rsidR="003646A0" w:rsidRDefault="003646A0" w:rsidP="00DE16D0">
      <w:pPr>
        <w:widowControl w:val="0"/>
        <w:ind w:left="567" w:hanging="567"/>
        <w:rPr>
          <w:color w:val="000000"/>
          <w:sz w:val="22"/>
          <w:szCs w:val="22"/>
        </w:rPr>
      </w:pPr>
    </w:p>
    <w:p w14:paraId="78F695BF" w14:textId="77777777" w:rsidR="003646A0" w:rsidRDefault="003646A0" w:rsidP="00DE16D0">
      <w:pPr>
        <w:widowControl w:val="0"/>
        <w:ind w:left="567" w:hanging="567"/>
        <w:rPr>
          <w:color w:val="000000"/>
          <w:sz w:val="22"/>
          <w:szCs w:val="22"/>
        </w:rPr>
      </w:pPr>
    </w:p>
    <w:p w14:paraId="26DBCB9B" w14:textId="77777777" w:rsidR="003646A0" w:rsidRDefault="003646A0" w:rsidP="00DE16D0">
      <w:pPr>
        <w:widowControl w:val="0"/>
        <w:ind w:left="567" w:hanging="567"/>
        <w:rPr>
          <w:color w:val="000000"/>
          <w:sz w:val="22"/>
          <w:szCs w:val="22"/>
        </w:rPr>
      </w:pPr>
    </w:p>
    <w:p w14:paraId="591EBFAA" w14:textId="77777777" w:rsidR="003646A0" w:rsidRDefault="003646A0" w:rsidP="00DE16D0">
      <w:pPr>
        <w:widowControl w:val="0"/>
        <w:ind w:left="567" w:hanging="567"/>
        <w:rPr>
          <w:color w:val="000000"/>
          <w:sz w:val="22"/>
          <w:szCs w:val="22"/>
        </w:rPr>
      </w:pPr>
    </w:p>
    <w:p w14:paraId="0BABCC1B" w14:textId="77777777" w:rsidR="003646A0" w:rsidRDefault="003646A0" w:rsidP="00DE16D0">
      <w:pPr>
        <w:widowControl w:val="0"/>
        <w:ind w:left="567" w:hanging="567"/>
        <w:rPr>
          <w:color w:val="000000"/>
          <w:sz w:val="22"/>
          <w:szCs w:val="22"/>
        </w:rPr>
      </w:pPr>
    </w:p>
    <w:p w14:paraId="58C1D823" w14:textId="77777777" w:rsidR="003646A0" w:rsidRDefault="003646A0" w:rsidP="00DE16D0">
      <w:pPr>
        <w:widowControl w:val="0"/>
        <w:ind w:left="567" w:hanging="567"/>
        <w:rPr>
          <w:color w:val="000000"/>
          <w:sz w:val="22"/>
          <w:szCs w:val="22"/>
        </w:rPr>
      </w:pPr>
    </w:p>
    <w:p w14:paraId="1F8D96A0" w14:textId="77777777" w:rsidR="003646A0" w:rsidRDefault="003646A0" w:rsidP="00DE16D0">
      <w:pPr>
        <w:widowControl w:val="0"/>
        <w:ind w:left="567" w:hanging="567"/>
        <w:rPr>
          <w:color w:val="000000"/>
          <w:sz w:val="22"/>
          <w:szCs w:val="22"/>
        </w:rPr>
      </w:pPr>
    </w:p>
    <w:p w14:paraId="15D83EC9" w14:textId="77777777" w:rsidR="003646A0" w:rsidRDefault="003646A0" w:rsidP="00DE16D0">
      <w:pPr>
        <w:widowControl w:val="0"/>
        <w:ind w:left="567" w:hanging="567"/>
        <w:rPr>
          <w:color w:val="000000"/>
          <w:sz w:val="22"/>
          <w:szCs w:val="22"/>
        </w:rPr>
      </w:pPr>
    </w:p>
    <w:p w14:paraId="23ED6383" w14:textId="77777777" w:rsidR="003646A0" w:rsidRDefault="003646A0" w:rsidP="00DE16D0">
      <w:pPr>
        <w:widowControl w:val="0"/>
        <w:ind w:left="567" w:hanging="567"/>
        <w:rPr>
          <w:color w:val="000000"/>
          <w:sz w:val="22"/>
          <w:szCs w:val="22"/>
        </w:rPr>
      </w:pPr>
    </w:p>
    <w:p w14:paraId="650F5ECC" w14:textId="77777777" w:rsidR="003646A0" w:rsidRPr="00F93FFA" w:rsidRDefault="003646A0" w:rsidP="00DE16D0">
      <w:pPr>
        <w:widowControl w:val="0"/>
        <w:ind w:left="567" w:hanging="567"/>
        <w:jc w:val="center"/>
        <w:rPr>
          <w:color w:val="000000"/>
          <w:sz w:val="22"/>
          <w:szCs w:val="22"/>
        </w:rPr>
      </w:pPr>
      <w:r w:rsidRPr="00F93FFA">
        <w:rPr>
          <w:b/>
          <w:color w:val="000000"/>
          <w:sz w:val="22"/>
          <w:szCs w:val="22"/>
        </w:rPr>
        <w:t>I PRIEDAS</w:t>
      </w:r>
    </w:p>
    <w:p w14:paraId="19B49985" w14:textId="77777777" w:rsidR="003646A0" w:rsidRPr="00F93FFA" w:rsidRDefault="003646A0" w:rsidP="00DE16D0">
      <w:pPr>
        <w:widowControl w:val="0"/>
        <w:ind w:left="567" w:hanging="567"/>
        <w:jc w:val="center"/>
        <w:rPr>
          <w:color w:val="000000"/>
          <w:sz w:val="22"/>
          <w:szCs w:val="22"/>
        </w:rPr>
      </w:pPr>
    </w:p>
    <w:p w14:paraId="40723BE3" w14:textId="77777777" w:rsidR="003646A0" w:rsidRPr="00F93FFA" w:rsidRDefault="003646A0" w:rsidP="00DE16D0">
      <w:pPr>
        <w:widowControl w:val="0"/>
        <w:ind w:left="567" w:hanging="567"/>
        <w:jc w:val="center"/>
        <w:rPr>
          <w:b/>
          <w:color w:val="000000"/>
          <w:sz w:val="22"/>
          <w:szCs w:val="22"/>
        </w:rPr>
      </w:pPr>
      <w:r w:rsidRPr="00F93FFA">
        <w:rPr>
          <w:b/>
          <w:color w:val="000000"/>
          <w:sz w:val="22"/>
          <w:szCs w:val="22"/>
        </w:rPr>
        <w:t>PREPARATO CHARAKTERISTIKŲ SANTRAUKA</w:t>
      </w:r>
    </w:p>
    <w:p w14:paraId="7970529F" w14:textId="77777777" w:rsidR="003646A0" w:rsidRPr="00F93FFA" w:rsidRDefault="003646A0" w:rsidP="00DE16D0">
      <w:pPr>
        <w:widowControl w:val="0"/>
        <w:ind w:left="567" w:hanging="567"/>
        <w:jc w:val="center"/>
        <w:rPr>
          <w:color w:val="000000"/>
          <w:sz w:val="22"/>
          <w:szCs w:val="22"/>
        </w:rPr>
      </w:pPr>
    </w:p>
    <w:p w14:paraId="651E91D3" w14:textId="77777777" w:rsidR="004A4FB0" w:rsidRPr="00F93FFA" w:rsidRDefault="003646A0" w:rsidP="00DE16D0">
      <w:pPr>
        <w:widowControl w:val="0"/>
        <w:rPr>
          <w:snapToGrid w:val="0"/>
          <w:sz w:val="22"/>
        </w:rPr>
      </w:pPr>
      <w:r w:rsidRPr="00F93FFA">
        <w:rPr>
          <w:color w:val="000000"/>
          <w:sz w:val="22"/>
          <w:szCs w:val="22"/>
        </w:rPr>
        <w:br w:type="page"/>
      </w:r>
      <w:r w:rsidR="00C3077F" w:rsidRPr="00F93FFA">
        <w:rPr>
          <w:noProof/>
          <w:snapToGrid w:val="0"/>
          <w:sz w:val="22"/>
          <w:szCs w:val="20"/>
          <w:lang w:val="en-US"/>
        </w:rPr>
        <w:lastRenderedPageBreak/>
        <w:drawing>
          <wp:inline distT="0" distB="0" distL="0" distR="0" wp14:anchorId="42CB3F91" wp14:editId="0A52660F">
            <wp:extent cx="198120" cy="17272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4A4FB0" w:rsidRPr="00F53012">
        <w:rPr>
          <w:noProof/>
          <w:snapToGrid w:val="0"/>
          <w:sz w:val="22"/>
        </w:rPr>
        <w:t>Vykdoma papildoma šio vaistinio preparato stebėsena. Tai padės greitai nustatyti naują saugumo informaciją.</w:t>
      </w:r>
      <w:r w:rsidR="004A4FB0" w:rsidRPr="00F93FFA">
        <w:rPr>
          <w:snapToGrid w:val="0"/>
          <w:sz w:val="22"/>
        </w:rPr>
        <w:t xml:space="preserve"> </w:t>
      </w:r>
      <w:r w:rsidR="004A4FB0" w:rsidRPr="00F93FFA">
        <w:rPr>
          <w:noProof/>
          <w:snapToGrid w:val="0"/>
          <w:sz w:val="22"/>
        </w:rPr>
        <w:t>Sveikatos priežiūros specialistai turi pranešti apie bet kokias įtariamas nepageidaujamas reakcijas.</w:t>
      </w:r>
      <w:r w:rsidR="004A4FB0" w:rsidRPr="00F93FFA">
        <w:rPr>
          <w:snapToGrid w:val="0"/>
          <w:sz w:val="22"/>
        </w:rPr>
        <w:t xml:space="preserve"> </w:t>
      </w:r>
      <w:r w:rsidR="004A4FB0" w:rsidRPr="00F93FFA">
        <w:rPr>
          <w:noProof/>
          <w:snapToGrid w:val="0"/>
          <w:sz w:val="22"/>
        </w:rPr>
        <w:t>Apie tai, kaip pranešti apie nepageidaujamas reakcijas, žr.</w:t>
      </w:r>
      <w:r w:rsidR="004A4FB0" w:rsidRPr="00F93FFA">
        <w:rPr>
          <w:snapToGrid w:val="0"/>
          <w:sz w:val="22"/>
        </w:rPr>
        <w:t xml:space="preserve"> </w:t>
      </w:r>
      <w:r w:rsidR="004A4FB0" w:rsidRPr="00F93FFA">
        <w:rPr>
          <w:noProof/>
          <w:snapToGrid w:val="0"/>
          <w:sz w:val="22"/>
        </w:rPr>
        <w:t>4.8</w:t>
      </w:r>
      <w:r w:rsidR="006D33A7" w:rsidRPr="00F93FFA">
        <w:rPr>
          <w:noProof/>
          <w:snapToGrid w:val="0"/>
          <w:sz w:val="22"/>
        </w:rPr>
        <w:t> </w:t>
      </w:r>
      <w:r w:rsidR="004A4FB0" w:rsidRPr="00F93FFA">
        <w:rPr>
          <w:noProof/>
          <w:snapToGrid w:val="0"/>
          <w:sz w:val="22"/>
        </w:rPr>
        <w:t>skyriuje.</w:t>
      </w:r>
    </w:p>
    <w:p w14:paraId="60CD336D" w14:textId="77777777" w:rsidR="004A4FB0" w:rsidRPr="00F93FFA" w:rsidRDefault="004A4FB0" w:rsidP="00DE16D0">
      <w:pPr>
        <w:widowControl w:val="0"/>
        <w:tabs>
          <w:tab w:val="left" w:pos="567"/>
        </w:tabs>
        <w:rPr>
          <w:snapToGrid w:val="0"/>
          <w:sz w:val="22"/>
        </w:rPr>
      </w:pPr>
    </w:p>
    <w:p w14:paraId="3B3ACC64" w14:textId="77777777" w:rsidR="004A4FB0" w:rsidRPr="00F93FFA" w:rsidRDefault="004A4FB0" w:rsidP="00DE16D0">
      <w:pPr>
        <w:widowControl w:val="0"/>
        <w:tabs>
          <w:tab w:val="left" w:pos="567"/>
        </w:tabs>
        <w:rPr>
          <w:snapToGrid w:val="0"/>
          <w:sz w:val="22"/>
        </w:rPr>
      </w:pPr>
    </w:p>
    <w:p w14:paraId="59BFF277" w14:textId="77777777" w:rsidR="003646A0" w:rsidRPr="00F93FFA" w:rsidRDefault="003646A0" w:rsidP="00DE16D0">
      <w:pPr>
        <w:widowControl w:val="0"/>
        <w:ind w:left="567" w:hanging="567"/>
        <w:rPr>
          <w:b/>
          <w:color w:val="000000"/>
          <w:sz w:val="22"/>
          <w:szCs w:val="22"/>
        </w:rPr>
      </w:pPr>
      <w:r w:rsidRPr="00F93FFA">
        <w:rPr>
          <w:b/>
          <w:color w:val="000000"/>
          <w:sz w:val="22"/>
          <w:szCs w:val="22"/>
        </w:rPr>
        <w:t>1.</w:t>
      </w:r>
      <w:r w:rsidRPr="00F93FFA">
        <w:rPr>
          <w:b/>
          <w:color w:val="000000"/>
          <w:sz w:val="22"/>
          <w:szCs w:val="22"/>
        </w:rPr>
        <w:tab/>
      </w:r>
      <w:r w:rsidRPr="00F93FFA">
        <w:rPr>
          <w:b/>
          <w:caps/>
          <w:color w:val="000000"/>
          <w:sz w:val="22"/>
          <w:szCs w:val="22"/>
        </w:rPr>
        <w:t>VAISTINIO</w:t>
      </w:r>
      <w:r w:rsidRPr="00F93FFA">
        <w:rPr>
          <w:b/>
          <w:color w:val="000000"/>
          <w:sz w:val="22"/>
          <w:szCs w:val="22"/>
        </w:rPr>
        <w:t xml:space="preserve"> PREPARATO PAVADINIMAS</w:t>
      </w:r>
    </w:p>
    <w:p w14:paraId="33C5ACC7" w14:textId="77777777" w:rsidR="003646A0" w:rsidRPr="00F93FFA" w:rsidRDefault="003646A0" w:rsidP="00DE16D0">
      <w:pPr>
        <w:widowControl w:val="0"/>
        <w:ind w:left="567" w:hanging="567"/>
        <w:rPr>
          <w:color w:val="000000"/>
          <w:sz w:val="22"/>
          <w:szCs w:val="22"/>
        </w:rPr>
      </w:pPr>
    </w:p>
    <w:p w14:paraId="36C0CF40" w14:textId="77777777" w:rsidR="003646A0" w:rsidRPr="00F93FFA" w:rsidRDefault="003314A5" w:rsidP="00DE16D0">
      <w:pPr>
        <w:widowControl w:val="0"/>
        <w:ind w:left="567" w:hanging="567"/>
        <w:rPr>
          <w:color w:val="000000"/>
          <w:sz w:val="22"/>
          <w:szCs w:val="22"/>
        </w:rPr>
      </w:pPr>
      <w:r w:rsidRPr="00F93FFA">
        <w:rPr>
          <w:color w:val="000000"/>
          <w:sz w:val="22"/>
          <w:szCs w:val="22"/>
        </w:rPr>
        <w:t>Glivec 100 mg kietosios kapsulės</w:t>
      </w:r>
    </w:p>
    <w:p w14:paraId="1DDBAE48" w14:textId="77777777" w:rsidR="003314A5" w:rsidRPr="00F93FFA" w:rsidRDefault="003314A5" w:rsidP="00DE16D0">
      <w:pPr>
        <w:widowControl w:val="0"/>
        <w:ind w:left="567" w:hanging="567"/>
        <w:rPr>
          <w:color w:val="000000"/>
          <w:sz w:val="22"/>
          <w:szCs w:val="22"/>
        </w:rPr>
      </w:pPr>
    </w:p>
    <w:p w14:paraId="0FB9C671" w14:textId="77777777" w:rsidR="003646A0" w:rsidRPr="00F93FFA" w:rsidRDefault="003646A0" w:rsidP="00DE16D0">
      <w:pPr>
        <w:widowControl w:val="0"/>
        <w:ind w:left="567" w:hanging="567"/>
        <w:rPr>
          <w:color w:val="000000"/>
          <w:sz w:val="22"/>
          <w:szCs w:val="22"/>
        </w:rPr>
      </w:pPr>
    </w:p>
    <w:p w14:paraId="64FE9F10" w14:textId="77777777" w:rsidR="003646A0" w:rsidRPr="00F93FFA" w:rsidRDefault="003646A0" w:rsidP="00DE16D0">
      <w:pPr>
        <w:keepNext/>
        <w:widowControl w:val="0"/>
        <w:ind w:left="567" w:hanging="567"/>
        <w:rPr>
          <w:b/>
          <w:caps/>
          <w:color w:val="000000"/>
          <w:sz w:val="22"/>
          <w:szCs w:val="22"/>
        </w:rPr>
      </w:pPr>
      <w:r w:rsidRPr="00F93FFA">
        <w:rPr>
          <w:b/>
          <w:caps/>
          <w:color w:val="000000"/>
          <w:sz w:val="22"/>
          <w:szCs w:val="22"/>
        </w:rPr>
        <w:t>2.</w:t>
      </w:r>
      <w:r w:rsidRPr="00F93FFA">
        <w:rPr>
          <w:b/>
          <w:caps/>
          <w:color w:val="000000"/>
          <w:sz w:val="22"/>
          <w:szCs w:val="22"/>
        </w:rPr>
        <w:tab/>
        <w:t>kokybinė ir kiekybinė sudėtis</w:t>
      </w:r>
    </w:p>
    <w:p w14:paraId="172903A1" w14:textId="77777777" w:rsidR="003646A0" w:rsidRPr="00F93FFA" w:rsidRDefault="003646A0" w:rsidP="00DE16D0">
      <w:pPr>
        <w:keepNext/>
        <w:widowControl w:val="0"/>
        <w:ind w:left="567" w:hanging="567"/>
        <w:rPr>
          <w:color w:val="000000"/>
          <w:sz w:val="22"/>
          <w:szCs w:val="22"/>
        </w:rPr>
      </w:pPr>
    </w:p>
    <w:p w14:paraId="4DF97365" w14:textId="07D2646B" w:rsidR="003314A5" w:rsidRPr="00F93FFA" w:rsidRDefault="006846B3" w:rsidP="00DE16D0">
      <w:pPr>
        <w:widowControl w:val="0"/>
        <w:ind w:left="567" w:hanging="567"/>
        <w:rPr>
          <w:color w:val="000000"/>
          <w:sz w:val="22"/>
          <w:szCs w:val="22"/>
        </w:rPr>
      </w:pPr>
      <w:r w:rsidRPr="00F93FFA">
        <w:rPr>
          <w:color w:val="000000"/>
          <w:sz w:val="22"/>
          <w:szCs w:val="22"/>
        </w:rPr>
        <w:t xml:space="preserve">Kiekvienoje </w:t>
      </w:r>
      <w:r w:rsidR="003314A5" w:rsidRPr="00F93FFA">
        <w:rPr>
          <w:color w:val="000000"/>
          <w:sz w:val="22"/>
          <w:szCs w:val="22"/>
        </w:rPr>
        <w:t>kapsulėje yra 100 mg imatinibo (mesilato pavidalu)</w:t>
      </w:r>
      <w:r w:rsidR="00510466" w:rsidRPr="00F93FFA">
        <w:rPr>
          <w:color w:val="000000"/>
          <w:sz w:val="22"/>
          <w:szCs w:val="22"/>
        </w:rPr>
        <w:t xml:space="preserve"> (</w:t>
      </w:r>
      <w:r w:rsidR="00BF7B5C" w:rsidRPr="00F93FFA">
        <w:rPr>
          <w:i/>
          <w:color w:val="000000"/>
          <w:sz w:val="22"/>
          <w:szCs w:val="22"/>
        </w:rPr>
        <w:t>i</w:t>
      </w:r>
      <w:r w:rsidR="00510466" w:rsidRPr="00F93FFA">
        <w:rPr>
          <w:i/>
          <w:color w:val="000000"/>
          <w:sz w:val="22"/>
          <w:szCs w:val="22"/>
        </w:rPr>
        <w:t>matinibum</w:t>
      </w:r>
      <w:r w:rsidR="00510466" w:rsidRPr="00F93FFA">
        <w:rPr>
          <w:color w:val="000000"/>
          <w:sz w:val="22"/>
          <w:szCs w:val="22"/>
        </w:rPr>
        <w:t>)</w:t>
      </w:r>
      <w:r w:rsidR="003314A5" w:rsidRPr="00F93FFA">
        <w:rPr>
          <w:color w:val="000000"/>
          <w:sz w:val="22"/>
          <w:szCs w:val="22"/>
        </w:rPr>
        <w:t>.</w:t>
      </w:r>
    </w:p>
    <w:p w14:paraId="75CCD390" w14:textId="77777777" w:rsidR="003314A5" w:rsidRPr="00F93FFA" w:rsidRDefault="003314A5" w:rsidP="00DE16D0">
      <w:pPr>
        <w:widowControl w:val="0"/>
        <w:ind w:left="567" w:hanging="567"/>
        <w:rPr>
          <w:color w:val="000000"/>
          <w:sz w:val="22"/>
          <w:szCs w:val="22"/>
        </w:rPr>
      </w:pPr>
    </w:p>
    <w:p w14:paraId="4DDD2E67" w14:textId="77777777" w:rsidR="003646A0" w:rsidRPr="00F93FFA" w:rsidRDefault="003646A0" w:rsidP="00DE16D0">
      <w:pPr>
        <w:widowControl w:val="0"/>
        <w:ind w:left="567" w:hanging="567"/>
        <w:rPr>
          <w:color w:val="000000"/>
          <w:sz w:val="22"/>
          <w:szCs w:val="22"/>
        </w:rPr>
      </w:pPr>
      <w:r w:rsidRPr="00F93FFA">
        <w:rPr>
          <w:color w:val="000000"/>
          <w:sz w:val="22"/>
          <w:szCs w:val="22"/>
        </w:rPr>
        <w:t>Visos pagalbinės medžiagos išvardytos 6.1</w:t>
      </w:r>
      <w:r w:rsidR="006D33A7" w:rsidRPr="00F93FFA">
        <w:rPr>
          <w:color w:val="000000"/>
          <w:sz w:val="22"/>
          <w:szCs w:val="22"/>
        </w:rPr>
        <w:t> </w:t>
      </w:r>
      <w:r w:rsidRPr="00F93FFA">
        <w:rPr>
          <w:color w:val="000000"/>
          <w:sz w:val="22"/>
          <w:szCs w:val="22"/>
        </w:rPr>
        <w:t>skyriuje.</w:t>
      </w:r>
    </w:p>
    <w:p w14:paraId="3949FF42" w14:textId="77777777" w:rsidR="003646A0" w:rsidRPr="00F93FFA" w:rsidRDefault="003646A0" w:rsidP="00DE16D0">
      <w:pPr>
        <w:widowControl w:val="0"/>
        <w:ind w:left="567" w:hanging="567"/>
        <w:rPr>
          <w:color w:val="000000"/>
          <w:sz w:val="22"/>
          <w:szCs w:val="22"/>
        </w:rPr>
      </w:pPr>
    </w:p>
    <w:p w14:paraId="66D258A5" w14:textId="77777777" w:rsidR="003646A0" w:rsidRPr="00F93FFA" w:rsidRDefault="003646A0" w:rsidP="00DE16D0">
      <w:pPr>
        <w:widowControl w:val="0"/>
        <w:ind w:left="567" w:hanging="567"/>
        <w:rPr>
          <w:color w:val="000000"/>
          <w:sz w:val="22"/>
          <w:szCs w:val="22"/>
        </w:rPr>
      </w:pPr>
    </w:p>
    <w:p w14:paraId="2E9FB1B2" w14:textId="77777777" w:rsidR="003646A0" w:rsidRPr="00F93FFA" w:rsidRDefault="003646A0" w:rsidP="00DE16D0">
      <w:pPr>
        <w:keepNext/>
        <w:widowControl w:val="0"/>
        <w:ind w:left="567" w:hanging="567"/>
        <w:rPr>
          <w:b/>
          <w:caps/>
          <w:color w:val="000000"/>
          <w:sz w:val="22"/>
          <w:szCs w:val="22"/>
        </w:rPr>
      </w:pPr>
      <w:r w:rsidRPr="00F93FFA">
        <w:rPr>
          <w:b/>
          <w:caps/>
          <w:color w:val="000000"/>
          <w:sz w:val="22"/>
          <w:szCs w:val="22"/>
        </w:rPr>
        <w:t>3.</w:t>
      </w:r>
      <w:r w:rsidRPr="00F93FFA">
        <w:rPr>
          <w:b/>
          <w:caps/>
          <w:color w:val="000000"/>
          <w:sz w:val="22"/>
          <w:szCs w:val="22"/>
        </w:rPr>
        <w:tab/>
      </w:r>
      <w:r w:rsidRPr="00F93FFA">
        <w:rPr>
          <w:b/>
          <w:caps/>
          <w:noProof/>
          <w:sz w:val="22"/>
          <w:szCs w:val="22"/>
        </w:rPr>
        <w:t>FARMACINĖ</w:t>
      </w:r>
      <w:r w:rsidRPr="00F93FFA">
        <w:rPr>
          <w:b/>
          <w:caps/>
          <w:color w:val="000000"/>
          <w:sz w:val="22"/>
          <w:szCs w:val="22"/>
        </w:rPr>
        <w:t xml:space="preserve"> forma</w:t>
      </w:r>
    </w:p>
    <w:p w14:paraId="3F70C7E4" w14:textId="77777777" w:rsidR="003646A0" w:rsidRPr="00F93FFA" w:rsidRDefault="003646A0" w:rsidP="00DE16D0">
      <w:pPr>
        <w:keepNext/>
        <w:widowControl w:val="0"/>
        <w:ind w:left="567" w:hanging="567"/>
        <w:rPr>
          <w:color w:val="000000"/>
          <w:sz w:val="22"/>
          <w:szCs w:val="22"/>
        </w:rPr>
      </w:pPr>
    </w:p>
    <w:p w14:paraId="64B14194" w14:textId="77777777" w:rsidR="003646A0" w:rsidRPr="00F93FFA" w:rsidRDefault="003646A0" w:rsidP="00DE16D0">
      <w:pPr>
        <w:widowControl w:val="0"/>
        <w:ind w:left="567" w:hanging="567"/>
        <w:rPr>
          <w:color w:val="000000"/>
          <w:sz w:val="22"/>
          <w:szCs w:val="22"/>
        </w:rPr>
      </w:pPr>
      <w:r w:rsidRPr="00F93FFA">
        <w:rPr>
          <w:color w:val="000000"/>
          <w:sz w:val="22"/>
          <w:szCs w:val="22"/>
        </w:rPr>
        <w:t>Kietoji kapsulė</w:t>
      </w:r>
    </w:p>
    <w:p w14:paraId="7F2DBD1A" w14:textId="77777777" w:rsidR="003314A5" w:rsidRPr="00F93FFA" w:rsidRDefault="003314A5" w:rsidP="00DE16D0">
      <w:pPr>
        <w:widowControl w:val="0"/>
        <w:ind w:left="567" w:hanging="567"/>
        <w:rPr>
          <w:color w:val="000000"/>
          <w:sz w:val="22"/>
          <w:szCs w:val="22"/>
          <w:u w:val="single"/>
        </w:rPr>
      </w:pPr>
    </w:p>
    <w:p w14:paraId="59C4F31C" w14:textId="77777777" w:rsidR="003314A5" w:rsidRPr="00F93FFA" w:rsidRDefault="003314A5" w:rsidP="00DE16D0">
      <w:pPr>
        <w:widowControl w:val="0"/>
        <w:rPr>
          <w:color w:val="000000"/>
          <w:sz w:val="22"/>
          <w:szCs w:val="22"/>
        </w:rPr>
      </w:pPr>
      <w:r w:rsidRPr="00F93FFA">
        <w:rPr>
          <w:color w:val="000000"/>
          <w:sz w:val="22"/>
          <w:szCs w:val="22"/>
        </w:rPr>
        <w:t>Balti ar gelsvi milteliai šviesiai oranžinėje ar pilkšvai oranžinėje nepermatomoje kapsulėje, pažymėtoje “NVR SI”.</w:t>
      </w:r>
    </w:p>
    <w:p w14:paraId="73AF5542" w14:textId="77777777" w:rsidR="003314A5" w:rsidRPr="00F93FFA" w:rsidRDefault="003314A5" w:rsidP="00DE16D0">
      <w:pPr>
        <w:widowControl w:val="0"/>
        <w:rPr>
          <w:color w:val="000000"/>
          <w:sz w:val="22"/>
          <w:szCs w:val="22"/>
        </w:rPr>
      </w:pPr>
    </w:p>
    <w:p w14:paraId="2866A7E2" w14:textId="77777777" w:rsidR="003646A0" w:rsidRPr="00F93FFA" w:rsidRDefault="003646A0" w:rsidP="00DE16D0">
      <w:pPr>
        <w:widowControl w:val="0"/>
        <w:ind w:left="567" w:hanging="567"/>
        <w:rPr>
          <w:color w:val="000000"/>
          <w:sz w:val="22"/>
          <w:szCs w:val="22"/>
        </w:rPr>
      </w:pPr>
    </w:p>
    <w:p w14:paraId="054359F4" w14:textId="77777777" w:rsidR="003646A0" w:rsidRPr="00F93FFA" w:rsidRDefault="003646A0" w:rsidP="00DE16D0">
      <w:pPr>
        <w:keepNext/>
        <w:widowControl w:val="0"/>
        <w:ind w:left="567" w:hanging="567"/>
        <w:rPr>
          <w:b/>
          <w:caps/>
          <w:color w:val="000000"/>
          <w:sz w:val="22"/>
          <w:szCs w:val="22"/>
        </w:rPr>
      </w:pPr>
      <w:r w:rsidRPr="00F93FFA">
        <w:rPr>
          <w:b/>
          <w:caps/>
          <w:color w:val="000000"/>
          <w:sz w:val="22"/>
          <w:szCs w:val="22"/>
        </w:rPr>
        <w:t>4.</w:t>
      </w:r>
      <w:r w:rsidRPr="00F93FFA">
        <w:rPr>
          <w:b/>
          <w:caps/>
          <w:color w:val="000000"/>
          <w:sz w:val="22"/>
          <w:szCs w:val="22"/>
        </w:rPr>
        <w:tab/>
        <w:t>klinikinĖ informacija</w:t>
      </w:r>
    </w:p>
    <w:p w14:paraId="03DE98BF" w14:textId="77777777" w:rsidR="003646A0" w:rsidRPr="00F93FFA" w:rsidRDefault="003646A0" w:rsidP="00DE16D0">
      <w:pPr>
        <w:keepNext/>
        <w:widowControl w:val="0"/>
        <w:ind w:left="567" w:hanging="567"/>
        <w:rPr>
          <w:color w:val="000000"/>
          <w:sz w:val="22"/>
          <w:szCs w:val="22"/>
        </w:rPr>
      </w:pPr>
    </w:p>
    <w:p w14:paraId="0D968638"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4.1</w:t>
      </w:r>
      <w:r w:rsidRPr="00F93FFA">
        <w:rPr>
          <w:b/>
          <w:color w:val="000000"/>
          <w:sz w:val="22"/>
          <w:szCs w:val="22"/>
        </w:rPr>
        <w:tab/>
        <w:t>Terapinės indikacijos</w:t>
      </w:r>
    </w:p>
    <w:p w14:paraId="62A7D9F9" w14:textId="77777777" w:rsidR="003646A0" w:rsidRPr="00F93FFA" w:rsidRDefault="003646A0" w:rsidP="00DE16D0">
      <w:pPr>
        <w:keepNext/>
        <w:widowControl w:val="0"/>
        <w:ind w:left="567" w:hanging="567"/>
        <w:rPr>
          <w:color w:val="000000"/>
          <w:sz w:val="22"/>
          <w:szCs w:val="22"/>
        </w:rPr>
      </w:pPr>
    </w:p>
    <w:p w14:paraId="5C62182C" w14:textId="77777777" w:rsidR="003646A0" w:rsidRPr="00F93FFA" w:rsidRDefault="003646A0" w:rsidP="00DE16D0">
      <w:pPr>
        <w:keepNext/>
        <w:widowControl w:val="0"/>
        <w:rPr>
          <w:color w:val="000000"/>
          <w:sz w:val="22"/>
          <w:szCs w:val="22"/>
        </w:rPr>
      </w:pPr>
      <w:r w:rsidRPr="00F93FFA">
        <w:rPr>
          <w:color w:val="000000"/>
          <w:sz w:val="22"/>
          <w:szCs w:val="22"/>
        </w:rPr>
        <w:t>Glivec skiriama gydyti</w:t>
      </w:r>
    </w:p>
    <w:p w14:paraId="3A462D58" w14:textId="77777777" w:rsidR="003646A0" w:rsidRPr="00F93FFA" w:rsidRDefault="003646A0" w:rsidP="00DE16D0">
      <w:pPr>
        <w:widowControl w:val="0"/>
        <w:numPr>
          <w:ilvl w:val="0"/>
          <w:numId w:val="9"/>
        </w:numPr>
        <w:tabs>
          <w:tab w:val="clear" w:pos="720"/>
        </w:tabs>
        <w:ind w:left="540" w:hanging="540"/>
        <w:rPr>
          <w:color w:val="000000"/>
          <w:sz w:val="22"/>
          <w:szCs w:val="22"/>
        </w:rPr>
      </w:pPr>
      <w:r w:rsidRPr="00F93FFA">
        <w:rPr>
          <w:color w:val="000000"/>
          <w:sz w:val="22"/>
          <w:szCs w:val="22"/>
        </w:rPr>
        <w:t xml:space="preserve">suaugusiuosius ir vaikus, kuriems naujai diagnozuota </w:t>
      </w:r>
      <w:r w:rsidRPr="00F93FFA">
        <w:rPr>
          <w:i/>
          <w:color w:val="000000"/>
          <w:sz w:val="22"/>
          <w:szCs w:val="22"/>
        </w:rPr>
        <w:t>Philadelphia</w:t>
      </w:r>
      <w:r w:rsidRPr="00F93FFA">
        <w:rPr>
          <w:color w:val="000000"/>
          <w:sz w:val="22"/>
          <w:szCs w:val="22"/>
        </w:rPr>
        <w:t xml:space="preserve"> chromosomai (bcr-abl) teigiama (Ph+) lėtinė mieloleukemija (LML) ir kuriems kaulų čiulpų transplantacija nėra pirmiausiai pasirenkamas gydymas.</w:t>
      </w:r>
    </w:p>
    <w:p w14:paraId="31466F3F" w14:textId="77777777" w:rsidR="003646A0" w:rsidRPr="00F93FFA" w:rsidRDefault="003646A0" w:rsidP="00DE16D0">
      <w:pPr>
        <w:widowControl w:val="0"/>
        <w:numPr>
          <w:ilvl w:val="0"/>
          <w:numId w:val="8"/>
        </w:numPr>
        <w:tabs>
          <w:tab w:val="clear" w:pos="357"/>
        </w:tabs>
        <w:ind w:left="540" w:hanging="540"/>
        <w:rPr>
          <w:color w:val="000000"/>
          <w:sz w:val="22"/>
          <w:szCs w:val="22"/>
        </w:rPr>
      </w:pPr>
      <w:r w:rsidRPr="00F93FFA">
        <w:rPr>
          <w:color w:val="000000"/>
          <w:sz w:val="22"/>
          <w:szCs w:val="22"/>
        </w:rPr>
        <w:t>suaugusiuosius ir vaikus, kuriems yra Ph+ LML lėtinė fazė po neefektyvaus gydymo interferonu alfa arba akceleracijos fazė, ar blastinė krizė.</w:t>
      </w:r>
    </w:p>
    <w:p w14:paraId="76269B66"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eastAsia="de-DE"/>
        </w:rPr>
      </w:pPr>
      <w:r w:rsidRPr="00F93FFA">
        <w:rPr>
          <w:rFonts w:eastAsia="MS Mincho"/>
          <w:color w:val="000000"/>
          <w:szCs w:val="22"/>
          <w:lang w:val="lt-LT" w:eastAsia="ja-JP"/>
        </w:rPr>
        <w:t xml:space="preserve">suaugusiųjų ir vaikų </w:t>
      </w:r>
      <w:r w:rsidRPr="00F93FFA">
        <w:rPr>
          <w:color w:val="000000"/>
          <w:szCs w:val="22"/>
          <w:lang w:val="lt-LT"/>
        </w:rPr>
        <w:t xml:space="preserve">naujai diagnozuotos </w:t>
      </w:r>
      <w:r w:rsidRPr="00F93FFA">
        <w:rPr>
          <w:i/>
          <w:color w:val="000000"/>
          <w:szCs w:val="22"/>
          <w:lang w:val="lt-LT"/>
        </w:rPr>
        <w:t>Philadelphia</w:t>
      </w:r>
      <w:r w:rsidRPr="00F93FFA">
        <w:rPr>
          <w:color w:val="000000"/>
          <w:szCs w:val="22"/>
          <w:lang w:val="lt-LT"/>
        </w:rPr>
        <w:t xml:space="preserve"> chromosomai teigiamos ūminės limfoleukemijos</w:t>
      </w:r>
      <w:r w:rsidRPr="00F93FFA">
        <w:rPr>
          <w:rFonts w:eastAsia="MS Mincho"/>
          <w:color w:val="000000"/>
          <w:szCs w:val="22"/>
          <w:lang w:val="lt-LT" w:eastAsia="ja-JP"/>
        </w:rPr>
        <w:t xml:space="preserve"> (Ph+ ŪLL) gydymui kartu su chemoterapija</w:t>
      </w:r>
      <w:r w:rsidRPr="00F93FFA">
        <w:rPr>
          <w:color w:val="000000"/>
          <w:szCs w:val="22"/>
          <w:lang w:val="lt-LT"/>
        </w:rPr>
        <w:t>.</w:t>
      </w:r>
    </w:p>
    <w:p w14:paraId="42249E40"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eastAsia="de-DE"/>
        </w:rPr>
      </w:pPr>
      <w:r w:rsidRPr="00F93FFA">
        <w:rPr>
          <w:rFonts w:eastAsia="MS Mincho"/>
          <w:color w:val="000000"/>
          <w:szCs w:val="22"/>
          <w:lang w:val="lt-LT" w:eastAsia="ja-JP"/>
        </w:rPr>
        <w:t>suaugusiųjų recidyvavusios ar refrakterinės Ph+ŪLL monoterapijai.</w:t>
      </w:r>
    </w:p>
    <w:p w14:paraId="11D7E361"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rPr>
      </w:pPr>
      <w:r w:rsidRPr="00F93FFA">
        <w:rPr>
          <w:snapToGrid w:val="0"/>
          <w:color w:val="000000"/>
          <w:szCs w:val="22"/>
          <w:lang w:val="lt-LT"/>
        </w:rPr>
        <w:t>suaugusiųjų mielodisplazines ar mieloproliferacines ligas (MDS/MPL), susijusias su</w:t>
      </w:r>
      <w:r w:rsidRPr="00F93FFA">
        <w:rPr>
          <w:color w:val="000000"/>
          <w:szCs w:val="22"/>
          <w:lang w:val="lt-LT"/>
        </w:rPr>
        <w:t xml:space="preserve"> trombocitų kilmės augimo faktoriaus receptoriaus (</w:t>
      </w:r>
      <w:r w:rsidRPr="00F93FFA">
        <w:rPr>
          <w:i/>
          <w:color w:val="000000"/>
          <w:szCs w:val="22"/>
          <w:lang w:val="lt-LT"/>
        </w:rPr>
        <w:t>platelet-derived growth factor receptor</w:t>
      </w:r>
      <w:r w:rsidRPr="00F93FFA">
        <w:rPr>
          <w:color w:val="000000"/>
          <w:szCs w:val="22"/>
          <w:lang w:val="lt-LT"/>
        </w:rPr>
        <w:t>, PDGFR)</w:t>
      </w:r>
      <w:r w:rsidRPr="00F93FFA">
        <w:rPr>
          <w:snapToGrid w:val="0"/>
          <w:color w:val="000000"/>
          <w:szCs w:val="22"/>
          <w:lang w:val="lt-LT"/>
        </w:rPr>
        <w:t xml:space="preserve"> genų pakitimais.</w:t>
      </w:r>
    </w:p>
    <w:p w14:paraId="223AC9D2" w14:textId="77777777" w:rsidR="003646A0" w:rsidRPr="00F93FFA" w:rsidRDefault="003646A0" w:rsidP="00DE16D0">
      <w:pPr>
        <w:widowControl w:val="0"/>
        <w:numPr>
          <w:ilvl w:val="0"/>
          <w:numId w:val="8"/>
        </w:numPr>
        <w:tabs>
          <w:tab w:val="clear" w:pos="357"/>
        </w:tabs>
        <w:ind w:left="540" w:hanging="540"/>
        <w:rPr>
          <w:color w:val="000000"/>
          <w:sz w:val="22"/>
          <w:szCs w:val="22"/>
          <w:lang w:eastAsia="ja-JP"/>
        </w:rPr>
      </w:pPr>
      <w:r w:rsidRPr="00F93FFA">
        <w:rPr>
          <w:color w:val="000000"/>
          <w:sz w:val="22"/>
          <w:szCs w:val="22"/>
          <w:lang w:eastAsia="ja-JP"/>
        </w:rPr>
        <w:t xml:space="preserve">suaugusiųjų progresavusį hipereozinofilijos sindromą (HES) ar (arba) lėtinę eozinofilinę leukemiją (LEL) su </w:t>
      </w:r>
      <w:r w:rsidRPr="00F93FFA">
        <w:rPr>
          <w:color w:val="000000"/>
          <w:sz w:val="22"/>
          <w:szCs w:val="22"/>
        </w:rPr>
        <w:t>FIP1L1-PDGFR</w:t>
      </w:r>
      <w:r w:rsidRPr="00F93FFA">
        <w:rPr>
          <w:color w:val="000000"/>
          <w:sz w:val="22"/>
          <w:szCs w:val="22"/>
        </w:rPr>
        <w:sym w:font="Symbol" w:char="F061"/>
      </w:r>
      <w:r w:rsidRPr="00F93FFA">
        <w:rPr>
          <w:color w:val="000000"/>
          <w:sz w:val="22"/>
          <w:szCs w:val="22"/>
        </w:rPr>
        <w:t xml:space="preserve"> pokyčiu.</w:t>
      </w:r>
    </w:p>
    <w:p w14:paraId="445D3F00" w14:textId="77777777" w:rsidR="003646A0" w:rsidRPr="00F93FFA" w:rsidRDefault="003646A0" w:rsidP="00DE16D0">
      <w:pPr>
        <w:pStyle w:val="EndnoteText"/>
        <w:widowControl w:val="0"/>
        <w:tabs>
          <w:tab w:val="clear" w:pos="567"/>
        </w:tabs>
        <w:rPr>
          <w:color w:val="000000"/>
          <w:szCs w:val="22"/>
          <w:lang w:val="lt-LT"/>
        </w:rPr>
      </w:pPr>
    </w:p>
    <w:p w14:paraId="4846C84E" w14:textId="77777777" w:rsidR="003646A0" w:rsidRPr="00F93FFA" w:rsidRDefault="003646A0" w:rsidP="00DE16D0">
      <w:pPr>
        <w:widowControl w:val="0"/>
        <w:rPr>
          <w:color w:val="000000"/>
          <w:sz w:val="22"/>
          <w:szCs w:val="22"/>
        </w:rPr>
      </w:pPr>
      <w:r w:rsidRPr="00F93FFA">
        <w:rPr>
          <w:color w:val="000000"/>
          <w:sz w:val="22"/>
          <w:szCs w:val="22"/>
        </w:rPr>
        <w:t>Glivec poveikis kaulų čiulpų transplantacijos rezultatams nenustatytas.</w:t>
      </w:r>
    </w:p>
    <w:p w14:paraId="5E7F21FD" w14:textId="77777777" w:rsidR="003646A0" w:rsidRPr="00F93FFA" w:rsidRDefault="003646A0" w:rsidP="00DE16D0">
      <w:pPr>
        <w:widowControl w:val="0"/>
        <w:rPr>
          <w:color w:val="000000"/>
          <w:sz w:val="22"/>
          <w:szCs w:val="22"/>
        </w:rPr>
      </w:pPr>
    </w:p>
    <w:p w14:paraId="4E47D5F4" w14:textId="77777777" w:rsidR="003646A0" w:rsidRPr="00F93FFA" w:rsidRDefault="003646A0" w:rsidP="00DE16D0">
      <w:pPr>
        <w:keepNext/>
        <w:widowControl w:val="0"/>
        <w:rPr>
          <w:color w:val="000000"/>
          <w:sz w:val="22"/>
          <w:szCs w:val="22"/>
        </w:rPr>
      </w:pPr>
      <w:r w:rsidRPr="00F93FFA">
        <w:rPr>
          <w:color w:val="000000"/>
          <w:sz w:val="22"/>
          <w:szCs w:val="22"/>
        </w:rPr>
        <w:t>Glivec skiriama:</w:t>
      </w:r>
    </w:p>
    <w:p w14:paraId="34E7D2D3" w14:textId="77777777" w:rsidR="003646A0" w:rsidRPr="00F93FFA" w:rsidRDefault="003646A0" w:rsidP="00DE16D0">
      <w:pPr>
        <w:widowControl w:val="0"/>
        <w:numPr>
          <w:ilvl w:val="0"/>
          <w:numId w:val="11"/>
        </w:numPr>
        <w:tabs>
          <w:tab w:val="clear" w:pos="227"/>
          <w:tab w:val="num" w:pos="540"/>
        </w:tabs>
        <w:ind w:left="540" w:hanging="540"/>
        <w:rPr>
          <w:color w:val="000000"/>
          <w:sz w:val="22"/>
          <w:szCs w:val="22"/>
        </w:rPr>
      </w:pPr>
      <w:r w:rsidRPr="00F93FFA">
        <w:rPr>
          <w:color w:val="000000"/>
          <w:sz w:val="22"/>
          <w:szCs w:val="22"/>
        </w:rPr>
        <w:t>suaugusiesiems, kuriems yra Kit (CD 117) teigiamas nerezekuotinas ir (ar) metastazavęs piktybinis virškinimo trakto stromos navikas (VTSN), gydyti.</w:t>
      </w:r>
    </w:p>
    <w:p w14:paraId="3C8FB2AF" w14:textId="77777777" w:rsidR="003646A0" w:rsidRPr="00F93FFA" w:rsidRDefault="003646A0" w:rsidP="00DE16D0">
      <w:pPr>
        <w:widowControl w:val="0"/>
        <w:numPr>
          <w:ilvl w:val="0"/>
          <w:numId w:val="11"/>
        </w:numPr>
        <w:tabs>
          <w:tab w:val="clear" w:pos="227"/>
          <w:tab w:val="num" w:pos="540"/>
        </w:tabs>
        <w:ind w:left="540" w:hanging="540"/>
        <w:rPr>
          <w:color w:val="000000"/>
          <w:sz w:val="22"/>
          <w:szCs w:val="22"/>
        </w:rPr>
      </w:pPr>
      <w:r w:rsidRPr="00F93FFA">
        <w:rPr>
          <w:sz w:val="22"/>
          <w:szCs w:val="22"/>
        </w:rPr>
        <w:t xml:space="preserve">adjuvantiniam suaugusiųjų, kuriems po atliktos </w:t>
      </w:r>
      <w:r w:rsidRPr="00F93FFA">
        <w:rPr>
          <w:color w:val="000000"/>
          <w:sz w:val="22"/>
          <w:szCs w:val="22"/>
        </w:rPr>
        <w:t>Kit (CD 117) teigiamo VTSN rezekcijos</w:t>
      </w:r>
      <w:r w:rsidRPr="00F93FFA">
        <w:rPr>
          <w:sz w:val="22"/>
          <w:szCs w:val="22"/>
        </w:rPr>
        <w:t xml:space="preserve"> yra reikšmingai padidėjusi recidyvo rizika</w:t>
      </w:r>
      <w:r w:rsidRPr="00F93FFA">
        <w:rPr>
          <w:color w:val="000000"/>
          <w:sz w:val="22"/>
          <w:szCs w:val="22"/>
        </w:rPr>
        <w:t>, gydymui. Pacientai, kuriems yra maža ar labai maža recidyvo rizika neturėtų gauti adjuvantinio gydymo.</w:t>
      </w:r>
    </w:p>
    <w:p w14:paraId="6FC6A8BB" w14:textId="77777777" w:rsidR="003646A0" w:rsidRPr="00F93FFA" w:rsidRDefault="003646A0" w:rsidP="00DE16D0">
      <w:pPr>
        <w:widowControl w:val="0"/>
        <w:numPr>
          <w:ilvl w:val="0"/>
          <w:numId w:val="11"/>
        </w:numPr>
        <w:tabs>
          <w:tab w:val="clear" w:pos="227"/>
        </w:tabs>
        <w:ind w:left="540" w:hanging="540"/>
        <w:rPr>
          <w:color w:val="000000"/>
          <w:sz w:val="22"/>
          <w:szCs w:val="22"/>
        </w:rPr>
      </w:pPr>
      <w:r w:rsidRPr="00F93FFA">
        <w:rPr>
          <w:color w:val="000000"/>
          <w:sz w:val="22"/>
          <w:szCs w:val="22"/>
        </w:rPr>
        <w:t>suaugusiesiems,</w:t>
      </w:r>
      <w:r w:rsidRPr="00F93FFA">
        <w:rPr>
          <w:snapToGrid w:val="0"/>
          <w:color w:val="000000"/>
          <w:sz w:val="22"/>
          <w:szCs w:val="22"/>
          <w:lang w:eastAsia="de-DE"/>
        </w:rPr>
        <w:t xml:space="preserve"> kuriems yra nerezekuotina iškilioji dermatofibrosarkoma</w:t>
      </w:r>
      <w:r w:rsidRPr="00F93FFA">
        <w:rPr>
          <w:i/>
          <w:snapToGrid w:val="0"/>
          <w:color w:val="000000"/>
          <w:sz w:val="22"/>
          <w:szCs w:val="22"/>
          <w:lang w:eastAsia="de-DE"/>
        </w:rPr>
        <w:t xml:space="preserve"> (dermatofibrosarcoma </w:t>
      </w:r>
      <w:r w:rsidRPr="00F93FFA">
        <w:rPr>
          <w:i/>
          <w:color w:val="000000"/>
          <w:sz w:val="22"/>
          <w:szCs w:val="22"/>
        </w:rPr>
        <w:t>protuberans</w:t>
      </w:r>
      <w:r w:rsidRPr="00F93FFA">
        <w:rPr>
          <w:color w:val="000000"/>
          <w:sz w:val="22"/>
          <w:szCs w:val="22"/>
        </w:rPr>
        <w:t xml:space="preserve"> - DFSP) ar, kuriems yra pasikartojanti ir (ar) metastazavusi DFSP ir kurių negalima operuoti.</w:t>
      </w:r>
    </w:p>
    <w:p w14:paraId="334400E0" w14:textId="77777777" w:rsidR="003646A0" w:rsidRPr="00F93FFA" w:rsidRDefault="003646A0" w:rsidP="00DE16D0">
      <w:pPr>
        <w:widowControl w:val="0"/>
        <w:rPr>
          <w:color w:val="000000"/>
          <w:sz w:val="22"/>
          <w:szCs w:val="22"/>
        </w:rPr>
      </w:pPr>
    </w:p>
    <w:p w14:paraId="52E25D6D" w14:textId="2D632447" w:rsidR="003646A0" w:rsidRPr="00F93FFA" w:rsidRDefault="003646A0" w:rsidP="00DE16D0">
      <w:pPr>
        <w:widowControl w:val="0"/>
        <w:rPr>
          <w:color w:val="000000"/>
          <w:sz w:val="22"/>
          <w:szCs w:val="22"/>
        </w:rPr>
      </w:pPr>
      <w:r w:rsidRPr="00F93FFA">
        <w:rPr>
          <w:color w:val="000000"/>
          <w:sz w:val="22"/>
          <w:szCs w:val="22"/>
        </w:rPr>
        <w:lastRenderedPageBreak/>
        <w:t xml:space="preserve">Suaugusiems pacientams ir vaikams Glivec efektyvumas grindžiamas bendra hematologinio ir citologinio atsako dalimi ir gyvenimo trukme be ligos progresavimo, kai yra LML, hematologiniu ir citogenetiniu atsako dažniu, kai yra Ph+ ŪLL, MDS/MPL, hematologiniu atsako dažniu, kai yra HES/LEL, objektyvia atsako dalimi suaugusiųjų pacientų, sergančių nerezekuotinu ir (ar) metastazavusiu VTSN ir DFSP, tarpe ir išgyvenamumo be ligos recidyvo trukme, kai </w:t>
      </w:r>
      <w:r w:rsidR="001E6883" w:rsidRPr="00F93FFA">
        <w:rPr>
          <w:color w:val="000000"/>
          <w:sz w:val="22"/>
          <w:szCs w:val="22"/>
        </w:rPr>
        <w:t xml:space="preserve">vaistinio </w:t>
      </w:r>
      <w:r w:rsidRPr="00F93FFA">
        <w:rPr>
          <w:color w:val="000000"/>
          <w:sz w:val="22"/>
          <w:szCs w:val="22"/>
        </w:rPr>
        <w:t>preparato skiriama adjuvantiniam VTSN gydymui. Patirtis gydant Glivec pacientus, sergančius MDS/MPL, susijusia su PDGF geno pakitimais yra labai ribota (žr. 5.1</w:t>
      </w:r>
      <w:r w:rsidR="00BF7B5C" w:rsidRPr="00F93FFA">
        <w:rPr>
          <w:color w:val="000000"/>
          <w:sz w:val="22"/>
          <w:szCs w:val="22"/>
        </w:rPr>
        <w:t> </w:t>
      </w:r>
      <w:r w:rsidRPr="00F93FFA">
        <w:rPr>
          <w:color w:val="000000"/>
          <w:sz w:val="22"/>
          <w:szCs w:val="22"/>
        </w:rPr>
        <w:t>skyrių). Nėra kontroliuojamų tyrimų, įrodančių klinikinę naudą ar pailgėjusią gyvenimo trukmę, kai yra kuri nors iš šių ligų, išskyrus naujai diagnozuotą lėtinę LML fazę.</w:t>
      </w:r>
    </w:p>
    <w:p w14:paraId="51270673" w14:textId="77777777" w:rsidR="003646A0" w:rsidRPr="00F93FFA" w:rsidRDefault="003646A0" w:rsidP="00DE16D0">
      <w:pPr>
        <w:widowControl w:val="0"/>
        <w:rPr>
          <w:color w:val="000000"/>
          <w:sz w:val="22"/>
          <w:szCs w:val="22"/>
        </w:rPr>
      </w:pPr>
    </w:p>
    <w:p w14:paraId="612F3A2C"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4.2</w:t>
      </w:r>
      <w:r w:rsidRPr="00F93FFA">
        <w:rPr>
          <w:b/>
          <w:color w:val="000000"/>
          <w:sz w:val="22"/>
          <w:szCs w:val="22"/>
        </w:rPr>
        <w:tab/>
        <w:t>Dozavimas ir vartojimo metodas</w:t>
      </w:r>
    </w:p>
    <w:p w14:paraId="6BD7A65D" w14:textId="77777777" w:rsidR="003646A0" w:rsidRPr="00F93FFA" w:rsidRDefault="003646A0" w:rsidP="00DE16D0">
      <w:pPr>
        <w:keepNext/>
        <w:widowControl w:val="0"/>
        <w:ind w:left="567" w:hanging="567"/>
        <w:rPr>
          <w:color w:val="000000"/>
          <w:sz w:val="22"/>
          <w:szCs w:val="22"/>
        </w:rPr>
      </w:pPr>
    </w:p>
    <w:p w14:paraId="4B162BB4" w14:textId="77777777" w:rsidR="003646A0" w:rsidRPr="00F93FFA" w:rsidRDefault="003646A0" w:rsidP="00DE16D0">
      <w:pPr>
        <w:widowControl w:val="0"/>
        <w:rPr>
          <w:color w:val="000000"/>
          <w:sz w:val="22"/>
          <w:szCs w:val="22"/>
        </w:rPr>
      </w:pPr>
      <w:r w:rsidRPr="00F93FFA">
        <w:rPr>
          <w:color w:val="000000"/>
          <w:sz w:val="22"/>
          <w:szCs w:val="22"/>
        </w:rPr>
        <w:t xml:space="preserve">Skirti </w:t>
      </w:r>
      <w:r w:rsidR="00A70D12" w:rsidRPr="00F93FFA">
        <w:rPr>
          <w:color w:val="000000"/>
          <w:sz w:val="22"/>
          <w:szCs w:val="22"/>
        </w:rPr>
        <w:t xml:space="preserve">vaistinį preparatą </w:t>
      </w:r>
      <w:r w:rsidRPr="00F93FFA">
        <w:rPr>
          <w:color w:val="000000"/>
          <w:sz w:val="22"/>
          <w:szCs w:val="22"/>
        </w:rPr>
        <w:t>gali tik gydytojas, turintis patirties, kaip gydyti pacientus, sergančius piktybiniais hematologiniais navikais ar piktybine sarkoma.</w:t>
      </w:r>
    </w:p>
    <w:p w14:paraId="2C978437" w14:textId="77777777" w:rsidR="003646A0" w:rsidRPr="00F93FFA" w:rsidRDefault="003646A0" w:rsidP="00DE16D0">
      <w:pPr>
        <w:widowControl w:val="0"/>
        <w:ind w:left="567" w:hanging="567"/>
        <w:rPr>
          <w:color w:val="000000"/>
          <w:sz w:val="22"/>
          <w:szCs w:val="22"/>
        </w:rPr>
      </w:pPr>
    </w:p>
    <w:p w14:paraId="4BB7F411" w14:textId="4F73959A" w:rsidR="003646A0" w:rsidRPr="00F93FFA" w:rsidRDefault="003646A0" w:rsidP="00DE16D0">
      <w:pPr>
        <w:widowControl w:val="0"/>
        <w:rPr>
          <w:color w:val="000000"/>
          <w:sz w:val="22"/>
          <w:szCs w:val="22"/>
        </w:rPr>
      </w:pPr>
      <w:r w:rsidRPr="00F93FFA">
        <w:rPr>
          <w:color w:val="000000"/>
          <w:sz w:val="22"/>
          <w:szCs w:val="22"/>
        </w:rPr>
        <w:t>Paskirta dozė geriama valgant ir užgeriant didele stikline vandens, kad būtų sumažinta virškinimo trakto dirginimo rizika. 400 mg ar 600 mg dozę vartoti vieną kartą per parą, tuo tarpu 800 mg paros dozę reikėtų vartoti po 400 mg du kartus per parą, ryte ir vakare. Pacientams (vaikams), kurie negali nuryti kapsulės, jos turinį galima ištirpinti stiklinėje negazuoto vandens ar obuolių sulčių. Tyrimai su gyvūnais parodė toksinį poveikį vaisingumui, tačiau potenciali rizika žmogaus vaisiui nežinoma, todėl vaisingo amžiaus moterims, kurioms tenka atidaryti kapsulę, reikia įspėti atsargiai elgtis su kapsulės turiniu ir saugotis, kad jo nepatektų į akis, kad jo neįkvėptų (žr. 4.6</w:t>
      </w:r>
      <w:r w:rsidR="00BF7B5C" w:rsidRPr="00F93FFA">
        <w:rPr>
          <w:color w:val="000000"/>
          <w:sz w:val="22"/>
          <w:szCs w:val="22"/>
        </w:rPr>
        <w:t> </w:t>
      </w:r>
      <w:r w:rsidRPr="00F93FFA">
        <w:rPr>
          <w:color w:val="000000"/>
          <w:sz w:val="22"/>
          <w:szCs w:val="22"/>
        </w:rPr>
        <w:t>skyrių). Kapsulę atidarius, būtina nedelsiant nusiplauti rankas.</w:t>
      </w:r>
    </w:p>
    <w:p w14:paraId="6B1B11F4" w14:textId="77777777" w:rsidR="003646A0" w:rsidRPr="00F93FFA" w:rsidRDefault="003646A0" w:rsidP="00DE16D0">
      <w:pPr>
        <w:widowControl w:val="0"/>
        <w:rPr>
          <w:color w:val="000000"/>
          <w:sz w:val="22"/>
          <w:szCs w:val="22"/>
        </w:rPr>
      </w:pPr>
    </w:p>
    <w:p w14:paraId="088CBF6C"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Dozavimas, kai yra suaugusiųjų LML</w:t>
      </w:r>
    </w:p>
    <w:p w14:paraId="1A98366D" w14:textId="77777777" w:rsidR="003646A0" w:rsidRPr="00F93FFA" w:rsidRDefault="003646A0" w:rsidP="00DE16D0">
      <w:pPr>
        <w:widowControl w:val="0"/>
        <w:rPr>
          <w:snapToGrid w:val="0"/>
          <w:color w:val="000000"/>
          <w:sz w:val="22"/>
          <w:szCs w:val="22"/>
        </w:rPr>
      </w:pPr>
      <w:r w:rsidRPr="00F93FFA">
        <w:rPr>
          <w:color w:val="000000"/>
          <w:sz w:val="22"/>
          <w:szCs w:val="22"/>
        </w:rPr>
        <w:t xml:space="preserve">Rekomenduojama Glivec dozė suaugusiesiems pacientams, sergantiems LML lėtinėje fazėje, yra 400 mg per parą. Lėtinė LML fazė diagnozuojama tada, kai yra visi šie kriterijai: blastų kiekis kraujyje ir kaulų čiulpuose </w:t>
      </w:r>
      <w:r w:rsidRPr="00F93FFA">
        <w:rPr>
          <w:snapToGrid w:val="0"/>
          <w:color w:val="000000"/>
          <w:sz w:val="22"/>
          <w:szCs w:val="22"/>
        </w:rPr>
        <w:t>&lt; 15 %, bazofilų periferiniame kraujyje &lt; 20 %, trombocitų &gt; 100 x 10</w:t>
      </w:r>
      <w:r w:rsidRPr="00F93FFA">
        <w:rPr>
          <w:snapToGrid w:val="0"/>
          <w:color w:val="000000"/>
          <w:sz w:val="22"/>
          <w:szCs w:val="22"/>
          <w:vertAlign w:val="superscript"/>
        </w:rPr>
        <w:t>9</w:t>
      </w:r>
      <w:r w:rsidRPr="00F93FFA">
        <w:rPr>
          <w:snapToGrid w:val="0"/>
          <w:color w:val="000000"/>
          <w:sz w:val="22"/>
          <w:szCs w:val="22"/>
        </w:rPr>
        <w:t>/l.</w:t>
      </w:r>
    </w:p>
    <w:p w14:paraId="5C6CC32C" w14:textId="77777777" w:rsidR="003646A0" w:rsidRPr="00F93FFA" w:rsidRDefault="003646A0" w:rsidP="00DE16D0">
      <w:pPr>
        <w:widowControl w:val="0"/>
        <w:rPr>
          <w:snapToGrid w:val="0"/>
          <w:color w:val="000000"/>
          <w:sz w:val="22"/>
          <w:szCs w:val="22"/>
        </w:rPr>
      </w:pPr>
    </w:p>
    <w:p w14:paraId="53884513" w14:textId="77777777" w:rsidR="003646A0" w:rsidRPr="00F93FFA" w:rsidRDefault="003646A0" w:rsidP="00DE16D0">
      <w:pPr>
        <w:widowControl w:val="0"/>
        <w:rPr>
          <w:color w:val="000000"/>
          <w:sz w:val="22"/>
          <w:szCs w:val="22"/>
        </w:rPr>
      </w:pPr>
      <w:r w:rsidRPr="00F93FFA">
        <w:rPr>
          <w:color w:val="000000"/>
          <w:sz w:val="22"/>
          <w:szCs w:val="22"/>
        </w:rPr>
        <w:t xml:space="preserve">Rekomenduojama Glivec dozė suaugusiesiems pacientams, kuriems yra akceleracijos fazė, yra 600 mg per parą. Akceleracijos fazė diagnozuojama, kai yra bet kuris iš šių požymių: blastų kiekis kraujyje ar kaulų čiulpuose </w:t>
      </w:r>
      <w:r w:rsidRPr="00F93FFA">
        <w:rPr>
          <w:snapToGrid w:val="0"/>
          <w:color w:val="000000"/>
          <w:sz w:val="22"/>
          <w:szCs w:val="22"/>
        </w:rPr>
        <w:sym w:font="Symbol" w:char="F0B3"/>
      </w:r>
      <w:r w:rsidRPr="00F93FFA">
        <w:rPr>
          <w:snapToGrid w:val="0"/>
          <w:color w:val="000000"/>
          <w:sz w:val="22"/>
          <w:szCs w:val="22"/>
        </w:rPr>
        <w:t xml:space="preserve"> 15 %, bet &lt; 30 %, blastų su promielocitais </w:t>
      </w:r>
      <w:r w:rsidRPr="00F93FFA">
        <w:rPr>
          <w:color w:val="000000"/>
          <w:sz w:val="22"/>
          <w:szCs w:val="22"/>
        </w:rPr>
        <w:t xml:space="preserve">kiekis kraujyje ar kaulų čiulpuose </w:t>
      </w:r>
      <w:r w:rsidRPr="00F93FFA">
        <w:rPr>
          <w:snapToGrid w:val="0"/>
          <w:color w:val="000000"/>
          <w:sz w:val="22"/>
          <w:szCs w:val="22"/>
        </w:rPr>
        <w:sym w:font="Symbol" w:char="F0B3"/>
      </w:r>
      <w:r w:rsidRPr="00F93FFA">
        <w:rPr>
          <w:snapToGrid w:val="0"/>
          <w:color w:val="000000"/>
          <w:sz w:val="22"/>
          <w:szCs w:val="22"/>
        </w:rPr>
        <w:t xml:space="preserve"> 30 % (blastų &lt; 30 %), bazofilų periferiniame kraujyje </w:t>
      </w:r>
      <w:r w:rsidRPr="00F93FFA">
        <w:rPr>
          <w:snapToGrid w:val="0"/>
          <w:color w:val="000000"/>
          <w:sz w:val="22"/>
          <w:szCs w:val="22"/>
        </w:rPr>
        <w:sym w:font="Symbol" w:char="F0B3"/>
      </w:r>
      <w:r w:rsidRPr="00F93FFA">
        <w:rPr>
          <w:snapToGrid w:val="0"/>
          <w:color w:val="000000"/>
          <w:sz w:val="22"/>
          <w:szCs w:val="22"/>
        </w:rPr>
        <w:t> 20 %, trombocitų &lt; 100 x 10</w:t>
      </w:r>
      <w:r w:rsidRPr="00F93FFA">
        <w:rPr>
          <w:snapToGrid w:val="0"/>
          <w:color w:val="000000"/>
          <w:sz w:val="22"/>
          <w:szCs w:val="22"/>
          <w:vertAlign w:val="superscript"/>
        </w:rPr>
        <w:t>9</w:t>
      </w:r>
      <w:r w:rsidRPr="00F93FFA">
        <w:rPr>
          <w:snapToGrid w:val="0"/>
          <w:color w:val="000000"/>
          <w:sz w:val="22"/>
          <w:szCs w:val="22"/>
        </w:rPr>
        <w:t>/l neatsižvelgiant į gydymą.</w:t>
      </w:r>
    </w:p>
    <w:p w14:paraId="2DCEDECB" w14:textId="77777777" w:rsidR="003646A0" w:rsidRPr="00F93FFA" w:rsidRDefault="003646A0" w:rsidP="00DE16D0">
      <w:pPr>
        <w:widowControl w:val="0"/>
        <w:ind w:left="567" w:hanging="567"/>
        <w:rPr>
          <w:color w:val="000000"/>
          <w:sz w:val="22"/>
          <w:szCs w:val="22"/>
        </w:rPr>
      </w:pPr>
    </w:p>
    <w:p w14:paraId="7445D301" w14:textId="77777777" w:rsidR="003646A0" w:rsidRPr="00F93FFA" w:rsidRDefault="003646A0" w:rsidP="00DE16D0">
      <w:pPr>
        <w:widowControl w:val="0"/>
        <w:rPr>
          <w:color w:val="000000"/>
          <w:sz w:val="22"/>
          <w:szCs w:val="22"/>
        </w:rPr>
      </w:pPr>
      <w:r w:rsidRPr="00F93FFA">
        <w:rPr>
          <w:color w:val="000000"/>
          <w:sz w:val="22"/>
          <w:szCs w:val="22"/>
        </w:rPr>
        <w:t xml:space="preserve">Rekomenduojama Glivec dozė suaugusiesiems pacientams, kuriems yra blastinė krizė, yra 600 mg per parą. Blastinė krizė diagnozuojama, kai blastų kraujyje ar kaulų čiulpuose </w:t>
      </w:r>
      <w:r w:rsidRPr="00F93FFA">
        <w:rPr>
          <w:snapToGrid w:val="0"/>
          <w:color w:val="000000"/>
          <w:sz w:val="22"/>
          <w:szCs w:val="22"/>
        </w:rPr>
        <w:sym w:font="Symbol" w:char="F0B3"/>
      </w:r>
      <w:r w:rsidRPr="00F93FFA">
        <w:rPr>
          <w:snapToGrid w:val="0"/>
          <w:color w:val="000000"/>
          <w:sz w:val="22"/>
          <w:szCs w:val="22"/>
        </w:rPr>
        <w:t> 30 % ar yra kitokia negu hepatosplenomegalija ekstramedulinė liga.</w:t>
      </w:r>
    </w:p>
    <w:p w14:paraId="35BCD595" w14:textId="77777777" w:rsidR="003646A0" w:rsidRPr="00F93FFA" w:rsidRDefault="003646A0" w:rsidP="00DE16D0">
      <w:pPr>
        <w:widowControl w:val="0"/>
        <w:ind w:left="567" w:hanging="567"/>
        <w:rPr>
          <w:color w:val="000000"/>
          <w:sz w:val="22"/>
          <w:szCs w:val="22"/>
        </w:rPr>
      </w:pPr>
    </w:p>
    <w:p w14:paraId="285A97A9" w14:textId="77777777" w:rsidR="003646A0" w:rsidRPr="00F93FFA" w:rsidRDefault="003646A0" w:rsidP="00DE16D0">
      <w:pPr>
        <w:widowControl w:val="0"/>
        <w:rPr>
          <w:color w:val="000000"/>
          <w:sz w:val="22"/>
          <w:szCs w:val="22"/>
        </w:rPr>
      </w:pPr>
      <w:r w:rsidRPr="00F93FFA">
        <w:rPr>
          <w:color w:val="000000"/>
          <w:sz w:val="22"/>
          <w:szCs w:val="22"/>
        </w:rPr>
        <w:t>Gydymo trukmė. Klinikinių tyrimų metu Glivec vartotas iki ligos progresavimo. Gydymo nutraukimo poveikis gavus visišką citogenetinį atsaką netirtas.</w:t>
      </w:r>
    </w:p>
    <w:p w14:paraId="367902C4" w14:textId="77777777" w:rsidR="003646A0" w:rsidRPr="00F93FFA" w:rsidRDefault="003646A0" w:rsidP="00DE16D0">
      <w:pPr>
        <w:widowControl w:val="0"/>
        <w:rPr>
          <w:color w:val="000000"/>
          <w:sz w:val="22"/>
          <w:szCs w:val="22"/>
        </w:rPr>
      </w:pPr>
    </w:p>
    <w:p w14:paraId="5B6BE0E8" w14:textId="77777777" w:rsidR="003646A0" w:rsidRPr="00F93FFA" w:rsidRDefault="003646A0" w:rsidP="00DE16D0">
      <w:pPr>
        <w:widowControl w:val="0"/>
        <w:rPr>
          <w:color w:val="000000"/>
          <w:sz w:val="22"/>
          <w:szCs w:val="22"/>
        </w:rPr>
      </w:pPr>
      <w:r w:rsidRPr="00F93FFA">
        <w:rPr>
          <w:color w:val="000000"/>
          <w:sz w:val="22"/>
          <w:szCs w:val="22"/>
        </w:rPr>
        <w:t xml:space="preserve">Dozę galima didinti nuo 400 mg iki 600 mg ar 800 mg, kai yra lėtinė ligos fazė, ar nuo 600 mg iki didžiausios 800 mg dozės (po 400 mg 2 kartus per parą), kai yra akceleracijos fazė ar blastinė krizė ir nėra sunkių nepageidaujamų </w:t>
      </w:r>
      <w:r w:rsidR="00A70D12" w:rsidRPr="00F93FFA">
        <w:rPr>
          <w:color w:val="000000"/>
          <w:sz w:val="22"/>
          <w:szCs w:val="22"/>
        </w:rPr>
        <w:t xml:space="preserve">vaistinio preparato </w:t>
      </w:r>
      <w:r w:rsidRPr="00F93FFA">
        <w:rPr>
          <w:color w:val="000000"/>
          <w:sz w:val="22"/>
          <w:szCs w:val="22"/>
        </w:rPr>
        <w:t>reakcijų ar sunkios su leukemija susijusios neutropenijos ar trombocitopemijos šiais atvejais: ligai progresuojant (bet kuriuo metu); po 3 mėnesių gydymo negavus reikiamo hematologinio atsako; po 12 mėnesių gydymo negavus citogenetinio atsako; ar išnykus anksčiau pasiektam hematologiniam ir (ar) citogenetiniam atsakui. Pacientą, kuriam padidinama dozė, būtina atidžiai stebėti dėl galimų dažnesnių nepageidaujamų reakcijų, sukeliamų didesnių dozių.</w:t>
      </w:r>
    </w:p>
    <w:p w14:paraId="54A01DF7" w14:textId="77777777" w:rsidR="003646A0" w:rsidRPr="00F93FFA" w:rsidRDefault="003646A0" w:rsidP="00DE16D0">
      <w:pPr>
        <w:widowControl w:val="0"/>
        <w:rPr>
          <w:color w:val="000000"/>
          <w:sz w:val="22"/>
          <w:szCs w:val="22"/>
        </w:rPr>
      </w:pPr>
    </w:p>
    <w:p w14:paraId="1DAA65F9"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Dozavimas, kai yra vaikų LML</w:t>
      </w:r>
    </w:p>
    <w:p w14:paraId="2D16C1BF" w14:textId="203F1EAC" w:rsidR="003646A0" w:rsidRPr="00F93FFA" w:rsidRDefault="003646A0" w:rsidP="00DE16D0">
      <w:pPr>
        <w:widowControl w:val="0"/>
        <w:rPr>
          <w:color w:val="000000"/>
          <w:sz w:val="22"/>
          <w:szCs w:val="22"/>
        </w:rPr>
      </w:pPr>
      <w:r w:rsidRPr="00F93FFA">
        <w:rPr>
          <w:color w:val="000000"/>
          <w:sz w:val="22"/>
          <w:szCs w:val="22"/>
        </w:rPr>
        <w:t>Vaikams dozuojama pagal kūno paviršiaus plotą (mg/m</w:t>
      </w:r>
      <w:r w:rsidRPr="00F93FFA">
        <w:rPr>
          <w:color w:val="000000"/>
          <w:sz w:val="22"/>
          <w:szCs w:val="22"/>
          <w:vertAlign w:val="superscript"/>
        </w:rPr>
        <w:t>2</w:t>
      </w:r>
      <w:r w:rsidRPr="00F93FFA">
        <w:rPr>
          <w:color w:val="000000"/>
          <w:sz w:val="22"/>
          <w:szCs w:val="22"/>
        </w:rPr>
        <w:t>). Kai yra lėtinė ir progresavusi LML fazė, vaikams rekomenduojama 340 mg/m</w:t>
      </w:r>
      <w:r w:rsidRPr="00F93FFA">
        <w:rPr>
          <w:color w:val="000000"/>
          <w:sz w:val="22"/>
          <w:szCs w:val="22"/>
          <w:vertAlign w:val="superscript"/>
        </w:rPr>
        <w:t>2</w:t>
      </w:r>
      <w:r w:rsidRPr="00F93FFA">
        <w:rPr>
          <w:color w:val="000000"/>
          <w:sz w:val="22"/>
          <w:szCs w:val="22"/>
        </w:rPr>
        <w:t xml:space="preserve"> paros dozė (bendros 800 mg dozės viršyti negalima). </w:t>
      </w:r>
      <w:r w:rsidR="00A70D12" w:rsidRPr="00F93FFA">
        <w:rPr>
          <w:color w:val="000000"/>
          <w:sz w:val="22"/>
          <w:szCs w:val="22"/>
        </w:rPr>
        <w:t xml:space="preserve">Vaistinį preparatą </w:t>
      </w:r>
      <w:r w:rsidRPr="00F93FFA">
        <w:rPr>
          <w:color w:val="000000"/>
          <w:sz w:val="22"/>
          <w:szCs w:val="22"/>
        </w:rPr>
        <w:t>galima vartoti vieną kartą per parą arba paros dozę dalyti į dvi dozes – vieną vartoti rytą, kitą – vakare. Dabartinės dozavimo rekomendacijos vadovaujasi mažu vaikų skaičiumi (žr. 5.1 ir 5.2</w:t>
      </w:r>
      <w:r w:rsidR="00BF7B5C" w:rsidRPr="00F93FFA">
        <w:rPr>
          <w:color w:val="000000"/>
          <w:sz w:val="22"/>
          <w:szCs w:val="22"/>
        </w:rPr>
        <w:t> </w:t>
      </w:r>
      <w:r w:rsidRPr="00F93FFA">
        <w:rPr>
          <w:color w:val="000000"/>
          <w:sz w:val="22"/>
          <w:szCs w:val="22"/>
        </w:rPr>
        <w:t>skyrius). Kaip gydyti jaunesnius negu 2 metų vaikus, patirties nėra.</w:t>
      </w:r>
    </w:p>
    <w:p w14:paraId="5D139061" w14:textId="77777777" w:rsidR="003646A0" w:rsidRPr="00F93FFA" w:rsidRDefault="003646A0" w:rsidP="00DE16D0">
      <w:pPr>
        <w:widowControl w:val="0"/>
        <w:rPr>
          <w:color w:val="000000"/>
          <w:sz w:val="22"/>
          <w:szCs w:val="22"/>
        </w:rPr>
      </w:pPr>
    </w:p>
    <w:p w14:paraId="5296CAD4" w14:textId="77777777" w:rsidR="003646A0" w:rsidRPr="00F93FFA" w:rsidRDefault="003646A0" w:rsidP="00DE16D0">
      <w:pPr>
        <w:widowControl w:val="0"/>
        <w:rPr>
          <w:color w:val="000000"/>
          <w:sz w:val="22"/>
          <w:szCs w:val="22"/>
        </w:rPr>
      </w:pPr>
      <w:r w:rsidRPr="00F93FFA">
        <w:rPr>
          <w:color w:val="000000"/>
          <w:sz w:val="22"/>
          <w:szCs w:val="22"/>
        </w:rPr>
        <w:t>Jei nepasireiškė sunkaus nepageidaujamo poveikio ir sunkios ne su leukemija susijusios neutropenijos arba trombocitopenijos, dozė vaikams gali būti didinama nuo 340 mg/m</w:t>
      </w:r>
      <w:r w:rsidRPr="00F93FFA">
        <w:rPr>
          <w:color w:val="000000"/>
          <w:sz w:val="22"/>
          <w:szCs w:val="22"/>
          <w:vertAlign w:val="superscript"/>
        </w:rPr>
        <w:t>2</w:t>
      </w:r>
      <w:r w:rsidRPr="00F93FFA">
        <w:rPr>
          <w:color w:val="000000"/>
          <w:sz w:val="22"/>
          <w:szCs w:val="22"/>
        </w:rPr>
        <w:t xml:space="preserve"> iki 570 mg/m</w:t>
      </w:r>
      <w:r w:rsidRPr="00F93FFA">
        <w:rPr>
          <w:color w:val="000000"/>
          <w:sz w:val="22"/>
          <w:szCs w:val="22"/>
          <w:vertAlign w:val="superscript"/>
        </w:rPr>
        <w:t xml:space="preserve">2 </w:t>
      </w:r>
      <w:r w:rsidRPr="00F93FFA">
        <w:rPr>
          <w:color w:val="000000"/>
          <w:sz w:val="22"/>
          <w:szCs w:val="22"/>
        </w:rPr>
        <w:t>per parą (bendros 800 mg dozės viršyti negalima) sekančiomis sąlygomis: ligos progresavimas (bet kuriuo metu); nepasiektas patenkinamas hematologinis atsakas po mažiausiai 3 gydymo mėnesių; nepasiektas citogenetinis atsakas po 12 gydymo mėnesių; anksčiau pasiekto hematologinio ir/arba citogenetinio atsako praradimas. Didinant dozę, pacientai turi būti atidžiai stebimi dėl padidėjusio nepageidaujamo poveikio pasireiškimo galimybės gydant didesnėmis dozėmis.</w:t>
      </w:r>
    </w:p>
    <w:p w14:paraId="7DF00EF0" w14:textId="77777777" w:rsidR="003646A0" w:rsidRPr="00F93FFA" w:rsidRDefault="003646A0" w:rsidP="00DE16D0">
      <w:pPr>
        <w:pStyle w:val="EndnoteText"/>
        <w:widowControl w:val="0"/>
        <w:tabs>
          <w:tab w:val="clear" w:pos="567"/>
        </w:tabs>
        <w:rPr>
          <w:color w:val="000000"/>
          <w:szCs w:val="22"/>
          <w:u w:val="single"/>
          <w:lang w:val="lt-LT"/>
        </w:rPr>
      </w:pPr>
    </w:p>
    <w:p w14:paraId="7D7A0AEA"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 xml:space="preserve">Dozavimas, kai yra </w:t>
      </w:r>
      <w:r w:rsidRPr="00F93FFA">
        <w:rPr>
          <w:color w:val="000000"/>
          <w:szCs w:val="22"/>
          <w:u w:val="single"/>
        </w:rPr>
        <w:t xml:space="preserve">suaugusiųjų </w:t>
      </w:r>
      <w:r w:rsidRPr="00F93FFA">
        <w:rPr>
          <w:color w:val="000000"/>
          <w:szCs w:val="22"/>
          <w:u w:val="single"/>
          <w:lang w:val="lt-LT"/>
        </w:rPr>
        <w:t>Ph+ ŪLL</w:t>
      </w:r>
    </w:p>
    <w:p w14:paraId="4E01AB6B"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Ph+ ŪLL sergantiems </w:t>
      </w:r>
      <w:r w:rsidRPr="00F93FFA">
        <w:rPr>
          <w:color w:val="000000"/>
          <w:szCs w:val="22"/>
        </w:rPr>
        <w:t xml:space="preserve">suaugusiesiems </w:t>
      </w:r>
      <w:r w:rsidRPr="00F93FFA">
        <w:rPr>
          <w:color w:val="000000"/>
          <w:szCs w:val="22"/>
          <w:lang w:val="lt-LT"/>
        </w:rPr>
        <w:t>pacientams rekomenduojama Glivec dozė yra 600 mg per parą. Visų fazių metu gydymui turi vadovauti hematologai, turintys šios ligos gydymo patirties.</w:t>
      </w:r>
    </w:p>
    <w:p w14:paraId="3119FDD1" w14:textId="77777777" w:rsidR="003646A0" w:rsidRPr="00F93FFA" w:rsidRDefault="003646A0" w:rsidP="00DE16D0">
      <w:pPr>
        <w:widowControl w:val="0"/>
        <w:rPr>
          <w:color w:val="000000"/>
          <w:sz w:val="22"/>
          <w:szCs w:val="22"/>
        </w:rPr>
      </w:pPr>
    </w:p>
    <w:p w14:paraId="4D2AFB83" w14:textId="30886B47" w:rsidR="003646A0" w:rsidRPr="00F93FFA" w:rsidRDefault="003646A0" w:rsidP="00DE16D0">
      <w:pPr>
        <w:widowControl w:val="0"/>
        <w:rPr>
          <w:rFonts w:eastAsia="MS Mincho"/>
          <w:color w:val="000000"/>
          <w:sz w:val="22"/>
          <w:szCs w:val="22"/>
          <w:lang w:eastAsia="ja-JP"/>
        </w:rPr>
      </w:pPr>
      <w:r w:rsidRPr="00F93FFA">
        <w:rPr>
          <w:rFonts w:eastAsia="MS Mincho"/>
          <w:color w:val="000000"/>
          <w:sz w:val="22"/>
          <w:szCs w:val="22"/>
          <w:lang w:eastAsia="ja-JP"/>
        </w:rPr>
        <w:t xml:space="preserve">Gydymo planas. Pagal turimus duomenis, Glivec 600 mg per parą dozė buvo efektyvi ir saugi kartu su chemoterapiniais </w:t>
      </w:r>
      <w:r w:rsidR="001E6883" w:rsidRPr="00F93FFA">
        <w:rPr>
          <w:rFonts w:eastAsia="MS Mincho"/>
          <w:color w:val="000000"/>
          <w:sz w:val="22"/>
          <w:szCs w:val="22"/>
          <w:lang w:eastAsia="ja-JP"/>
        </w:rPr>
        <w:t xml:space="preserve">vaistiniais </w:t>
      </w:r>
      <w:r w:rsidRPr="00F93FFA">
        <w:rPr>
          <w:rFonts w:eastAsia="MS Mincho"/>
          <w:color w:val="000000"/>
          <w:sz w:val="22"/>
          <w:szCs w:val="22"/>
          <w:lang w:eastAsia="ja-JP"/>
        </w:rPr>
        <w:t>preparatais pradinės, dozės didinimo ir palaikomosios chemoterapijos fazės metu (žr. 5.1</w:t>
      </w:r>
      <w:r w:rsidR="00BF7B5C" w:rsidRPr="00F93FFA">
        <w:rPr>
          <w:rFonts w:eastAsia="MS Mincho"/>
          <w:color w:val="000000"/>
          <w:sz w:val="22"/>
          <w:szCs w:val="22"/>
          <w:lang w:eastAsia="ja-JP"/>
        </w:rPr>
        <w:t> </w:t>
      </w:r>
      <w:r w:rsidRPr="00F93FFA">
        <w:rPr>
          <w:rFonts w:eastAsia="MS Mincho"/>
          <w:color w:val="000000"/>
          <w:sz w:val="22"/>
          <w:szCs w:val="22"/>
          <w:lang w:eastAsia="ja-JP"/>
        </w:rPr>
        <w:t>skyrių) suaugusiems pacientams, kuriems pirmą kartą diagnozuota Ph+ ŪLL. Gydymo Glivec trukmė gali priklausyti nuo pasirinktos gydymo programos, bet dažniausiai ilgiau vartojant Glivec rezultatai buvo geresni.</w:t>
      </w:r>
    </w:p>
    <w:p w14:paraId="04FFC076" w14:textId="77777777" w:rsidR="003646A0" w:rsidRPr="00F93FFA" w:rsidRDefault="003646A0" w:rsidP="00DE16D0">
      <w:pPr>
        <w:widowControl w:val="0"/>
        <w:rPr>
          <w:rFonts w:eastAsia="MS Mincho"/>
          <w:color w:val="000000"/>
          <w:sz w:val="22"/>
          <w:szCs w:val="22"/>
          <w:lang w:eastAsia="ja-JP"/>
        </w:rPr>
      </w:pPr>
    </w:p>
    <w:p w14:paraId="6287299C" w14:textId="77777777" w:rsidR="003646A0" w:rsidRPr="00F93FFA" w:rsidRDefault="003646A0" w:rsidP="00DE16D0">
      <w:pPr>
        <w:widowControl w:val="0"/>
        <w:rPr>
          <w:rFonts w:eastAsia="MS Mincho"/>
          <w:color w:val="000000"/>
          <w:sz w:val="22"/>
          <w:szCs w:val="22"/>
          <w:lang w:eastAsia="ja-JP"/>
        </w:rPr>
      </w:pPr>
      <w:r w:rsidRPr="00F93FFA">
        <w:rPr>
          <w:rFonts w:eastAsia="MS Mincho"/>
          <w:color w:val="000000"/>
          <w:sz w:val="22"/>
          <w:szCs w:val="22"/>
          <w:lang w:eastAsia="ja-JP"/>
        </w:rPr>
        <w:t>Suaugusiesiems pacientams, kuriems yra recidyvas ar gydymui atspari Ph+ ŪLL, gydymas vien tik Glivec po 600 mg per parą yra saugus, efektyvus ir gali būti skiriamas, kol liga pradės progresuoti.</w:t>
      </w:r>
    </w:p>
    <w:p w14:paraId="76542F18" w14:textId="77777777" w:rsidR="003646A0" w:rsidRPr="00F93FFA" w:rsidRDefault="003646A0" w:rsidP="00DE16D0">
      <w:pPr>
        <w:widowControl w:val="0"/>
        <w:rPr>
          <w:rFonts w:eastAsia="MS Mincho"/>
          <w:color w:val="000000"/>
          <w:sz w:val="22"/>
          <w:szCs w:val="22"/>
          <w:lang w:eastAsia="ja-JP"/>
        </w:rPr>
      </w:pPr>
    </w:p>
    <w:p w14:paraId="169F9B5D"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 xml:space="preserve">Dozavimas, kai yra </w:t>
      </w:r>
      <w:r w:rsidRPr="00F93FFA">
        <w:rPr>
          <w:color w:val="000000"/>
          <w:szCs w:val="22"/>
          <w:u w:val="single"/>
        </w:rPr>
        <w:t xml:space="preserve">vaikų </w:t>
      </w:r>
      <w:r w:rsidRPr="00F93FFA">
        <w:rPr>
          <w:color w:val="000000"/>
          <w:szCs w:val="22"/>
          <w:u w:val="single"/>
          <w:lang w:val="lt-LT"/>
        </w:rPr>
        <w:t>Ph+ ŪLL</w:t>
      </w:r>
    </w:p>
    <w:p w14:paraId="04180B24" w14:textId="77777777" w:rsidR="003646A0" w:rsidRPr="00F93FFA" w:rsidRDefault="003646A0" w:rsidP="00DE16D0">
      <w:pPr>
        <w:pStyle w:val="EndnoteText"/>
        <w:widowControl w:val="0"/>
        <w:tabs>
          <w:tab w:val="clear" w:pos="567"/>
        </w:tabs>
      </w:pPr>
      <w:r w:rsidRPr="00F93FFA">
        <w:t>Vaikams dozuojama pagal kūno paviršiaus plotą (mg/m</w:t>
      </w:r>
      <w:r w:rsidRPr="00F93FFA">
        <w:rPr>
          <w:vertAlign w:val="superscript"/>
        </w:rPr>
        <w:t>2</w:t>
      </w:r>
      <w:r w:rsidRPr="00F93FFA">
        <w:t xml:space="preserve">). Kai yra </w:t>
      </w:r>
      <w:r w:rsidRPr="00F93FFA">
        <w:rPr>
          <w:color w:val="000000"/>
          <w:szCs w:val="22"/>
          <w:lang w:val="lt-LT"/>
        </w:rPr>
        <w:t>Ph+ ŪLL</w:t>
      </w:r>
      <w:r w:rsidRPr="00F93FFA">
        <w:t>, vaikams rekomenduojama 340 mg/m</w:t>
      </w:r>
      <w:r w:rsidRPr="00F93FFA">
        <w:rPr>
          <w:vertAlign w:val="superscript"/>
        </w:rPr>
        <w:t>2</w:t>
      </w:r>
      <w:r w:rsidRPr="00F93FFA">
        <w:t xml:space="preserve"> paros dozė (bendros 600 mg dozės viršyti negalima).</w:t>
      </w:r>
    </w:p>
    <w:p w14:paraId="29701B14" w14:textId="77777777" w:rsidR="003646A0" w:rsidRPr="00F93FFA" w:rsidRDefault="003646A0" w:rsidP="00DE16D0">
      <w:pPr>
        <w:pStyle w:val="EndnoteText"/>
        <w:widowControl w:val="0"/>
        <w:tabs>
          <w:tab w:val="clear" w:pos="567"/>
        </w:tabs>
        <w:rPr>
          <w:color w:val="000000"/>
          <w:szCs w:val="22"/>
          <w:u w:val="single"/>
          <w:lang w:val="lt-LT"/>
        </w:rPr>
      </w:pPr>
    </w:p>
    <w:p w14:paraId="4CCB8E2E"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Dozavimas, kai yra MDS/MPL</w:t>
      </w:r>
    </w:p>
    <w:p w14:paraId="381A523A"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MDS ar MPL sergantiems </w:t>
      </w:r>
      <w:r w:rsidRPr="00F93FFA">
        <w:rPr>
          <w:color w:val="000000"/>
          <w:szCs w:val="22"/>
        </w:rPr>
        <w:t xml:space="preserve">suaugusiesiems </w:t>
      </w:r>
      <w:r w:rsidRPr="00F93FFA">
        <w:rPr>
          <w:color w:val="000000"/>
          <w:szCs w:val="22"/>
          <w:lang w:val="lt-LT"/>
        </w:rPr>
        <w:t>pacientams rekomenduojama Glivec dozė yra 400 mg per parą.</w:t>
      </w:r>
    </w:p>
    <w:p w14:paraId="64D15AE7" w14:textId="77777777" w:rsidR="003646A0" w:rsidRPr="00F93FFA" w:rsidRDefault="003646A0" w:rsidP="00DE16D0">
      <w:pPr>
        <w:widowControl w:val="0"/>
        <w:rPr>
          <w:color w:val="000000"/>
          <w:sz w:val="22"/>
          <w:szCs w:val="22"/>
        </w:rPr>
      </w:pPr>
    </w:p>
    <w:p w14:paraId="4E9935F8" w14:textId="7C883E82" w:rsidR="003646A0" w:rsidRPr="00F93FFA" w:rsidRDefault="003646A0" w:rsidP="00DE16D0">
      <w:pPr>
        <w:widowControl w:val="0"/>
        <w:rPr>
          <w:color w:val="000000"/>
          <w:sz w:val="22"/>
          <w:szCs w:val="22"/>
        </w:rPr>
      </w:pPr>
      <w:r w:rsidRPr="00F93FFA">
        <w:rPr>
          <w:color w:val="000000"/>
          <w:sz w:val="22"/>
          <w:szCs w:val="22"/>
        </w:rPr>
        <w:t>Gydymo trukmė: Klinikinio tyrimo, tęsiamo iki šiol, metu gydymas Glivec buvo tęsiamas iki ligos progresavimo (žr. 5.1</w:t>
      </w:r>
      <w:r w:rsidR="00BF7B5C" w:rsidRPr="00F93FFA">
        <w:rPr>
          <w:color w:val="000000"/>
          <w:sz w:val="22"/>
          <w:szCs w:val="22"/>
        </w:rPr>
        <w:t> </w:t>
      </w:r>
      <w:r w:rsidRPr="00F93FFA">
        <w:rPr>
          <w:color w:val="000000"/>
          <w:sz w:val="22"/>
          <w:szCs w:val="22"/>
        </w:rPr>
        <w:t>skyrių). Tyrimo metu gydymo vidutinė trukmė buvo 47 mėnesiai (24 dienos – 60 mėnesių).</w:t>
      </w:r>
    </w:p>
    <w:p w14:paraId="66B85411" w14:textId="77777777" w:rsidR="003646A0" w:rsidRPr="00F93FFA" w:rsidRDefault="003646A0" w:rsidP="00DE16D0">
      <w:pPr>
        <w:widowControl w:val="0"/>
        <w:rPr>
          <w:color w:val="000000"/>
          <w:sz w:val="22"/>
          <w:szCs w:val="22"/>
          <w:u w:val="single"/>
        </w:rPr>
      </w:pPr>
    </w:p>
    <w:p w14:paraId="487DFC5F"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Dozavimas, kai yra HES/LEL</w:t>
      </w:r>
    </w:p>
    <w:p w14:paraId="2447AD71" w14:textId="77777777" w:rsidR="003646A0" w:rsidRPr="00F93FFA" w:rsidRDefault="003646A0" w:rsidP="00DE16D0">
      <w:pPr>
        <w:widowControl w:val="0"/>
        <w:rPr>
          <w:color w:val="000000"/>
          <w:sz w:val="22"/>
          <w:szCs w:val="22"/>
        </w:rPr>
      </w:pPr>
      <w:r w:rsidRPr="00F93FFA">
        <w:rPr>
          <w:color w:val="000000"/>
          <w:sz w:val="22"/>
          <w:szCs w:val="22"/>
        </w:rPr>
        <w:t>Rekomenduojama Glivec dozė suaugusiesiems pacientams, sergantiems HES/LEL, yra 100 mg per parą.</w:t>
      </w:r>
    </w:p>
    <w:p w14:paraId="6CD59539" w14:textId="77777777" w:rsidR="003646A0" w:rsidRPr="00F93FFA" w:rsidRDefault="003646A0" w:rsidP="00DE16D0">
      <w:pPr>
        <w:widowControl w:val="0"/>
        <w:rPr>
          <w:color w:val="000000"/>
          <w:sz w:val="22"/>
          <w:szCs w:val="22"/>
        </w:rPr>
      </w:pPr>
    </w:p>
    <w:p w14:paraId="58CAAF5B" w14:textId="77777777" w:rsidR="003646A0" w:rsidRPr="00F93FFA" w:rsidRDefault="003646A0" w:rsidP="00DE16D0">
      <w:pPr>
        <w:widowControl w:val="0"/>
        <w:rPr>
          <w:rFonts w:eastAsia="MS Mincho"/>
          <w:color w:val="000000"/>
          <w:sz w:val="22"/>
          <w:szCs w:val="22"/>
          <w:lang w:eastAsia="ja-JP"/>
        </w:rPr>
      </w:pPr>
      <w:r w:rsidRPr="00F93FFA">
        <w:rPr>
          <w:color w:val="000000"/>
          <w:sz w:val="22"/>
          <w:szCs w:val="22"/>
        </w:rPr>
        <w:t>G</w:t>
      </w:r>
      <w:r w:rsidRPr="00F93FFA">
        <w:rPr>
          <w:rFonts w:eastAsia="MS Mincho"/>
          <w:color w:val="000000"/>
          <w:sz w:val="22"/>
          <w:szCs w:val="22"/>
          <w:lang w:eastAsia="ja-JP"/>
        </w:rPr>
        <w:t>alima didinti dozę nuo 100 mg iki 400 mg, jei nėra nepageidaujamų reakcijų ir jeigu įvertinimas rodo nepakankamą atsaką į gydymą.</w:t>
      </w:r>
    </w:p>
    <w:p w14:paraId="72B61571" w14:textId="77777777" w:rsidR="003646A0" w:rsidRPr="00F93FFA" w:rsidRDefault="003646A0" w:rsidP="00DE16D0">
      <w:pPr>
        <w:widowControl w:val="0"/>
        <w:rPr>
          <w:color w:val="000000"/>
          <w:sz w:val="22"/>
          <w:szCs w:val="22"/>
        </w:rPr>
      </w:pPr>
    </w:p>
    <w:p w14:paraId="4E6172A8"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Gydymą reikia tęsti tol, kol pacientui stebimas teigiamas poveikis.</w:t>
      </w:r>
    </w:p>
    <w:p w14:paraId="0B78725F" w14:textId="77777777" w:rsidR="003646A0" w:rsidRPr="00F93FFA" w:rsidRDefault="003646A0" w:rsidP="00DE16D0">
      <w:pPr>
        <w:widowControl w:val="0"/>
        <w:rPr>
          <w:color w:val="000000"/>
          <w:sz w:val="22"/>
          <w:szCs w:val="22"/>
        </w:rPr>
      </w:pPr>
    </w:p>
    <w:p w14:paraId="26C86A19"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Dozavimas pacientams, kuriems yra VTSN</w:t>
      </w:r>
    </w:p>
    <w:p w14:paraId="719B14C6" w14:textId="77777777" w:rsidR="003646A0" w:rsidRPr="00F93FFA" w:rsidRDefault="003646A0" w:rsidP="00DE16D0">
      <w:pPr>
        <w:widowControl w:val="0"/>
        <w:rPr>
          <w:color w:val="000000"/>
          <w:sz w:val="22"/>
          <w:szCs w:val="22"/>
        </w:rPr>
      </w:pPr>
      <w:r w:rsidRPr="00F93FFA">
        <w:rPr>
          <w:color w:val="000000"/>
          <w:sz w:val="22"/>
          <w:szCs w:val="22"/>
        </w:rPr>
        <w:t>Rekomenduojama Glivec dozė suaugusiesiems pacientams, kuriems yra nerezekuotinas ir (ar) metastazavęs piktybinis VTSN, yra 400 mg per parą.</w:t>
      </w:r>
    </w:p>
    <w:p w14:paraId="6578EC02" w14:textId="77777777" w:rsidR="003646A0" w:rsidRPr="00F93FFA" w:rsidRDefault="003646A0" w:rsidP="00DE16D0">
      <w:pPr>
        <w:widowControl w:val="0"/>
        <w:rPr>
          <w:color w:val="000000"/>
          <w:sz w:val="22"/>
          <w:szCs w:val="22"/>
        </w:rPr>
      </w:pPr>
    </w:p>
    <w:p w14:paraId="6B030122" w14:textId="11D2F884" w:rsidR="003646A0" w:rsidRPr="00F93FFA" w:rsidRDefault="003646A0" w:rsidP="00DE16D0">
      <w:pPr>
        <w:widowControl w:val="0"/>
        <w:rPr>
          <w:color w:val="000000"/>
          <w:sz w:val="22"/>
          <w:szCs w:val="22"/>
        </w:rPr>
      </w:pPr>
      <w:r w:rsidRPr="00F93FFA">
        <w:rPr>
          <w:color w:val="000000"/>
          <w:sz w:val="22"/>
          <w:szCs w:val="22"/>
        </w:rPr>
        <w:t>Dar mažai duomenų apie nuo 400 mg iki 600 mg ar 800 mg padidintos dozės poveikį pacientams, kuriems liga progresavo vartojant mažesnę dozę (žr. 5.1</w:t>
      </w:r>
      <w:r w:rsidR="00BF7B5C" w:rsidRPr="00F93FFA">
        <w:rPr>
          <w:color w:val="000000"/>
          <w:sz w:val="22"/>
          <w:szCs w:val="22"/>
        </w:rPr>
        <w:t> </w:t>
      </w:r>
      <w:r w:rsidRPr="00F93FFA">
        <w:rPr>
          <w:color w:val="000000"/>
          <w:sz w:val="22"/>
          <w:szCs w:val="22"/>
        </w:rPr>
        <w:t>skyrių).</w:t>
      </w:r>
    </w:p>
    <w:p w14:paraId="6D4F7195" w14:textId="77777777" w:rsidR="003646A0" w:rsidRPr="00F93FFA" w:rsidRDefault="003646A0" w:rsidP="00DE16D0">
      <w:pPr>
        <w:widowControl w:val="0"/>
        <w:rPr>
          <w:color w:val="000000"/>
          <w:sz w:val="22"/>
          <w:szCs w:val="22"/>
        </w:rPr>
      </w:pPr>
    </w:p>
    <w:p w14:paraId="1BC54144" w14:textId="77777777" w:rsidR="003646A0" w:rsidRPr="00F93FFA" w:rsidRDefault="003646A0" w:rsidP="00DE16D0">
      <w:pPr>
        <w:widowControl w:val="0"/>
        <w:rPr>
          <w:color w:val="000000"/>
          <w:sz w:val="22"/>
          <w:szCs w:val="22"/>
        </w:rPr>
      </w:pPr>
      <w:r w:rsidRPr="00F93FFA">
        <w:rPr>
          <w:color w:val="000000"/>
          <w:sz w:val="22"/>
          <w:szCs w:val="22"/>
        </w:rPr>
        <w:t>Gydymo trukmė. Klinikinių tyrimų metu VTSN sergantys pacientai Glivec buvo gydomi iki ligos progresavimo. Analizės metu nustatyta, kad vidutinė gydymo trukmė buvo 7 mėnesiai (nuo 7 dienų iki 13 mėnesių). Gydymo nutraukimo poveikis po gauto atsako netirtas.</w:t>
      </w:r>
    </w:p>
    <w:p w14:paraId="796582F9" w14:textId="77777777" w:rsidR="003646A0" w:rsidRPr="00F93FFA" w:rsidRDefault="003646A0" w:rsidP="00DE16D0">
      <w:pPr>
        <w:widowControl w:val="0"/>
        <w:rPr>
          <w:color w:val="000000"/>
          <w:sz w:val="22"/>
          <w:szCs w:val="22"/>
        </w:rPr>
      </w:pPr>
    </w:p>
    <w:p w14:paraId="465E9047" w14:textId="77777777" w:rsidR="003646A0" w:rsidRPr="00F93FFA" w:rsidRDefault="003646A0" w:rsidP="00DE16D0">
      <w:pPr>
        <w:widowControl w:val="0"/>
        <w:rPr>
          <w:color w:val="000000"/>
          <w:sz w:val="22"/>
          <w:szCs w:val="22"/>
        </w:rPr>
      </w:pPr>
      <w:r w:rsidRPr="00F93FFA">
        <w:rPr>
          <w:sz w:val="22"/>
          <w:szCs w:val="22"/>
        </w:rPr>
        <w:t xml:space="preserve">Rekomenduojama </w:t>
      </w:r>
      <w:r w:rsidRPr="00F93FFA">
        <w:rPr>
          <w:color w:val="000000"/>
          <w:sz w:val="22"/>
          <w:szCs w:val="22"/>
        </w:rPr>
        <w:t xml:space="preserve">Glivec dozė </w:t>
      </w:r>
      <w:r w:rsidRPr="00F93FFA">
        <w:rPr>
          <w:sz w:val="22"/>
          <w:szCs w:val="22"/>
        </w:rPr>
        <w:t xml:space="preserve">adjuvantiniam suaugusiųjų, kuriems atlikta </w:t>
      </w:r>
      <w:r w:rsidRPr="00F93FFA">
        <w:rPr>
          <w:color w:val="000000"/>
          <w:sz w:val="22"/>
          <w:szCs w:val="22"/>
        </w:rPr>
        <w:t>VTSN rezekcija, gydymui yra 400 mg per parą. Optimali gydymo trukmė kol kas nenustatyta. Klinikinių tyrimų duomenimis gydymo trukmė šiai indikacijai truko 36 mėnesius (žr. 5.1 skyrių).</w:t>
      </w:r>
    </w:p>
    <w:p w14:paraId="34D1DD85" w14:textId="77777777" w:rsidR="003646A0" w:rsidRPr="00F93FFA" w:rsidRDefault="003646A0" w:rsidP="00DE16D0">
      <w:pPr>
        <w:widowControl w:val="0"/>
        <w:rPr>
          <w:color w:val="000000"/>
          <w:sz w:val="22"/>
          <w:szCs w:val="22"/>
        </w:rPr>
      </w:pPr>
    </w:p>
    <w:p w14:paraId="722BF61B"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Dozavimas, kai yra DFSP</w:t>
      </w:r>
    </w:p>
    <w:p w14:paraId="1B8D4BE4"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DFSP sergantiems </w:t>
      </w:r>
      <w:r w:rsidRPr="00F93FFA">
        <w:rPr>
          <w:color w:val="000000"/>
          <w:szCs w:val="22"/>
        </w:rPr>
        <w:t xml:space="preserve">suaugusiesiems </w:t>
      </w:r>
      <w:r w:rsidRPr="00F93FFA">
        <w:rPr>
          <w:color w:val="000000"/>
          <w:szCs w:val="22"/>
          <w:lang w:val="lt-LT"/>
        </w:rPr>
        <w:t>pacientams rekomenduojama Glivec dozė yra 800 mg per parą.</w:t>
      </w:r>
    </w:p>
    <w:p w14:paraId="16A53AD4" w14:textId="77777777" w:rsidR="003646A0" w:rsidRPr="00F93FFA" w:rsidRDefault="003646A0" w:rsidP="00DE16D0">
      <w:pPr>
        <w:widowControl w:val="0"/>
        <w:rPr>
          <w:color w:val="000000"/>
          <w:sz w:val="22"/>
          <w:szCs w:val="22"/>
        </w:rPr>
      </w:pPr>
    </w:p>
    <w:p w14:paraId="5BCE980D"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Dozės korekcija dėl nepageidaujamo poveikio</w:t>
      </w:r>
    </w:p>
    <w:p w14:paraId="1FAC1E0A" w14:textId="77777777" w:rsidR="003646A0" w:rsidRPr="00F93FFA" w:rsidRDefault="003646A0" w:rsidP="00DE16D0">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Nehematologinės nepageidaujamos reakcijos</w:t>
      </w:r>
    </w:p>
    <w:p w14:paraId="29092E04" w14:textId="77777777" w:rsidR="003646A0" w:rsidRPr="00F93FFA" w:rsidRDefault="003646A0" w:rsidP="00DE16D0">
      <w:pPr>
        <w:widowControl w:val="0"/>
        <w:rPr>
          <w:color w:val="000000"/>
          <w:sz w:val="22"/>
          <w:szCs w:val="22"/>
        </w:rPr>
      </w:pPr>
      <w:r w:rsidRPr="00F93FFA">
        <w:rPr>
          <w:color w:val="000000"/>
          <w:sz w:val="22"/>
          <w:szCs w:val="22"/>
        </w:rPr>
        <w:t>Jeigu vartojant Glivec atsiranda sunkių nehematologinių nepageidaujamų reakcijų, gydymą būtina nutraukti tol, kol šie reiškiniai išnyksta. Vėliau, jei reikia, gydymą galima atnaujinti atsižvelgiant į pradinį nepageidaujamų reiškinių sunkumą.</w:t>
      </w:r>
    </w:p>
    <w:p w14:paraId="603714C3" w14:textId="77777777" w:rsidR="003646A0" w:rsidRPr="00F93FFA" w:rsidRDefault="003646A0" w:rsidP="00DE16D0">
      <w:pPr>
        <w:widowControl w:val="0"/>
        <w:rPr>
          <w:color w:val="000000"/>
          <w:sz w:val="22"/>
          <w:szCs w:val="22"/>
        </w:rPr>
      </w:pPr>
    </w:p>
    <w:p w14:paraId="3C24575B" w14:textId="77777777" w:rsidR="003646A0" w:rsidRPr="00F93FFA" w:rsidRDefault="003646A0" w:rsidP="00DE16D0">
      <w:pPr>
        <w:widowControl w:val="0"/>
        <w:rPr>
          <w:color w:val="000000"/>
          <w:sz w:val="22"/>
          <w:szCs w:val="22"/>
        </w:rPr>
      </w:pPr>
      <w:r w:rsidRPr="00F93FFA">
        <w:rPr>
          <w:color w:val="000000"/>
          <w:sz w:val="22"/>
          <w:szCs w:val="22"/>
        </w:rPr>
        <w:t>Jei bilirubino koncentracija &gt; 3 kartus yra didesnė už nustatytą viršutinę normos ribą (NVNR) ar kepenų transaminazių koncentracija &gt; 5 kartus didesnė už NVNR, Glivec nevartoti, kol bilirubino koncentracija sumažėja &lt; 1,5 karto už NVNR ir transaminazių koncentracija &lt; 2,5 karto už NVNR. Gydymą galima tęsti sumažinta Glivec paros doze. Suaugusiesiems dozę reikia sumažinti nuo 400 mg iki 300 mg arba nuo 600 mg iki 400 mg, ar nuo 800 mg iki 600 mg, o vaikams nuo 340 mg/m</w:t>
      </w:r>
      <w:r w:rsidRPr="00F93FFA">
        <w:rPr>
          <w:color w:val="000000"/>
          <w:sz w:val="22"/>
          <w:szCs w:val="22"/>
          <w:vertAlign w:val="superscript"/>
        </w:rPr>
        <w:t>2</w:t>
      </w:r>
      <w:r w:rsidRPr="00F93FFA">
        <w:rPr>
          <w:color w:val="000000"/>
          <w:sz w:val="22"/>
          <w:szCs w:val="22"/>
        </w:rPr>
        <w:t xml:space="preserve"> per parą iki 260 mg/m</w:t>
      </w:r>
      <w:r w:rsidRPr="00F93FFA">
        <w:rPr>
          <w:color w:val="000000"/>
          <w:sz w:val="22"/>
          <w:szCs w:val="22"/>
          <w:vertAlign w:val="superscript"/>
        </w:rPr>
        <w:t>2</w:t>
      </w:r>
      <w:r w:rsidRPr="00F93FFA">
        <w:rPr>
          <w:color w:val="000000"/>
          <w:sz w:val="22"/>
          <w:szCs w:val="22"/>
        </w:rPr>
        <w:t xml:space="preserve"> per parą.</w:t>
      </w:r>
    </w:p>
    <w:p w14:paraId="593801B8" w14:textId="77777777" w:rsidR="003646A0" w:rsidRPr="00F93FFA" w:rsidRDefault="003646A0" w:rsidP="00DE16D0">
      <w:pPr>
        <w:widowControl w:val="0"/>
        <w:rPr>
          <w:color w:val="000000"/>
          <w:sz w:val="22"/>
          <w:szCs w:val="22"/>
        </w:rPr>
      </w:pPr>
    </w:p>
    <w:p w14:paraId="54A6CA82" w14:textId="77777777" w:rsidR="003646A0" w:rsidRPr="00F93FFA" w:rsidRDefault="003646A0" w:rsidP="00DE16D0">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Hematologinės nepageidaujamos reakcijos</w:t>
      </w:r>
    </w:p>
    <w:p w14:paraId="1DB3AED3" w14:textId="77777777" w:rsidR="003646A0" w:rsidRPr="00F93FFA" w:rsidRDefault="003646A0" w:rsidP="00DE16D0">
      <w:pPr>
        <w:widowControl w:val="0"/>
        <w:rPr>
          <w:color w:val="000000"/>
          <w:sz w:val="22"/>
          <w:szCs w:val="22"/>
        </w:rPr>
      </w:pPr>
      <w:r w:rsidRPr="00F93FFA">
        <w:rPr>
          <w:color w:val="000000"/>
          <w:sz w:val="22"/>
          <w:szCs w:val="22"/>
        </w:rPr>
        <w:t>Dozės mažinimo ir gydymo pertraukimo rekomendacijos, išryškėjus sunkiai neutropenijai ar trombocitopenijai, nurodytos lentelėje žemiau.</w:t>
      </w:r>
    </w:p>
    <w:p w14:paraId="1146A714" w14:textId="77777777" w:rsidR="003646A0" w:rsidRPr="00F93FFA" w:rsidRDefault="003646A0" w:rsidP="00DE16D0">
      <w:pPr>
        <w:widowControl w:val="0"/>
        <w:rPr>
          <w:color w:val="000000"/>
          <w:sz w:val="22"/>
          <w:szCs w:val="22"/>
        </w:rPr>
      </w:pPr>
    </w:p>
    <w:p w14:paraId="5E84563F" w14:textId="77777777" w:rsidR="003646A0" w:rsidRPr="00F93FFA" w:rsidRDefault="003646A0" w:rsidP="00DE16D0">
      <w:pPr>
        <w:keepNext/>
        <w:widowControl w:val="0"/>
        <w:rPr>
          <w:color w:val="000000"/>
          <w:sz w:val="22"/>
          <w:szCs w:val="22"/>
        </w:rPr>
      </w:pPr>
      <w:r w:rsidRPr="00F93FFA">
        <w:rPr>
          <w:color w:val="000000"/>
          <w:sz w:val="22"/>
          <w:szCs w:val="22"/>
        </w:rPr>
        <w:t>Dozės korekcija, kai yra neutropenija ir trombocitopenija:</w:t>
      </w:r>
    </w:p>
    <w:p w14:paraId="15EDA0A1" w14:textId="77777777" w:rsidR="003646A0" w:rsidRPr="00F93FFA" w:rsidRDefault="003646A0" w:rsidP="00DE16D0">
      <w:pPr>
        <w:keepNext/>
        <w:widowControl w:val="0"/>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3646A0" w:rsidRPr="00F93FFA" w14:paraId="5CE05D92" w14:textId="77777777" w:rsidTr="00DE16D0">
        <w:trPr>
          <w:cantSplit/>
        </w:trPr>
        <w:tc>
          <w:tcPr>
            <w:tcW w:w="2376" w:type="dxa"/>
          </w:tcPr>
          <w:p w14:paraId="58380FFC" w14:textId="77777777" w:rsidR="003646A0" w:rsidRPr="00F93FFA" w:rsidRDefault="003646A0" w:rsidP="00DE16D0">
            <w:pPr>
              <w:pStyle w:val="EndnoteText"/>
              <w:keepNext/>
              <w:widowControl w:val="0"/>
              <w:tabs>
                <w:tab w:val="clear" w:pos="567"/>
              </w:tabs>
              <w:rPr>
                <w:color w:val="000000"/>
                <w:szCs w:val="22"/>
                <w:lang w:val="lt-LT"/>
              </w:rPr>
            </w:pPr>
            <w:r w:rsidRPr="00F93FFA">
              <w:rPr>
                <w:color w:val="000000"/>
                <w:szCs w:val="22"/>
                <w:lang w:val="lt-LT"/>
              </w:rPr>
              <w:t>HES/LEL (pradinė dozė - 100 mg)</w:t>
            </w:r>
          </w:p>
        </w:tc>
        <w:tc>
          <w:tcPr>
            <w:tcW w:w="2400" w:type="dxa"/>
          </w:tcPr>
          <w:p w14:paraId="79CA2C08"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5C0827E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Pr>
          <w:p w14:paraId="3FF02356" w14:textId="77777777" w:rsidR="003646A0" w:rsidRPr="00F93FFA" w:rsidRDefault="003646A0" w:rsidP="00DE16D0">
            <w:pPr>
              <w:pStyle w:val="Table"/>
              <w:keepLines w:val="0"/>
              <w:widowControl w:val="0"/>
              <w:tabs>
                <w:tab w:val="clear" w:pos="284"/>
                <w:tab w:val="left" w:pos="44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7A886039" w14:textId="77777777" w:rsidR="003646A0" w:rsidRPr="00F93FFA" w:rsidRDefault="003646A0" w:rsidP="00DE16D0">
            <w:pPr>
              <w:pStyle w:val="Table"/>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tc>
      </w:tr>
      <w:tr w:rsidR="003646A0" w:rsidRPr="00F93FFA" w14:paraId="187B797E" w14:textId="77777777" w:rsidTr="00DE16D0">
        <w:trPr>
          <w:cantSplit/>
        </w:trPr>
        <w:tc>
          <w:tcPr>
            <w:tcW w:w="2376" w:type="dxa"/>
          </w:tcPr>
          <w:p w14:paraId="2672956A"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Lėtinė LML, MDS/ MPL ir VTSN fazė (pradinė dozė – 400 mg)</w:t>
            </w:r>
          </w:p>
          <w:p w14:paraId="14DAC227" w14:textId="77777777" w:rsidR="003646A0" w:rsidRPr="00F93FFA" w:rsidRDefault="003646A0" w:rsidP="00DE16D0">
            <w:pPr>
              <w:widowControl w:val="0"/>
              <w:rPr>
                <w:color w:val="000000"/>
                <w:sz w:val="22"/>
                <w:szCs w:val="22"/>
              </w:rPr>
            </w:pPr>
            <w:r w:rsidRPr="00F93FFA">
              <w:rPr>
                <w:color w:val="000000"/>
                <w:sz w:val="22"/>
                <w:szCs w:val="22"/>
              </w:rPr>
              <w:t>HES/LEL (400 mg dozė)</w:t>
            </w:r>
          </w:p>
        </w:tc>
        <w:tc>
          <w:tcPr>
            <w:tcW w:w="2400" w:type="dxa"/>
          </w:tcPr>
          <w:p w14:paraId="2756FFF3"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4FA5E671"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2A865CBC"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trombocitų &lt; 50 x 10</w:t>
            </w:r>
            <w:r w:rsidRPr="00F93FFA">
              <w:rPr>
                <w:color w:val="000000"/>
                <w:szCs w:val="22"/>
                <w:vertAlign w:val="superscript"/>
                <w:lang w:val="lt-LT"/>
              </w:rPr>
              <w:t>9</w:t>
            </w:r>
            <w:r w:rsidRPr="00F93FFA">
              <w:rPr>
                <w:color w:val="000000"/>
                <w:szCs w:val="22"/>
                <w:lang w:val="lt-LT"/>
              </w:rPr>
              <w:t>/l</w:t>
            </w:r>
          </w:p>
        </w:tc>
        <w:tc>
          <w:tcPr>
            <w:tcW w:w="4404" w:type="dxa"/>
          </w:tcPr>
          <w:p w14:paraId="7FA07069"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49055D5C"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p w14:paraId="6DDB7DF1"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300 mg doze.</w:t>
            </w:r>
          </w:p>
        </w:tc>
      </w:tr>
      <w:tr w:rsidR="003646A0" w:rsidRPr="00F93FFA" w14:paraId="036AD370" w14:textId="77777777" w:rsidTr="00DE16D0">
        <w:trPr>
          <w:cantSplit/>
        </w:trPr>
        <w:tc>
          <w:tcPr>
            <w:tcW w:w="2376" w:type="dxa"/>
          </w:tcPr>
          <w:p w14:paraId="53F0A2D3"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Vaikų lėtinė LML fazė (340 mg/m</w:t>
            </w:r>
            <w:r w:rsidRPr="00F93FFA">
              <w:rPr>
                <w:color w:val="000000"/>
                <w:szCs w:val="22"/>
                <w:vertAlign w:val="superscript"/>
                <w:lang w:val="lt-LT"/>
              </w:rPr>
              <w:t>2</w:t>
            </w:r>
            <w:r w:rsidRPr="00F93FFA">
              <w:rPr>
                <w:color w:val="000000"/>
                <w:szCs w:val="22"/>
                <w:lang w:val="lt-LT"/>
              </w:rPr>
              <w:t xml:space="preserve"> dozė)</w:t>
            </w:r>
          </w:p>
        </w:tc>
        <w:tc>
          <w:tcPr>
            <w:tcW w:w="2400" w:type="dxa"/>
          </w:tcPr>
          <w:p w14:paraId="51A36081"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03BA0544"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1268B15C"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Pr>
          <w:p w14:paraId="5568DDFA"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3318AB91"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p w14:paraId="547ABB28"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260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doze.</w:t>
            </w:r>
          </w:p>
        </w:tc>
      </w:tr>
      <w:tr w:rsidR="003646A0" w:rsidRPr="00F93FFA" w14:paraId="0C358E7A" w14:textId="77777777" w:rsidTr="00DE16D0">
        <w:trPr>
          <w:cantSplit/>
        </w:trPr>
        <w:tc>
          <w:tcPr>
            <w:tcW w:w="2376" w:type="dxa"/>
            <w:tcBorders>
              <w:bottom w:val="nil"/>
            </w:tcBorders>
          </w:tcPr>
          <w:p w14:paraId="343E245D"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lastRenderedPageBreak/>
              <w:t>LML akceleracijos fazė ir blastinė krizė ir Ph+ ŪLL (pradinė dozė 600 mg)</w:t>
            </w:r>
          </w:p>
        </w:tc>
        <w:tc>
          <w:tcPr>
            <w:tcW w:w="2400" w:type="dxa"/>
            <w:tcBorders>
              <w:bottom w:val="nil"/>
            </w:tcBorders>
          </w:tcPr>
          <w:p w14:paraId="4F05D1DC"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vertAlign w:val="superscript"/>
                <w:lang w:val="lt-LT"/>
              </w:rPr>
              <w:t>a</w:t>
            </w:r>
            <w:r w:rsidRPr="00F93FFA">
              <w:rPr>
                <w:rFonts w:ascii="Times New Roman" w:hAnsi="Times New Roman"/>
                <w:color w:val="000000"/>
                <w:sz w:val="22"/>
                <w:szCs w:val="22"/>
                <w:lang w:val="lt-LT"/>
              </w:rPr>
              <w:t>ANS &lt; 0,5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2D50C91A"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0F3FBEAB"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trombocitų &lt; 10 x 10</w:t>
            </w:r>
            <w:r w:rsidRPr="00F93FFA">
              <w:rPr>
                <w:color w:val="000000"/>
                <w:szCs w:val="22"/>
                <w:vertAlign w:val="superscript"/>
                <w:lang w:val="lt-LT"/>
              </w:rPr>
              <w:t>9</w:t>
            </w:r>
            <w:r w:rsidRPr="00F93FFA">
              <w:rPr>
                <w:color w:val="000000"/>
                <w:szCs w:val="22"/>
                <w:lang w:val="lt-LT"/>
              </w:rPr>
              <w:t>/l</w:t>
            </w:r>
          </w:p>
        </w:tc>
        <w:tc>
          <w:tcPr>
            <w:tcW w:w="4404" w:type="dxa"/>
            <w:tcBorders>
              <w:bottom w:val="nil"/>
            </w:tcBorders>
          </w:tcPr>
          <w:p w14:paraId="1B825FE5"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Ištirti, ar citopenija nesusijusi su leukemija (kaulų čiulpų aspiratas ar biopsija).</w:t>
            </w:r>
          </w:p>
          <w:p w14:paraId="73A58963"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Jei citopenija nesusijusi su leukemija, Glivec dozę sumažinti iki 400 mg.</w:t>
            </w:r>
          </w:p>
          <w:p w14:paraId="309499D2"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Jei citopenija trunka 2 savaites, dozę dar sumažinti iki 300 mg.</w:t>
            </w:r>
          </w:p>
          <w:p w14:paraId="4FDDD4B2" w14:textId="77777777" w:rsidR="003646A0" w:rsidRPr="00F93FFA" w:rsidRDefault="003646A0" w:rsidP="00DE16D0">
            <w:pPr>
              <w:pStyle w:val="EndnoteText"/>
              <w:widowControl w:val="0"/>
              <w:tabs>
                <w:tab w:val="clear" w:pos="567"/>
              </w:tabs>
              <w:ind w:left="444" w:hanging="444"/>
              <w:rPr>
                <w:color w:val="000000"/>
                <w:szCs w:val="22"/>
                <w:lang w:val="lt-LT"/>
              </w:rPr>
            </w:pPr>
            <w:r w:rsidRPr="00F93FFA">
              <w:rPr>
                <w:color w:val="000000"/>
                <w:szCs w:val="22"/>
                <w:lang w:val="lt-LT"/>
              </w:rPr>
              <w:t>4.</w:t>
            </w:r>
            <w:r w:rsidRPr="00F93FFA">
              <w:rPr>
                <w:color w:val="000000"/>
                <w:szCs w:val="22"/>
                <w:lang w:val="lt-LT"/>
              </w:rPr>
              <w:tab/>
              <w:t xml:space="preserve">Jei citopenija trunka 4 savaites ir yra nesusijusi su leukemija, Glivec nevartoti tol, kol ANS bus </w:t>
            </w:r>
            <w:r w:rsidRPr="00F93FFA">
              <w:rPr>
                <w:color w:val="000000"/>
                <w:szCs w:val="22"/>
                <w:lang w:val="lt-LT"/>
              </w:rPr>
              <w:sym w:font="Symbol" w:char="F0B3"/>
            </w:r>
            <w:r w:rsidRPr="00F93FFA">
              <w:rPr>
                <w:color w:val="000000"/>
                <w:szCs w:val="22"/>
                <w:lang w:val="lt-LT"/>
              </w:rPr>
              <w:t> 1 x 10</w:t>
            </w:r>
            <w:r w:rsidRPr="00F93FFA">
              <w:rPr>
                <w:color w:val="000000"/>
                <w:szCs w:val="22"/>
                <w:vertAlign w:val="superscript"/>
                <w:lang w:val="lt-LT"/>
              </w:rPr>
              <w:t>9</w:t>
            </w:r>
            <w:r w:rsidRPr="00F93FFA">
              <w:rPr>
                <w:color w:val="000000"/>
                <w:szCs w:val="22"/>
                <w:lang w:val="lt-LT"/>
              </w:rPr>
              <w:t xml:space="preserve">/l ir trombocitų </w:t>
            </w:r>
            <w:r w:rsidRPr="00F93FFA">
              <w:rPr>
                <w:color w:val="000000"/>
                <w:szCs w:val="22"/>
                <w:lang w:val="lt-LT"/>
              </w:rPr>
              <w:sym w:font="Symbol" w:char="F0B3"/>
            </w:r>
            <w:r w:rsidRPr="00F93FFA">
              <w:rPr>
                <w:color w:val="000000"/>
                <w:szCs w:val="22"/>
                <w:lang w:val="lt-LT"/>
              </w:rPr>
              <w:t> 20 x 10</w:t>
            </w:r>
            <w:r w:rsidRPr="00F93FFA">
              <w:rPr>
                <w:color w:val="000000"/>
                <w:szCs w:val="22"/>
                <w:vertAlign w:val="superscript"/>
                <w:lang w:val="lt-LT"/>
              </w:rPr>
              <w:t>9</w:t>
            </w:r>
            <w:r w:rsidRPr="00F93FFA">
              <w:rPr>
                <w:color w:val="000000"/>
                <w:szCs w:val="22"/>
                <w:lang w:val="lt-LT"/>
              </w:rPr>
              <w:t>/l, paskui gydymą atnaujinti 300 mg doze.</w:t>
            </w:r>
          </w:p>
        </w:tc>
      </w:tr>
      <w:tr w:rsidR="003646A0" w:rsidRPr="00F93FFA" w14:paraId="5E75632B" w14:textId="77777777" w:rsidTr="00DE16D0">
        <w:trPr>
          <w:cantSplit/>
        </w:trPr>
        <w:tc>
          <w:tcPr>
            <w:tcW w:w="2376" w:type="dxa"/>
            <w:tcBorders>
              <w:bottom w:val="nil"/>
            </w:tcBorders>
          </w:tcPr>
          <w:p w14:paraId="7DA7A1AD"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LML akceleracijos fazė ir blastinė krizė (pradinė dozė 340 mg/m</w:t>
            </w:r>
            <w:r w:rsidRPr="00F93FFA">
              <w:rPr>
                <w:color w:val="000000"/>
                <w:szCs w:val="22"/>
                <w:vertAlign w:val="superscript"/>
                <w:lang w:val="lt-LT"/>
              </w:rPr>
              <w:t>2</w:t>
            </w:r>
            <w:r w:rsidRPr="00F93FFA">
              <w:rPr>
                <w:color w:val="000000"/>
                <w:szCs w:val="22"/>
                <w:lang w:val="lt-LT"/>
              </w:rPr>
              <w:t>)</w:t>
            </w:r>
          </w:p>
        </w:tc>
        <w:tc>
          <w:tcPr>
            <w:tcW w:w="2400" w:type="dxa"/>
            <w:tcBorders>
              <w:bottom w:val="nil"/>
            </w:tcBorders>
          </w:tcPr>
          <w:p w14:paraId="22F2755E"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vertAlign w:val="superscript"/>
                <w:lang w:val="lt-LT"/>
              </w:rPr>
              <w:t>a</w:t>
            </w:r>
            <w:r w:rsidRPr="00F93FFA">
              <w:rPr>
                <w:rFonts w:ascii="Times New Roman" w:hAnsi="Times New Roman"/>
                <w:color w:val="000000"/>
                <w:sz w:val="22"/>
                <w:szCs w:val="22"/>
                <w:lang w:val="lt-LT"/>
              </w:rPr>
              <w:t>ANS &lt; 0,5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4A8D5304"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2AB69F50"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vertAlign w:val="superscript"/>
                <w:lang w:val="lt-LT"/>
              </w:rPr>
            </w:pPr>
            <w:r w:rsidRPr="00F93FFA">
              <w:rPr>
                <w:rFonts w:ascii="Times New Roman" w:hAnsi="Times New Roman"/>
                <w:color w:val="000000"/>
                <w:sz w:val="22"/>
                <w:szCs w:val="22"/>
                <w:lang w:val="lt-LT"/>
              </w:rPr>
              <w:t>trombocitų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Borders>
              <w:bottom w:val="nil"/>
            </w:tcBorders>
          </w:tcPr>
          <w:p w14:paraId="3B0A9841"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Ištirti, ar citopenija nesusijusi su leukemija (kaulų čiulpų aspiratas ar biopsija).</w:t>
            </w:r>
          </w:p>
          <w:p w14:paraId="207FC770"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Jei citopenija nesusijusi su leukemija, Glivec dozę sumažinti iki 260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w:t>
            </w:r>
          </w:p>
          <w:p w14:paraId="6112D4A6"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Jei citopenija trunka 2 savaites, dozę dar sumažinti iki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w:t>
            </w:r>
          </w:p>
          <w:p w14:paraId="2A74D0A7"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4.</w:t>
            </w:r>
            <w:r w:rsidRPr="00F93FFA">
              <w:rPr>
                <w:rFonts w:ascii="Times New Roman" w:hAnsi="Times New Roman"/>
                <w:color w:val="000000"/>
                <w:sz w:val="22"/>
                <w:szCs w:val="22"/>
                <w:lang w:val="lt-LT"/>
              </w:rPr>
              <w:tab/>
              <w:t xml:space="preserve">Jei citopenija trunka 4 savaites ir yra nesusijusi su leukemija, Glivec nevartoti tol,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20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paskui gydymą atnaujinti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doze.</w:t>
            </w:r>
          </w:p>
        </w:tc>
      </w:tr>
      <w:tr w:rsidR="003646A0" w:rsidRPr="00F93FFA" w14:paraId="35678DD0" w14:textId="77777777" w:rsidTr="00DE16D0">
        <w:trPr>
          <w:cantSplit/>
        </w:trPr>
        <w:tc>
          <w:tcPr>
            <w:tcW w:w="2376" w:type="dxa"/>
            <w:tcBorders>
              <w:bottom w:val="nil"/>
            </w:tcBorders>
          </w:tcPr>
          <w:p w14:paraId="586A53EB"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DFSP</w:t>
            </w:r>
          </w:p>
          <w:p w14:paraId="02223C69"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(kai dozė - 800 mg)</w:t>
            </w:r>
          </w:p>
        </w:tc>
        <w:tc>
          <w:tcPr>
            <w:tcW w:w="2400" w:type="dxa"/>
            <w:tcBorders>
              <w:bottom w:val="nil"/>
            </w:tcBorders>
          </w:tcPr>
          <w:p w14:paraId="76743A0B"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63E3B726"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31F62704" w14:textId="77777777" w:rsidR="003646A0" w:rsidRPr="00F93FFA" w:rsidRDefault="003646A0" w:rsidP="00DE16D0">
            <w:pPr>
              <w:pStyle w:val="Table"/>
              <w:widowControl w:val="0"/>
              <w:spacing w:before="0" w:after="0"/>
              <w:rPr>
                <w:rFonts w:ascii="Times New Roman" w:hAnsi="Times New Roman"/>
                <w:color w:val="000000"/>
                <w:sz w:val="22"/>
                <w:szCs w:val="22"/>
                <w:vertAlign w:val="superscript"/>
                <w:lang w:val="lt-LT"/>
              </w:rPr>
            </w:pPr>
            <w:r w:rsidRPr="00F93FFA">
              <w:rPr>
                <w:rFonts w:ascii="Times New Roman" w:hAnsi="Times New Roman"/>
                <w:color w:val="000000"/>
                <w:sz w:val="22"/>
                <w:szCs w:val="22"/>
                <w:lang w:val="lt-LT"/>
              </w:rPr>
              <w:t>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Borders>
              <w:bottom w:val="nil"/>
            </w:tcBorders>
          </w:tcPr>
          <w:p w14:paraId="4B4381BE" w14:textId="77777777" w:rsidR="003646A0" w:rsidRPr="00F93FFA" w:rsidRDefault="003646A0" w:rsidP="00DE16D0">
            <w:pPr>
              <w:pStyle w:val="Table"/>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77D54630" w14:textId="77777777" w:rsidR="003646A0" w:rsidRPr="00F93FFA" w:rsidRDefault="003646A0" w:rsidP="00DE16D0">
            <w:pPr>
              <w:pStyle w:val="Table"/>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600 mg doze.</w:t>
            </w:r>
          </w:p>
          <w:p w14:paraId="4BF29C6B" w14:textId="77777777" w:rsidR="003646A0" w:rsidRPr="00F93FFA" w:rsidRDefault="003646A0" w:rsidP="00DE16D0">
            <w:pPr>
              <w:pStyle w:val="Table"/>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(ar)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400 mg doze.</w:t>
            </w:r>
          </w:p>
        </w:tc>
      </w:tr>
      <w:tr w:rsidR="003646A0" w:rsidRPr="00F93FFA" w14:paraId="14FD0116" w14:textId="77777777" w:rsidTr="00DE16D0">
        <w:trPr>
          <w:cantSplit/>
        </w:trPr>
        <w:tc>
          <w:tcPr>
            <w:tcW w:w="9180" w:type="dxa"/>
            <w:gridSpan w:val="3"/>
            <w:tcBorders>
              <w:bottom w:val="nil"/>
            </w:tcBorders>
          </w:tcPr>
          <w:p w14:paraId="60B82F57" w14:textId="0A18399C" w:rsidR="003646A0" w:rsidRPr="00F93FFA" w:rsidRDefault="003646A0" w:rsidP="003429B0">
            <w:pPr>
              <w:pStyle w:val="EndnoteText"/>
              <w:keepNext/>
              <w:keepLines/>
              <w:widowControl w:val="0"/>
              <w:tabs>
                <w:tab w:val="clear" w:pos="567"/>
              </w:tabs>
              <w:rPr>
                <w:color w:val="000000"/>
                <w:szCs w:val="22"/>
                <w:lang w:val="lt-LT"/>
              </w:rPr>
            </w:pPr>
            <w:r w:rsidRPr="00F93FFA">
              <w:rPr>
                <w:color w:val="000000"/>
                <w:szCs w:val="22"/>
                <w:lang w:val="lt-LT"/>
              </w:rPr>
              <w:t>ANS</w:t>
            </w:r>
            <w:r w:rsidR="003429B0" w:rsidRPr="00F93FFA">
              <w:rPr>
                <w:color w:val="000000"/>
                <w:szCs w:val="22"/>
                <w:lang w:val="lt-LT"/>
              </w:rPr>
              <w:t> </w:t>
            </w:r>
            <w:r w:rsidRPr="00F93FFA">
              <w:rPr>
                <w:color w:val="000000"/>
                <w:szCs w:val="22"/>
                <w:lang w:val="lt-LT"/>
              </w:rPr>
              <w:t>=</w:t>
            </w:r>
            <w:r w:rsidR="003429B0" w:rsidRPr="00F93FFA">
              <w:rPr>
                <w:color w:val="000000"/>
                <w:szCs w:val="22"/>
                <w:lang w:val="lt-LT"/>
              </w:rPr>
              <w:t> </w:t>
            </w:r>
            <w:r w:rsidRPr="00F93FFA">
              <w:rPr>
                <w:color w:val="000000"/>
                <w:szCs w:val="22"/>
                <w:lang w:val="lt-LT"/>
              </w:rPr>
              <w:t>absoliutus neutrofilų skaičius</w:t>
            </w:r>
          </w:p>
        </w:tc>
      </w:tr>
      <w:tr w:rsidR="003646A0" w:rsidRPr="00F93FFA" w14:paraId="5680F2DB" w14:textId="77777777" w:rsidTr="00DE16D0">
        <w:trPr>
          <w:cantSplit/>
        </w:trPr>
        <w:tc>
          <w:tcPr>
            <w:tcW w:w="9180" w:type="dxa"/>
            <w:gridSpan w:val="3"/>
            <w:tcBorders>
              <w:top w:val="nil"/>
            </w:tcBorders>
          </w:tcPr>
          <w:p w14:paraId="491F72B9"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vertAlign w:val="superscript"/>
                <w:lang w:val="lt-LT"/>
              </w:rPr>
              <w:t xml:space="preserve">a </w:t>
            </w:r>
            <w:r w:rsidRPr="00F93FFA">
              <w:rPr>
                <w:color w:val="000000"/>
                <w:szCs w:val="22"/>
                <w:lang w:val="lt-LT"/>
              </w:rPr>
              <w:t>atsiranda mažiausiai po 1 gydymo mėnesio</w:t>
            </w:r>
          </w:p>
        </w:tc>
      </w:tr>
    </w:tbl>
    <w:p w14:paraId="2BF1989F" w14:textId="77777777" w:rsidR="003646A0" w:rsidRPr="00F93FFA" w:rsidRDefault="003646A0" w:rsidP="00DE16D0">
      <w:pPr>
        <w:widowControl w:val="0"/>
        <w:rPr>
          <w:color w:val="000000"/>
          <w:sz w:val="22"/>
          <w:szCs w:val="22"/>
        </w:rPr>
      </w:pPr>
    </w:p>
    <w:p w14:paraId="6E78D62A" w14:textId="77777777" w:rsidR="003646A0" w:rsidRPr="00F93FFA" w:rsidRDefault="003646A0" w:rsidP="00DE16D0">
      <w:pPr>
        <w:keepNext/>
        <w:widowControl w:val="0"/>
        <w:rPr>
          <w:color w:val="000000"/>
          <w:sz w:val="22"/>
          <w:szCs w:val="22"/>
        </w:rPr>
      </w:pPr>
      <w:r w:rsidRPr="00F93FFA">
        <w:rPr>
          <w:color w:val="000000"/>
          <w:sz w:val="22"/>
          <w:szCs w:val="22"/>
          <w:u w:val="single"/>
        </w:rPr>
        <w:t>Specialios populiacijos</w:t>
      </w:r>
    </w:p>
    <w:p w14:paraId="2CBCF143" w14:textId="5E66DB94" w:rsidR="003646A0" w:rsidRPr="00F93FFA" w:rsidRDefault="003646A0" w:rsidP="00DE16D0">
      <w:pPr>
        <w:widowControl w:val="0"/>
        <w:rPr>
          <w:color w:val="000000"/>
          <w:sz w:val="22"/>
          <w:szCs w:val="22"/>
        </w:rPr>
      </w:pPr>
      <w:r w:rsidRPr="00F93FFA">
        <w:rPr>
          <w:i/>
          <w:color w:val="000000"/>
          <w:sz w:val="22"/>
          <w:szCs w:val="22"/>
        </w:rPr>
        <w:t>Vaikams.</w:t>
      </w:r>
      <w:r w:rsidRPr="00F93FFA">
        <w:rPr>
          <w:color w:val="000000"/>
          <w:sz w:val="22"/>
          <w:szCs w:val="22"/>
        </w:rPr>
        <w:t xml:space="preserve"> Vartojimo vaikams, jaunesniems kaip 2 metų ir sergantiems LML bei jaunesniems kaip 1 metų ir sergantiems Ph+ ŪLL, patirties nėra (žr. 5.1</w:t>
      </w:r>
      <w:r w:rsidR="00BF7B5C" w:rsidRPr="00F93FFA">
        <w:rPr>
          <w:color w:val="000000"/>
          <w:sz w:val="22"/>
          <w:szCs w:val="22"/>
        </w:rPr>
        <w:t> </w:t>
      </w:r>
      <w:r w:rsidRPr="00F93FFA">
        <w:rPr>
          <w:color w:val="000000"/>
          <w:sz w:val="22"/>
          <w:szCs w:val="22"/>
        </w:rPr>
        <w:t>skyrių). Vartojimo patirtis vaikams, sergantiems MDS/MPL, DFSP, VTSN ir HES/LEL, labai ribota.</w:t>
      </w:r>
    </w:p>
    <w:p w14:paraId="67804F4F" w14:textId="77777777" w:rsidR="003646A0" w:rsidRPr="00F93FFA" w:rsidRDefault="003646A0" w:rsidP="00DE16D0">
      <w:pPr>
        <w:widowControl w:val="0"/>
        <w:rPr>
          <w:color w:val="000000"/>
          <w:sz w:val="22"/>
          <w:szCs w:val="22"/>
        </w:rPr>
      </w:pPr>
    </w:p>
    <w:p w14:paraId="406F7DD7" w14:textId="2B02A8AA" w:rsidR="003646A0" w:rsidRPr="00F93FFA" w:rsidRDefault="003646A0" w:rsidP="00DE16D0">
      <w:pPr>
        <w:widowControl w:val="0"/>
        <w:rPr>
          <w:color w:val="000000"/>
          <w:sz w:val="22"/>
          <w:szCs w:val="22"/>
        </w:rPr>
      </w:pPr>
      <w:r w:rsidRPr="00F93FFA">
        <w:rPr>
          <w:color w:val="000000"/>
          <w:sz w:val="22"/>
          <w:szCs w:val="22"/>
        </w:rPr>
        <w:t xml:space="preserve">Klinikinių tyrimų metu imatinibo saugumas ir veiksmingumas jaunesniems kaip 18 metų vaikams, sergantiems MDS/MPL, DFSP, VTSN ir HES/LEL, neištirti. </w:t>
      </w:r>
      <w:r w:rsidRPr="00F93FFA">
        <w:rPr>
          <w:sz w:val="22"/>
          <w:szCs w:val="22"/>
        </w:rPr>
        <w:t>Turimi literatūros duomenys pateikiami 5.1</w:t>
      </w:r>
      <w:r w:rsidR="00BF7B5C" w:rsidRPr="00F93FFA">
        <w:rPr>
          <w:sz w:val="22"/>
          <w:szCs w:val="22"/>
        </w:rPr>
        <w:t> </w:t>
      </w:r>
      <w:r w:rsidRPr="00F93FFA">
        <w:rPr>
          <w:sz w:val="22"/>
          <w:szCs w:val="22"/>
        </w:rPr>
        <w:t>skyriuje, tačiau dozavimo rekomendacijų pateikti negalima</w:t>
      </w:r>
      <w:r w:rsidRPr="00F93FFA">
        <w:rPr>
          <w:color w:val="000000"/>
          <w:sz w:val="22"/>
          <w:szCs w:val="22"/>
        </w:rPr>
        <w:t>.</w:t>
      </w:r>
    </w:p>
    <w:p w14:paraId="103B696A" w14:textId="77777777" w:rsidR="003646A0" w:rsidRPr="00F93FFA" w:rsidRDefault="003646A0" w:rsidP="00DE16D0">
      <w:pPr>
        <w:widowControl w:val="0"/>
        <w:rPr>
          <w:color w:val="000000"/>
          <w:sz w:val="22"/>
          <w:szCs w:val="22"/>
        </w:rPr>
      </w:pPr>
    </w:p>
    <w:p w14:paraId="5247C5D9" w14:textId="200D4AD1" w:rsidR="003646A0" w:rsidRPr="00F93FFA" w:rsidRDefault="003646A0" w:rsidP="00DE16D0">
      <w:pPr>
        <w:widowControl w:val="0"/>
        <w:rPr>
          <w:color w:val="000000"/>
          <w:sz w:val="22"/>
          <w:szCs w:val="22"/>
        </w:rPr>
      </w:pPr>
      <w:r w:rsidRPr="00F93FFA">
        <w:rPr>
          <w:i/>
          <w:color w:val="000000"/>
          <w:sz w:val="22"/>
          <w:szCs w:val="22"/>
        </w:rPr>
        <w:t>Kepenų nepakankamumas.</w:t>
      </w:r>
      <w:r w:rsidRPr="00F93FFA">
        <w:rPr>
          <w:color w:val="000000"/>
          <w:sz w:val="22"/>
          <w:szCs w:val="22"/>
        </w:rPr>
        <w:t xml:space="preserve"> Daugiausia imatinibo metabolizuojama kepenyse. Pacientams, kuriems yra nedidelis, vidutinis ar didelis kepenų funkcijos sutrikimas, skirti mažiausią rekomenduojamą 400 mg paros dozę. Dozę galima mažinti, jeigu netoleruojama (žr. 4.4, 4.8 ir 5.2</w:t>
      </w:r>
      <w:r w:rsidR="00BF7B5C" w:rsidRPr="00F93FFA">
        <w:rPr>
          <w:color w:val="000000"/>
          <w:sz w:val="22"/>
          <w:szCs w:val="22"/>
        </w:rPr>
        <w:t> </w:t>
      </w:r>
      <w:r w:rsidRPr="00F93FFA">
        <w:rPr>
          <w:color w:val="000000"/>
          <w:sz w:val="22"/>
          <w:szCs w:val="22"/>
        </w:rPr>
        <w:t>skyrius).</w:t>
      </w:r>
    </w:p>
    <w:p w14:paraId="267DF478" w14:textId="77777777" w:rsidR="003646A0" w:rsidRPr="00F93FFA" w:rsidRDefault="003646A0" w:rsidP="00DE16D0">
      <w:pPr>
        <w:pStyle w:val="EndnoteText"/>
        <w:widowControl w:val="0"/>
        <w:tabs>
          <w:tab w:val="clear" w:pos="567"/>
        </w:tabs>
        <w:rPr>
          <w:color w:val="000000"/>
          <w:szCs w:val="22"/>
          <w:lang w:val="lt-LT"/>
        </w:rPr>
      </w:pPr>
    </w:p>
    <w:p w14:paraId="491862E1"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lastRenderedPageBreak/>
        <w:t>Kepenų funkcijos sutrikimų klasifikacija:</w:t>
      </w:r>
    </w:p>
    <w:p w14:paraId="47962FEC" w14:textId="77777777" w:rsidR="003646A0" w:rsidRPr="00F93FFA" w:rsidRDefault="003646A0" w:rsidP="00DE16D0">
      <w:pPr>
        <w:pStyle w:val="Text"/>
        <w:keepNext/>
        <w:widowControl w:val="0"/>
        <w:spacing w:before="0"/>
        <w:jc w:val="left"/>
        <w:rPr>
          <w:color w:val="000000"/>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5777"/>
      </w:tblGrid>
      <w:tr w:rsidR="003646A0" w:rsidRPr="00F93FFA" w14:paraId="286DE141" w14:textId="77777777" w:rsidTr="00DE16D0">
        <w:trPr>
          <w:cantSplit/>
        </w:trPr>
        <w:tc>
          <w:tcPr>
            <w:tcW w:w="3369" w:type="dxa"/>
          </w:tcPr>
          <w:p w14:paraId="67B956EF"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Kepenų funkcijos sutrikimas</w:t>
            </w:r>
          </w:p>
        </w:tc>
        <w:tc>
          <w:tcPr>
            <w:tcW w:w="5918" w:type="dxa"/>
          </w:tcPr>
          <w:p w14:paraId="4C4905BC"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Kepenų funkcijos tyrimai</w:t>
            </w:r>
          </w:p>
        </w:tc>
      </w:tr>
      <w:tr w:rsidR="003646A0" w:rsidRPr="00F93FFA" w14:paraId="10419A17" w14:textId="77777777" w:rsidTr="00DE16D0">
        <w:trPr>
          <w:cantSplit/>
        </w:trPr>
        <w:tc>
          <w:tcPr>
            <w:tcW w:w="3369" w:type="dxa"/>
          </w:tcPr>
          <w:p w14:paraId="1A6739EE"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Nedidelis</w:t>
            </w:r>
          </w:p>
        </w:tc>
        <w:tc>
          <w:tcPr>
            <w:tcW w:w="5918" w:type="dxa"/>
          </w:tcPr>
          <w:p w14:paraId="05262599" w14:textId="337BC57F" w:rsidR="003646A0" w:rsidRPr="00F93FFA" w:rsidRDefault="003646A0" w:rsidP="00DE16D0">
            <w:pPr>
              <w:keepNext/>
              <w:widowControl w:val="0"/>
              <w:rPr>
                <w:snapToGrid w:val="0"/>
                <w:color w:val="000000"/>
                <w:sz w:val="22"/>
                <w:szCs w:val="22"/>
              </w:rPr>
            </w:pPr>
            <w:r w:rsidRPr="00F93FFA">
              <w:rPr>
                <w:snapToGrid w:val="0"/>
                <w:color w:val="000000"/>
                <w:sz w:val="22"/>
                <w:szCs w:val="22"/>
              </w:rPr>
              <w:t>Bendras bilirubinas:</w:t>
            </w:r>
            <w:r w:rsidR="003429B0" w:rsidRPr="00F93FFA">
              <w:rPr>
                <w:snapToGrid w:val="0"/>
                <w:color w:val="000000"/>
                <w:sz w:val="22"/>
                <w:szCs w:val="22"/>
              </w:rPr>
              <w:t> </w:t>
            </w:r>
            <w:r w:rsidRPr="00F93FFA">
              <w:rPr>
                <w:snapToGrid w:val="0"/>
                <w:color w:val="000000"/>
                <w:sz w:val="22"/>
                <w:szCs w:val="22"/>
              </w:rPr>
              <w:t>=</w:t>
            </w:r>
            <w:r w:rsidR="003429B0" w:rsidRPr="00F93FFA">
              <w:rPr>
                <w:snapToGrid w:val="0"/>
                <w:color w:val="000000"/>
                <w:sz w:val="22"/>
                <w:szCs w:val="22"/>
              </w:rPr>
              <w:t> </w:t>
            </w:r>
            <w:r w:rsidRPr="00F93FFA">
              <w:rPr>
                <w:snapToGrid w:val="0"/>
                <w:color w:val="000000"/>
                <w:sz w:val="22"/>
                <w:szCs w:val="22"/>
              </w:rPr>
              <w:t>1,5 VNR</w:t>
            </w:r>
          </w:p>
          <w:p w14:paraId="237D12A9" w14:textId="77777777" w:rsidR="003646A0" w:rsidRPr="00F93FFA" w:rsidRDefault="003646A0" w:rsidP="00DE16D0">
            <w:pPr>
              <w:pStyle w:val="Text"/>
              <w:keepNext/>
              <w:widowControl w:val="0"/>
              <w:spacing w:before="0"/>
              <w:jc w:val="left"/>
              <w:rPr>
                <w:color w:val="000000"/>
                <w:sz w:val="22"/>
                <w:szCs w:val="22"/>
                <w:lang w:val="lt-LT"/>
              </w:rPr>
            </w:pPr>
            <w:r w:rsidRPr="00F93FFA">
              <w:rPr>
                <w:snapToGrid w:val="0"/>
                <w:color w:val="000000"/>
                <w:sz w:val="22"/>
                <w:szCs w:val="22"/>
                <w:lang w:val="lt-LT"/>
              </w:rPr>
              <w:t>AST: &gt; VNR (gali būti normali ar &lt; VNR, jei bendras bilirubinas &gt; VNR)</w:t>
            </w:r>
          </w:p>
        </w:tc>
      </w:tr>
      <w:tr w:rsidR="003646A0" w:rsidRPr="00F93FFA" w14:paraId="69CCC837" w14:textId="77777777" w:rsidTr="00DE16D0">
        <w:trPr>
          <w:cantSplit/>
        </w:trPr>
        <w:tc>
          <w:tcPr>
            <w:tcW w:w="3369" w:type="dxa"/>
          </w:tcPr>
          <w:p w14:paraId="3FC11CC7"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Vidutinis</w:t>
            </w:r>
          </w:p>
        </w:tc>
        <w:tc>
          <w:tcPr>
            <w:tcW w:w="5918" w:type="dxa"/>
          </w:tcPr>
          <w:p w14:paraId="6E79CF83" w14:textId="77777777" w:rsidR="003646A0" w:rsidRPr="00F93FFA" w:rsidRDefault="003646A0" w:rsidP="00DE16D0">
            <w:pPr>
              <w:keepNext/>
              <w:widowControl w:val="0"/>
              <w:rPr>
                <w:snapToGrid w:val="0"/>
                <w:color w:val="000000"/>
                <w:sz w:val="22"/>
                <w:szCs w:val="22"/>
              </w:rPr>
            </w:pPr>
            <w:r w:rsidRPr="00F93FFA">
              <w:rPr>
                <w:snapToGrid w:val="0"/>
                <w:color w:val="000000"/>
                <w:sz w:val="22"/>
                <w:szCs w:val="22"/>
              </w:rPr>
              <w:t>Bendras bilirubinas: &gt; 1,5</w:t>
            </w:r>
            <w:r w:rsidRPr="00F93FFA">
              <w:rPr>
                <w:color w:val="000000"/>
                <w:sz w:val="22"/>
                <w:szCs w:val="22"/>
              </w:rPr>
              <w:t>–</w:t>
            </w:r>
            <w:r w:rsidRPr="00F93FFA">
              <w:rPr>
                <w:snapToGrid w:val="0"/>
                <w:color w:val="000000"/>
                <w:sz w:val="22"/>
                <w:szCs w:val="22"/>
              </w:rPr>
              <w:t>3,0 VNR</w:t>
            </w:r>
          </w:p>
          <w:p w14:paraId="521AD0E5" w14:textId="77777777" w:rsidR="003646A0" w:rsidRPr="00F93FFA" w:rsidRDefault="003646A0" w:rsidP="00DE16D0">
            <w:pPr>
              <w:pStyle w:val="Text"/>
              <w:keepNext/>
              <w:widowControl w:val="0"/>
              <w:spacing w:before="0"/>
              <w:jc w:val="left"/>
              <w:rPr>
                <w:color w:val="000000"/>
                <w:sz w:val="22"/>
                <w:szCs w:val="22"/>
                <w:lang w:val="lt-LT"/>
              </w:rPr>
            </w:pPr>
            <w:r w:rsidRPr="00F93FFA">
              <w:rPr>
                <w:snapToGrid w:val="0"/>
                <w:color w:val="000000"/>
                <w:sz w:val="22"/>
                <w:szCs w:val="22"/>
                <w:lang w:val="lt-LT"/>
              </w:rPr>
              <w:t xml:space="preserve">AST: bet kokia </w:t>
            </w:r>
          </w:p>
        </w:tc>
      </w:tr>
      <w:tr w:rsidR="003646A0" w:rsidRPr="00F93FFA" w14:paraId="1350290C" w14:textId="77777777" w:rsidTr="00DE16D0">
        <w:trPr>
          <w:cantSplit/>
        </w:trPr>
        <w:tc>
          <w:tcPr>
            <w:tcW w:w="3369" w:type="dxa"/>
          </w:tcPr>
          <w:p w14:paraId="7029DCD0" w14:textId="77777777"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Sunkus</w:t>
            </w:r>
          </w:p>
        </w:tc>
        <w:tc>
          <w:tcPr>
            <w:tcW w:w="5918" w:type="dxa"/>
          </w:tcPr>
          <w:p w14:paraId="11091AEA" w14:textId="77777777" w:rsidR="003646A0" w:rsidRPr="00F93FFA" w:rsidRDefault="003646A0" w:rsidP="00DE16D0">
            <w:pPr>
              <w:keepNext/>
              <w:widowControl w:val="0"/>
              <w:rPr>
                <w:snapToGrid w:val="0"/>
                <w:color w:val="000000"/>
                <w:sz w:val="22"/>
                <w:szCs w:val="22"/>
              </w:rPr>
            </w:pPr>
            <w:r w:rsidRPr="00F93FFA">
              <w:rPr>
                <w:snapToGrid w:val="0"/>
                <w:color w:val="000000"/>
                <w:sz w:val="22"/>
                <w:szCs w:val="22"/>
              </w:rPr>
              <w:t>Bendras bilirubinas: &gt; 3</w:t>
            </w:r>
            <w:r w:rsidRPr="00F93FFA">
              <w:rPr>
                <w:color w:val="000000"/>
                <w:sz w:val="22"/>
                <w:szCs w:val="22"/>
              </w:rPr>
              <w:t>–</w:t>
            </w:r>
            <w:r w:rsidRPr="00F93FFA">
              <w:rPr>
                <w:snapToGrid w:val="0"/>
                <w:color w:val="000000"/>
                <w:sz w:val="22"/>
                <w:szCs w:val="22"/>
              </w:rPr>
              <w:t>10 VNR</w:t>
            </w:r>
          </w:p>
          <w:p w14:paraId="255A4685" w14:textId="77777777" w:rsidR="003646A0" w:rsidRPr="00F93FFA" w:rsidRDefault="003646A0" w:rsidP="00DE16D0">
            <w:pPr>
              <w:pStyle w:val="Text"/>
              <w:keepNext/>
              <w:widowControl w:val="0"/>
              <w:spacing w:before="0"/>
              <w:jc w:val="left"/>
              <w:rPr>
                <w:color w:val="000000"/>
                <w:sz w:val="22"/>
                <w:szCs w:val="22"/>
                <w:lang w:val="lt-LT"/>
              </w:rPr>
            </w:pPr>
            <w:r w:rsidRPr="00F93FFA">
              <w:rPr>
                <w:snapToGrid w:val="0"/>
                <w:color w:val="000000"/>
                <w:sz w:val="22"/>
                <w:szCs w:val="22"/>
                <w:lang w:val="lt-LT"/>
              </w:rPr>
              <w:t>AST: bet kokia</w:t>
            </w:r>
          </w:p>
        </w:tc>
      </w:tr>
    </w:tbl>
    <w:p w14:paraId="054364D7" w14:textId="75FA32F3" w:rsidR="003646A0" w:rsidRPr="00F93FFA" w:rsidRDefault="003646A0" w:rsidP="00DE16D0">
      <w:pPr>
        <w:pStyle w:val="Text"/>
        <w:keepNext/>
        <w:widowControl w:val="0"/>
        <w:spacing w:before="0"/>
        <w:jc w:val="left"/>
        <w:rPr>
          <w:color w:val="000000"/>
          <w:sz w:val="22"/>
          <w:szCs w:val="22"/>
          <w:lang w:val="lt-LT"/>
        </w:rPr>
      </w:pPr>
      <w:r w:rsidRPr="00F93FFA">
        <w:rPr>
          <w:color w:val="000000"/>
          <w:sz w:val="22"/>
          <w:szCs w:val="22"/>
          <w:lang w:val="lt-LT"/>
        </w:rPr>
        <w:t>VNR</w:t>
      </w:r>
      <w:r w:rsidR="00E63FCA" w:rsidRPr="00F93FFA">
        <w:rPr>
          <w:color w:val="000000"/>
          <w:sz w:val="22"/>
          <w:szCs w:val="22"/>
          <w:lang w:val="lt-LT"/>
        </w:rPr>
        <w:t> </w:t>
      </w:r>
      <w:r w:rsidRPr="00F93FFA">
        <w:rPr>
          <w:color w:val="000000"/>
          <w:sz w:val="22"/>
          <w:szCs w:val="22"/>
          <w:lang w:val="lt-LT"/>
        </w:rPr>
        <w:t>=</w:t>
      </w:r>
      <w:r w:rsidR="00E63FCA" w:rsidRPr="00F93FFA">
        <w:rPr>
          <w:color w:val="000000"/>
          <w:sz w:val="22"/>
          <w:szCs w:val="22"/>
          <w:lang w:val="lt-LT"/>
        </w:rPr>
        <w:t> </w:t>
      </w:r>
      <w:r w:rsidRPr="00F93FFA">
        <w:rPr>
          <w:color w:val="000000"/>
          <w:sz w:val="22"/>
          <w:szCs w:val="22"/>
          <w:lang w:val="lt-LT"/>
        </w:rPr>
        <w:t>viršutinė normos riba institucijoje</w:t>
      </w:r>
    </w:p>
    <w:p w14:paraId="0580376B" w14:textId="77E227BC" w:rsidR="003646A0" w:rsidRPr="00F93FFA" w:rsidRDefault="003646A0" w:rsidP="00DE16D0">
      <w:pPr>
        <w:keepNext/>
        <w:widowControl w:val="0"/>
        <w:autoSpaceDE w:val="0"/>
        <w:autoSpaceDN w:val="0"/>
        <w:adjustRightInd w:val="0"/>
        <w:ind w:left="993" w:hanging="993"/>
        <w:rPr>
          <w:rFonts w:eastAsia="MS Mincho"/>
          <w:bCs/>
          <w:color w:val="000000"/>
          <w:sz w:val="22"/>
          <w:szCs w:val="22"/>
          <w:lang w:eastAsia="ja-JP"/>
        </w:rPr>
      </w:pPr>
      <w:r w:rsidRPr="00F93FFA">
        <w:rPr>
          <w:rFonts w:eastAsia="MS Mincho"/>
          <w:bCs/>
          <w:color w:val="000000"/>
          <w:sz w:val="22"/>
          <w:szCs w:val="22"/>
          <w:lang w:eastAsia="ja-JP"/>
        </w:rPr>
        <w:t>AST</w:t>
      </w:r>
      <w:r w:rsidR="00E63FCA" w:rsidRPr="00F93FFA">
        <w:rPr>
          <w:rFonts w:eastAsia="MS Mincho"/>
          <w:bCs/>
          <w:color w:val="000000"/>
          <w:sz w:val="22"/>
          <w:szCs w:val="22"/>
          <w:lang w:eastAsia="ja-JP"/>
        </w:rPr>
        <w:t> </w:t>
      </w:r>
      <w:r w:rsidRPr="00F93FFA">
        <w:rPr>
          <w:rFonts w:eastAsia="MS Mincho"/>
          <w:bCs/>
          <w:color w:val="000000"/>
          <w:sz w:val="22"/>
          <w:szCs w:val="22"/>
          <w:lang w:eastAsia="ja-JP"/>
        </w:rPr>
        <w:t>=</w:t>
      </w:r>
      <w:r w:rsidR="00E63FCA" w:rsidRPr="00F93FFA">
        <w:rPr>
          <w:rFonts w:eastAsia="MS Mincho"/>
          <w:bCs/>
          <w:color w:val="000000"/>
          <w:sz w:val="22"/>
          <w:szCs w:val="22"/>
          <w:lang w:eastAsia="ja-JP"/>
        </w:rPr>
        <w:t> </w:t>
      </w:r>
      <w:r w:rsidRPr="00F93FFA">
        <w:rPr>
          <w:color w:val="000000"/>
          <w:sz w:val="22"/>
          <w:szCs w:val="22"/>
        </w:rPr>
        <w:t>aspartataminotransferazė</w:t>
      </w:r>
    </w:p>
    <w:p w14:paraId="22DAB6E6" w14:textId="77777777" w:rsidR="003646A0" w:rsidRPr="00F93FFA" w:rsidRDefault="003646A0" w:rsidP="00DE16D0">
      <w:pPr>
        <w:widowControl w:val="0"/>
        <w:rPr>
          <w:color w:val="000000"/>
          <w:sz w:val="22"/>
          <w:szCs w:val="22"/>
        </w:rPr>
      </w:pPr>
    </w:p>
    <w:p w14:paraId="3BA763C8" w14:textId="3A1B58EC" w:rsidR="003646A0" w:rsidRPr="00F93FFA" w:rsidRDefault="003646A0" w:rsidP="00DE16D0">
      <w:pPr>
        <w:widowControl w:val="0"/>
        <w:rPr>
          <w:color w:val="000000"/>
          <w:sz w:val="22"/>
          <w:szCs w:val="22"/>
        </w:rPr>
      </w:pPr>
      <w:r w:rsidRPr="00F93FFA">
        <w:rPr>
          <w:i/>
          <w:color w:val="000000"/>
          <w:sz w:val="22"/>
          <w:szCs w:val="22"/>
        </w:rPr>
        <w:t>Inkstų nepakankamumas.</w:t>
      </w:r>
      <w:r w:rsidRPr="00F93FFA">
        <w:rPr>
          <w:color w:val="000000"/>
          <w:sz w:val="22"/>
          <w:szCs w:val="22"/>
        </w:rPr>
        <w:t xml:space="preserve"> Pacientams, kuriems yra inkstų funkcijos sutrikimas</w:t>
      </w:r>
      <w:r w:rsidRPr="00F93FFA">
        <w:rPr>
          <w:snapToGrid w:val="0"/>
          <w:color w:val="000000"/>
          <w:sz w:val="22"/>
          <w:szCs w:val="22"/>
        </w:rPr>
        <w:t xml:space="preserve"> ar atliekamos dializės</w:t>
      </w:r>
      <w:r w:rsidRPr="00F93FFA">
        <w:rPr>
          <w:color w:val="000000"/>
          <w:sz w:val="22"/>
          <w:szCs w:val="22"/>
        </w:rPr>
        <w:t>, iš pradžių turi būti skiriama mažiausia rekomenduojama 400 mg paros dozė. Tačiau rekomenduojama imtis atsargumo priemonių. Netoleruojamą dozę galima mažinti, Jei dozė yra neveiksminga – didinti (žr. 4.4 ir 5.2</w:t>
      </w:r>
      <w:r w:rsidR="00BF7B5C" w:rsidRPr="00F93FFA">
        <w:rPr>
          <w:color w:val="000000"/>
          <w:sz w:val="22"/>
          <w:szCs w:val="22"/>
        </w:rPr>
        <w:t> </w:t>
      </w:r>
      <w:r w:rsidRPr="00F93FFA">
        <w:rPr>
          <w:color w:val="000000"/>
          <w:sz w:val="22"/>
          <w:szCs w:val="22"/>
        </w:rPr>
        <w:t>skyrius).</w:t>
      </w:r>
    </w:p>
    <w:p w14:paraId="1FABBB69" w14:textId="77777777" w:rsidR="003646A0" w:rsidRPr="00F93FFA" w:rsidRDefault="003646A0" w:rsidP="00DE16D0">
      <w:pPr>
        <w:pStyle w:val="EndnoteText"/>
        <w:widowControl w:val="0"/>
        <w:tabs>
          <w:tab w:val="clear" w:pos="567"/>
        </w:tabs>
        <w:rPr>
          <w:color w:val="000000"/>
          <w:szCs w:val="22"/>
          <w:lang w:val="lt-LT"/>
        </w:rPr>
      </w:pPr>
    </w:p>
    <w:p w14:paraId="1A417720" w14:textId="77777777" w:rsidR="003646A0" w:rsidRPr="00F93FFA" w:rsidRDefault="003646A0" w:rsidP="00DE16D0">
      <w:pPr>
        <w:widowControl w:val="0"/>
        <w:rPr>
          <w:color w:val="000000"/>
          <w:sz w:val="22"/>
          <w:szCs w:val="22"/>
        </w:rPr>
      </w:pPr>
      <w:r w:rsidRPr="00F93FFA">
        <w:rPr>
          <w:i/>
          <w:color w:val="000000"/>
          <w:sz w:val="22"/>
          <w:szCs w:val="22"/>
        </w:rPr>
        <w:t>Senyvi žmonės.</w:t>
      </w:r>
      <w:r w:rsidRPr="00F93FFA">
        <w:rPr>
          <w:color w:val="000000"/>
          <w:sz w:val="22"/>
          <w:szCs w:val="22"/>
        </w:rPr>
        <w:t xml:space="preserve"> Senyvų žmonių imatinibo farmakokinetika nebuvo specialiai tirta. Klinikinių tyrimų, kuriuose dalyvavo daugiau kaip 20 % 65 metų ir vyresnių pacientų, metu reikšmingų, su amžiumi susijusių farmakokinetikos pokyčių nestebėta. </w:t>
      </w:r>
      <w:r w:rsidR="005415DD" w:rsidRPr="00F93FFA">
        <w:rPr>
          <w:color w:val="000000"/>
          <w:sz w:val="22"/>
          <w:szCs w:val="22"/>
        </w:rPr>
        <w:t>Specifinės doza</w:t>
      </w:r>
      <w:r w:rsidR="0067213F" w:rsidRPr="00F93FFA">
        <w:rPr>
          <w:color w:val="000000"/>
          <w:sz w:val="22"/>
          <w:szCs w:val="22"/>
        </w:rPr>
        <w:t>v</w:t>
      </w:r>
      <w:r w:rsidR="005415DD" w:rsidRPr="00F93FFA">
        <w:rPr>
          <w:color w:val="000000"/>
          <w:sz w:val="22"/>
          <w:szCs w:val="22"/>
        </w:rPr>
        <w:t>imo rekomendacijos s</w:t>
      </w:r>
      <w:r w:rsidRPr="00F93FFA">
        <w:rPr>
          <w:color w:val="000000"/>
          <w:sz w:val="22"/>
          <w:szCs w:val="22"/>
        </w:rPr>
        <w:t xml:space="preserve">enyviems žmonėms </w:t>
      </w:r>
      <w:r w:rsidR="005415DD" w:rsidRPr="00F93FFA">
        <w:rPr>
          <w:color w:val="000000"/>
          <w:sz w:val="22"/>
          <w:szCs w:val="22"/>
        </w:rPr>
        <w:t>yra nebūtinos</w:t>
      </w:r>
      <w:r w:rsidRPr="00F93FFA">
        <w:rPr>
          <w:color w:val="000000"/>
          <w:sz w:val="22"/>
          <w:szCs w:val="22"/>
        </w:rPr>
        <w:t>.</w:t>
      </w:r>
    </w:p>
    <w:p w14:paraId="5C83C125" w14:textId="77777777" w:rsidR="003646A0" w:rsidRPr="00F93FFA" w:rsidRDefault="003646A0" w:rsidP="00DE16D0">
      <w:pPr>
        <w:widowControl w:val="0"/>
        <w:ind w:left="567" w:hanging="567"/>
        <w:rPr>
          <w:color w:val="000000"/>
          <w:sz w:val="22"/>
          <w:szCs w:val="22"/>
        </w:rPr>
      </w:pPr>
    </w:p>
    <w:p w14:paraId="45957CF6"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4.3</w:t>
      </w:r>
      <w:r w:rsidRPr="00F93FFA">
        <w:rPr>
          <w:b/>
          <w:color w:val="000000"/>
          <w:sz w:val="22"/>
          <w:szCs w:val="22"/>
        </w:rPr>
        <w:tab/>
        <w:t>Kontraindikacijos</w:t>
      </w:r>
    </w:p>
    <w:p w14:paraId="12E7BF03" w14:textId="77777777" w:rsidR="003646A0" w:rsidRPr="00F93FFA" w:rsidRDefault="003646A0" w:rsidP="00DE16D0">
      <w:pPr>
        <w:keepNext/>
        <w:widowControl w:val="0"/>
        <w:ind w:left="567" w:hanging="567"/>
        <w:rPr>
          <w:color w:val="000000"/>
          <w:sz w:val="22"/>
          <w:szCs w:val="22"/>
        </w:rPr>
      </w:pPr>
    </w:p>
    <w:p w14:paraId="5F97A12B" w14:textId="77777777" w:rsidR="003646A0" w:rsidRPr="00F93FFA" w:rsidRDefault="003646A0" w:rsidP="00DE16D0">
      <w:pPr>
        <w:widowControl w:val="0"/>
        <w:rPr>
          <w:color w:val="000000"/>
          <w:sz w:val="22"/>
          <w:szCs w:val="22"/>
        </w:rPr>
      </w:pPr>
      <w:r w:rsidRPr="00F93FFA">
        <w:rPr>
          <w:color w:val="000000"/>
          <w:sz w:val="22"/>
          <w:szCs w:val="22"/>
        </w:rPr>
        <w:t>Padidėjęs jautrumas veikliajai arba bet kuriai 6.1</w:t>
      </w:r>
      <w:r w:rsidR="006D33A7" w:rsidRPr="00F93FFA">
        <w:rPr>
          <w:color w:val="000000"/>
          <w:sz w:val="22"/>
          <w:szCs w:val="22"/>
        </w:rPr>
        <w:t> </w:t>
      </w:r>
      <w:r w:rsidRPr="00F93FFA">
        <w:rPr>
          <w:color w:val="000000"/>
          <w:sz w:val="22"/>
          <w:szCs w:val="22"/>
        </w:rPr>
        <w:t>skyriuje nurodytai pagalbinei medžiagai.</w:t>
      </w:r>
    </w:p>
    <w:p w14:paraId="570EC89C" w14:textId="77777777" w:rsidR="003646A0" w:rsidRPr="00F93FFA" w:rsidRDefault="003646A0" w:rsidP="00DE16D0">
      <w:pPr>
        <w:widowControl w:val="0"/>
        <w:ind w:left="567" w:hanging="567"/>
        <w:rPr>
          <w:color w:val="000000"/>
          <w:sz w:val="22"/>
          <w:szCs w:val="22"/>
        </w:rPr>
      </w:pPr>
    </w:p>
    <w:p w14:paraId="6D32E847"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4.4</w:t>
      </w:r>
      <w:r w:rsidRPr="00F93FFA">
        <w:rPr>
          <w:b/>
          <w:color w:val="000000"/>
          <w:sz w:val="22"/>
          <w:szCs w:val="22"/>
        </w:rPr>
        <w:tab/>
        <w:t>Specialūs įspėjimai ir atsargumo priemonės</w:t>
      </w:r>
    </w:p>
    <w:p w14:paraId="5505E34D" w14:textId="77777777" w:rsidR="003646A0" w:rsidRPr="00F93FFA" w:rsidRDefault="003646A0" w:rsidP="00DE16D0">
      <w:pPr>
        <w:keepNext/>
        <w:widowControl w:val="0"/>
        <w:ind w:left="567" w:hanging="567"/>
        <w:rPr>
          <w:color w:val="000000"/>
          <w:sz w:val="22"/>
          <w:szCs w:val="22"/>
        </w:rPr>
      </w:pPr>
    </w:p>
    <w:p w14:paraId="5DEDF662" w14:textId="1CA55C0A" w:rsidR="003646A0" w:rsidRPr="00F93FFA" w:rsidRDefault="003646A0" w:rsidP="00DE16D0">
      <w:pPr>
        <w:widowControl w:val="0"/>
        <w:rPr>
          <w:color w:val="000000"/>
          <w:sz w:val="22"/>
          <w:szCs w:val="22"/>
        </w:rPr>
      </w:pPr>
      <w:r w:rsidRPr="00F93FFA">
        <w:rPr>
          <w:color w:val="000000"/>
          <w:sz w:val="22"/>
          <w:szCs w:val="22"/>
        </w:rPr>
        <w:t xml:space="preserve">Kai Glivec vartojama kartu su kitais vaistiniais preparatais, yra </w:t>
      </w:r>
      <w:r w:rsidR="00A70D12" w:rsidRPr="00F93FFA">
        <w:rPr>
          <w:color w:val="000000"/>
          <w:sz w:val="22"/>
          <w:szCs w:val="22"/>
        </w:rPr>
        <w:t xml:space="preserve">vaistinių preparatų </w:t>
      </w:r>
      <w:r w:rsidRPr="00F93FFA">
        <w:rPr>
          <w:color w:val="000000"/>
          <w:sz w:val="22"/>
          <w:szCs w:val="22"/>
        </w:rPr>
        <w:t>sąveikos galimybė. Būtina laikytis atsargumo priemonių, kai Glivec vartojama kartu su proteazės inhibitoriais, priešgrybeliniais azolo dariniais, tam tikrais makrolidais (žr. 4.5</w:t>
      </w:r>
      <w:r w:rsidR="00BF7B5C" w:rsidRPr="00F93FFA">
        <w:rPr>
          <w:color w:val="000000"/>
          <w:sz w:val="22"/>
          <w:szCs w:val="22"/>
        </w:rPr>
        <w:t> </w:t>
      </w:r>
      <w:r w:rsidRPr="00F93FFA">
        <w:rPr>
          <w:color w:val="000000"/>
          <w:sz w:val="22"/>
          <w:szCs w:val="22"/>
        </w:rPr>
        <w:t>skyrių), CYP3A4 substratais, kurių yra siaura terapinė platuma (pvz., ciklosporinas, pimozidas, takrolimuzas, sirolimuzas, ergotaminas, diergotaminas, fentanilis, alfetanilis, terfenadinas, bortezomibas, docetakselis, chinidinas) ar varfarinu ir kitais kumarino junginiais (žr. 4.5</w:t>
      </w:r>
      <w:r w:rsidR="00BF7B5C" w:rsidRPr="00F93FFA">
        <w:rPr>
          <w:color w:val="000000"/>
          <w:sz w:val="22"/>
          <w:szCs w:val="22"/>
        </w:rPr>
        <w:t> </w:t>
      </w:r>
      <w:r w:rsidRPr="00F93FFA">
        <w:rPr>
          <w:color w:val="000000"/>
          <w:sz w:val="22"/>
          <w:szCs w:val="22"/>
        </w:rPr>
        <w:t>skyrių).</w:t>
      </w:r>
    </w:p>
    <w:p w14:paraId="0D11FFA5" w14:textId="77777777" w:rsidR="003646A0" w:rsidRPr="00F93FFA" w:rsidRDefault="003646A0" w:rsidP="00DE16D0">
      <w:pPr>
        <w:widowControl w:val="0"/>
        <w:rPr>
          <w:color w:val="000000"/>
          <w:sz w:val="22"/>
          <w:szCs w:val="22"/>
        </w:rPr>
      </w:pPr>
    </w:p>
    <w:p w14:paraId="068921F4" w14:textId="0EC8B8BD" w:rsidR="003646A0" w:rsidRPr="00F93FFA" w:rsidRDefault="003646A0" w:rsidP="00DE16D0">
      <w:pPr>
        <w:widowControl w:val="0"/>
        <w:rPr>
          <w:color w:val="000000"/>
          <w:sz w:val="22"/>
          <w:szCs w:val="22"/>
        </w:rPr>
      </w:pPr>
      <w:r w:rsidRPr="00F93FFA">
        <w:rPr>
          <w:color w:val="000000"/>
          <w:sz w:val="22"/>
          <w:szCs w:val="22"/>
        </w:rPr>
        <w:t xml:space="preserve">Imatinibą vartojant kartu su medicininiais produktais, indukuojančiais CYP3A4 (pvz., deksametazonu, fenitoinu, karbamazepinu, rifampicinu, fenobarbitaliu ar </w:t>
      </w:r>
      <w:r w:rsidRPr="00F93FFA">
        <w:rPr>
          <w:i/>
          <w:color w:val="000000"/>
          <w:sz w:val="22"/>
          <w:szCs w:val="22"/>
        </w:rPr>
        <w:t>Hypericum perforatum</w:t>
      </w:r>
      <w:r w:rsidRPr="00F93FFA">
        <w:rPr>
          <w:color w:val="000000"/>
          <w:sz w:val="22"/>
          <w:szCs w:val="22"/>
        </w:rPr>
        <w:t>, t.</w:t>
      </w:r>
      <w:r w:rsidR="00957B98" w:rsidRPr="00F93FFA">
        <w:rPr>
          <w:color w:val="000000"/>
          <w:sz w:val="22"/>
          <w:szCs w:val="22"/>
        </w:rPr>
        <w:t> </w:t>
      </w:r>
      <w:r w:rsidRPr="00F93FFA">
        <w:rPr>
          <w:color w:val="000000"/>
          <w:sz w:val="22"/>
          <w:szCs w:val="22"/>
        </w:rPr>
        <w:t>y. jonažole), gali reikšmingai sumažėti Glivec ekspozicija ir padidėti nesėkmingo gydymo tikimybė. Todėl reikia vengti imatinibą vartoti kartu su stipriais CYP3A4 induktoriais (žr. 4.5</w:t>
      </w:r>
      <w:r w:rsidR="00BF7B5C" w:rsidRPr="00F93FFA">
        <w:rPr>
          <w:color w:val="000000"/>
          <w:sz w:val="22"/>
          <w:szCs w:val="22"/>
        </w:rPr>
        <w:t> </w:t>
      </w:r>
      <w:r w:rsidRPr="00F93FFA">
        <w:rPr>
          <w:color w:val="000000"/>
          <w:sz w:val="22"/>
          <w:szCs w:val="22"/>
        </w:rPr>
        <w:t>skyrių).</w:t>
      </w:r>
    </w:p>
    <w:p w14:paraId="55E84C48" w14:textId="77777777" w:rsidR="003646A0" w:rsidRPr="00F93FFA" w:rsidRDefault="003646A0" w:rsidP="00DE16D0">
      <w:pPr>
        <w:widowControl w:val="0"/>
        <w:rPr>
          <w:color w:val="000000"/>
          <w:sz w:val="22"/>
          <w:szCs w:val="22"/>
          <w:u w:val="single"/>
        </w:rPr>
      </w:pPr>
    </w:p>
    <w:p w14:paraId="4BC33A4D" w14:textId="77777777" w:rsidR="003646A0" w:rsidRPr="00F93FFA" w:rsidRDefault="003646A0" w:rsidP="00DE16D0">
      <w:pPr>
        <w:keepNext/>
        <w:widowControl w:val="0"/>
        <w:rPr>
          <w:color w:val="000000"/>
          <w:sz w:val="22"/>
          <w:szCs w:val="22"/>
        </w:rPr>
      </w:pPr>
      <w:r w:rsidRPr="00F93FFA">
        <w:rPr>
          <w:color w:val="000000"/>
          <w:sz w:val="22"/>
          <w:szCs w:val="22"/>
          <w:u w:val="single"/>
        </w:rPr>
        <w:t>Hipotiroidizmas</w:t>
      </w:r>
    </w:p>
    <w:p w14:paraId="1BA07524" w14:textId="4563DA9D" w:rsidR="003646A0" w:rsidRPr="00F93FFA" w:rsidRDefault="003646A0" w:rsidP="00DE16D0">
      <w:pPr>
        <w:widowControl w:val="0"/>
        <w:rPr>
          <w:color w:val="000000"/>
          <w:sz w:val="22"/>
          <w:szCs w:val="22"/>
        </w:rPr>
      </w:pPr>
      <w:r w:rsidRPr="00F93FFA">
        <w:rPr>
          <w:color w:val="000000"/>
          <w:sz w:val="22"/>
          <w:szCs w:val="22"/>
        </w:rPr>
        <w:t>Pastebėta klinikinių hipotireozės atvejų pacientams, kuriems pašalinta skydliaukė ir kuriems gydymo Glivec metu buvo taikomas pakeičiamasis gydymas levotiroksinu (žr. 4.5</w:t>
      </w:r>
      <w:r w:rsidR="00BF7B5C" w:rsidRPr="00F93FFA">
        <w:rPr>
          <w:color w:val="000000"/>
          <w:sz w:val="22"/>
          <w:szCs w:val="22"/>
        </w:rPr>
        <w:t> </w:t>
      </w:r>
      <w:r w:rsidRPr="00F93FFA">
        <w:rPr>
          <w:color w:val="000000"/>
          <w:sz w:val="22"/>
          <w:szCs w:val="22"/>
        </w:rPr>
        <w:t>skyrių). Būtina stebėti tokių pacientų skydliaukės veiklą</w:t>
      </w:r>
      <w:r w:rsidRPr="00F93FFA">
        <w:rPr>
          <w:color w:val="000000"/>
          <w:sz w:val="22"/>
          <w:szCs w:val="22"/>
          <w:rtl/>
        </w:rPr>
        <w:t xml:space="preserve"> </w:t>
      </w:r>
      <w:r w:rsidRPr="00F93FFA">
        <w:rPr>
          <w:color w:val="000000"/>
          <w:sz w:val="22"/>
          <w:szCs w:val="22"/>
        </w:rPr>
        <w:t>skatinančio hormono (TSH) koncentraciją.</w:t>
      </w:r>
    </w:p>
    <w:p w14:paraId="75BA9F65" w14:textId="77777777" w:rsidR="003646A0" w:rsidRPr="00F93FFA" w:rsidRDefault="003646A0" w:rsidP="00DE16D0">
      <w:pPr>
        <w:widowControl w:val="0"/>
        <w:rPr>
          <w:color w:val="000000"/>
          <w:sz w:val="22"/>
          <w:szCs w:val="22"/>
          <w:u w:val="single"/>
        </w:rPr>
      </w:pPr>
    </w:p>
    <w:p w14:paraId="1381E42C" w14:textId="77777777" w:rsidR="003646A0" w:rsidRPr="00F93FFA" w:rsidRDefault="003646A0" w:rsidP="00DE16D0">
      <w:pPr>
        <w:keepNext/>
        <w:widowControl w:val="0"/>
        <w:rPr>
          <w:color w:val="000000"/>
          <w:sz w:val="22"/>
          <w:szCs w:val="22"/>
        </w:rPr>
      </w:pPr>
      <w:r w:rsidRPr="00F93FFA">
        <w:rPr>
          <w:color w:val="000000"/>
          <w:sz w:val="22"/>
          <w:szCs w:val="22"/>
          <w:u w:val="single"/>
        </w:rPr>
        <w:t>Toksinis poveikis kepenims</w:t>
      </w:r>
    </w:p>
    <w:p w14:paraId="791B36D6" w14:textId="22C69C78" w:rsidR="003646A0" w:rsidRPr="00F93FFA" w:rsidRDefault="003646A0" w:rsidP="00DE16D0">
      <w:pPr>
        <w:widowControl w:val="0"/>
        <w:rPr>
          <w:color w:val="000000"/>
          <w:sz w:val="22"/>
          <w:szCs w:val="22"/>
        </w:rPr>
      </w:pPr>
      <w:r w:rsidRPr="00F93FFA">
        <w:rPr>
          <w:color w:val="000000"/>
          <w:sz w:val="22"/>
          <w:szCs w:val="22"/>
        </w:rPr>
        <w:t>Glivec daugiausia metabolizuojamas kepenyse ir tik 13 % jo išsiskiria pro inkstus. Pacientams, kuriems yra kepenų funkcijos sutrikimas (nedidelis, vidutinis ar sunkus) būtina atidžiai stebėti periferinio kraujo vaizdą ir kepenų fermentų koncentraciją (žr. 4.2, 4.8 ir 5.2</w:t>
      </w:r>
      <w:r w:rsidR="00BF7B5C" w:rsidRPr="00F93FFA">
        <w:rPr>
          <w:color w:val="000000"/>
          <w:sz w:val="22"/>
          <w:szCs w:val="22"/>
        </w:rPr>
        <w:t> </w:t>
      </w:r>
      <w:r w:rsidRPr="00F93FFA">
        <w:rPr>
          <w:color w:val="000000"/>
          <w:sz w:val="22"/>
          <w:szCs w:val="22"/>
        </w:rPr>
        <w:t>skyrius). Reikia pažymėti, kad pacientams, kuriems diagnozuotas VTSN, gali būti metastazių kepenyse, kurios gali sąlygoti kepenų nepakankamumą.</w:t>
      </w:r>
    </w:p>
    <w:p w14:paraId="24139B31" w14:textId="77777777" w:rsidR="003646A0" w:rsidRPr="00F93FFA" w:rsidRDefault="003646A0" w:rsidP="00DE16D0">
      <w:pPr>
        <w:pStyle w:val="EndnoteText"/>
        <w:widowControl w:val="0"/>
        <w:tabs>
          <w:tab w:val="clear" w:pos="567"/>
        </w:tabs>
        <w:rPr>
          <w:color w:val="000000"/>
          <w:szCs w:val="22"/>
          <w:lang w:val="lt-LT"/>
        </w:rPr>
      </w:pPr>
    </w:p>
    <w:p w14:paraId="1F356C90" w14:textId="386D5C7E"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Vartojant imatinibą, kepenų pažeidimo atvejai, tame tarpe kepenų nepakankamumas ir kepenų nekrozė, yra registruoti. Imatinibą skiriant kartu su didelėmis chemoterapinių </w:t>
      </w:r>
      <w:r w:rsidR="001E6883" w:rsidRPr="00F93FFA">
        <w:rPr>
          <w:color w:val="000000"/>
          <w:szCs w:val="22"/>
          <w:lang w:val="lt-LT"/>
        </w:rPr>
        <w:t xml:space="preserve">vaistinių </w:t>
      </w:r>
      <w:r w:rsidRPr="00F93FFA">
        <w:rPr>
          <w:color w:val="000000"/>
          <w:szCs w:val="22"/>
          <w:lang w:val="lt-LT"/>
        </w:rPr>
        <w:t>preparatų dozėmis, nustatytas sunkių kepenų reakcijų padažnėjimas. Imatinibą skiriant kartu su kepenų funkciją galinčiais bloginti chemoterapiniais</w:t>
      </w:r>
      <w:r w:rsidR="001E6883" w:rsidRPr="00F93FFA">
        <w:rPr>
          <w:color w:val="000000"/>
          <w:szCs w:val="22"/>
          <w:lang w:val="lt-LT"/>
        </w:rPr>
        <w:t xml:space="preserve"> vaistiniais</w:t>
      </w:r>
      <w:r w:rsidRPr="00F93FFA">
        <w:rPr>
          <w:color w:val="000000"/>
          <w:szCs w:val="22"/>
          <w:lang w:val="lt-LT"/>
        </w:rPr>
        <w:t xml:space="preserve"> preparatais, reikia atidžiai stebėti kepenų funkciją (žr. </w:t>
      </w:r>
      <w:r w:rsidRPr="00F93FFA">
        <w:rPr>
          <w:color w:val="000000"/>
          <w:szCs w:val="22"/>
          <w:lang w:val="lt-LT"/>
        </w:rPr>
        <w:lastRenderedPageBreak/>
        <w:t>4.5 ir 4.8</w:t>
      </w:r>
      <w:r w:rsidR="00BF7B5C" w:rsidRPr="00F93FFA">
        <w:rPr>
          <w:color w:val="000000"/>
          <w:szCs w:val="22"/>
          <w:lang w:val="lt-LT"/>
        </w:rPr>
        <w:t> </w:t>
      </w:r>
      <w:r w:rsidRPr="00F93FFA">
        <w:rPr>
          <w:color w:val="000000"/>
          <w:szCs w:val="22"/>
          <w:lang w:val="lt-LT"/>
        </w:rPr>
        <w:t>skyrius).</w:t>
      </w:r>
    </w:p>
    <w:p w14:paraId="5F9287E8" w14:textId="77777777" w:rsidR="003646A0" w:rsidRPr="00F93FFA" w:rsidRDefault="003646A0" w:rsidP="00DE16D0">
      <w:pPr>
        <w:widowControl w:val="0"/>
        <w:rPr>
          <w:color w:val="000000"/>
          <w:sz w:val="22"/>
          <w:szCs w:val="22"/>
          <w:u w:val="single"/>
        </w:rPr>
      </w:pPr>
    </w:p>
    <w:p w14:paraId="1374C6F2" w14:textId="77777777" w:rsidR="003646A0" w:rsidRPr="00F93FFA" w:rsidRDefault="003646A0" w:rsidP="00DE16D0">
      <w:pPr>
        <w:keepNext/>
        <w:widowControl w:val="0"/>
        <w:rPr>
          <w:color w:val="000000"/>
          <w:sz w:val="22"/>
          <w:szCs w:val="22"/>
        </w:rPr>
      </w:pPr>
      <w:r w:rsidRPr="00F93FFA">
        <w:rPr>
          <w:color w:val="000000"/>
          <w:sz w:val="22"/>
          <w:szCs w:val="22"/>
          <w:u w:val="single"/>
        </w:rPr>
        <w:t>Skysčių susilaikymas</w:t>
      </w:r>
    </w:p>
    <w:p w14:paraId="0200E877" w14:textId="77777777" w:rsidR="003646A0" w:rsidRPr="00F93FFA" w:rsidRDefault="003646A0" w:rsidP="00DE16D0">
      <w:pPr>
        <w:widowControl w:val="0"/>
        <w:rPr>
          <w:color w:val="000000"/>
          <w:sz w:val="22"/>
          <w:szCs w:val="22"/>
        </w:rPr>
      </w:pPr>
      <w:r w:rsidRPr="00F93FFA">
        <w:rPr>
          <w:color w:val="000000"/>
          <w:sz w:val="22"/>
          <w:szCs w:val="22"/>
        </w:rPr>
        <w:t xml:space="preserve">Maždaug 2,5 % Glivec vartojusių pacientų, sergančių naujai diagnozuota LML, susilaikė daug skysčių organizme (skystis pleuros ertmėje, edema, plaučių edema, ascitas, paviršinė edema). Todėl privalu pacientus reguliariai sverti. Pacientą, kuriam kūno svoris neįtikėtinai greitai didėja, reikia atidžiai ištirti ir prireikus taikyti atitinkamas pagalbos ir gydymo priemones. Klinikinių tyrimų metu šių reiškinių dažniau buvo senyviems žmonėms ir sergantiems širdies ligomis pacientams. Todėl </w:t>
      </w:r>
      <w:r w:rsidR="00A70D12" w:rsidRPr="00F93FFA">
        <w:rPr>
          <w:color w:val="000000"/>
          <w:sz w:val="22"/>
          <w:szCs w:val="22"/>
        </w:rPr>
        <w:t xml:space="preserve">vaistinį preparatą </w:t>
      </w:r>
      <w:r w:rsidRPr="00F93FFA">
        <w:rPr>
          <w:color w:val="000000"/>
          <w:sz w:val="22"/>
          <w:szCs w:val="22"/>
        </w:rPr>
        <w:t>atsargiai skirti pacientams, kurių sutrikusi širdies funkcija.</w:t>
      </w:r>
    </w:p>
    <w:p w14:paraId="77E2D9B2" w14:textId="77777777" w:rsidR="003646A0" w:rsidRPr="00F93FFA" w:rsidRDefault="003646A0" w:rsidP="00DE16D0">
      <w:pPr>
        <w:widowControl w:val="0"/>
        <w:rPr>
          <w:color w:val="000000"/>
          <w:sz w:val="22"/>
          <w:szCs w:val="22"/>
          <w:u w:val="single"/>
        </w:rPr>
      </w:pPr>
    </w:p>
    <w:p w14:paraId="54C671E8" w14:textId="77777777" w:rsidR="003646A0" w:rsidRPr="00F93FFA" w:rsidRDefault="003646A0" w:rsidP="00DE16D0">
      <w:pPr>
        <w:keepNext/>
        <w:widowControl w:val="0"/>
        <w:rPr>
          <w:color w:val="000000"/>
          <w:sz w:val="22"/>
          <w:szCs w:val="22"/>
        </w:rPr>
      </w:pPr>
      <w:r w:rsidRPr="00F93FFA">
        <w:rPr>
          <w:color w:val="000000"/>
          <w:sz w:val="22"/>
          <w:szCs w:val="22"/>
          <w:u w:val="single"/>
        </w:rPr>
        <w:t>Pacientai, sergantys širdies ligomis</w:t>
      </w:r>
    </w:p>
    <w:p w14:paraId="5C0CC5F1" w14:textId="77777777" w:rsidR="003646A0" w:rsidRPr="00F93FFA" w:rsidRDefault="003646A0" w:rsidP="00DE16D0">
      <w:pPr>
        <w:widowControl w:val="0"/>
        <w:rPr>
          <w:color w:val="000000"/>
          <w:sz w:val="22"/>
          <w:szCs w:val="22"/>
        </w:rPr>
      </w:pPr>
      <w:r w:rsidRPr="00F93FFA">
        <w:rPr>
          <w:color w:val="000000"/>
          <w:sz w:val="22"/>
          <w:szCs w:val="22"/>
        </w:rPr>
        <w:t>Pacientai su širdies ligomis, širdies nepakankamumo rizikos faktoriais ar sirgę inkstų nepakankamumu turi būti atidžiai stebimi, o bet kuris pacientas su širdies ar inkstų nepakankamumo požymiais arba simptomais turi būti įvertintas ir gydomas.</w:t>
      </w:r>
    </w:p>
    <w:p w14:paraId="7112A7A2" w14:textId="77777777" w:rsidR="003646A0" w:rsidRPr="00F93FFA" w:rsidRDefault="003646A0" w:rsidP="00DE16D0">
      <w:pPr>
        <w:pStyle w:val="Text"/>
        <w:widowControl w:val="0"/>
        <w:spacing w:before="0"/>
        <w:jc w:val="left"/>
        <w:rPr>
          <w:color w:val="000000"/>
          <w:sz w:val="22"/>
          <w:szCs w:val="22"/>
          <w:lang w:val="lt-LT"/>
        </w:rPr>
      </w:pPr>
    </w:p>
    <w:p w14:paraId="73B5E011"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Hi</w:t>
      </w:r>
      <w:r w:rsidRPr="00F93FFA">
        <w:rPr>
          <w:snapToGrid w:val="0"/>
          <w:color w:val="000000"/>
          <w:sz w:val="22"/>
          <w:szCs w:val="22"/>
          <w:lang w:val="lt-LT" w:eastAsia="de-DE"/>
        </w:rPr>
        <w:t xml:space="preserve">pereozinofiliniu sindromu (HES) sergantiems pacientams su slapta HES ląstelių infiltracija miokarde, registruoti pavieniai kardiogeninio šoko </w:t>
      </w:r>
      <w:r w:rsidRPr="00F93FFA">
        <w:rPr>
          <w:color w:val="000000"/>
          <w:sz w:val="22"/>
          <w:szCs w:val="22"/>
          <w:lang w:val="lt-LT"/>
        </w:rPr>
        <w:t>ar kairiojo skilvelio disfunkcijos atvejai, siejami su HES ląstelių degranuliacija po gydymo imatinibu pradžios. Būklė gerėjo gydant sisteminio veikimo steroidiniais hormonais, palaikant kraujotaką ir laikinai nutraukiant imatinibo vartojimą. Kadangi nedažnai buvo pranešama apie nepageidaujamus poveikius širdžiai, vartojant imatinibą, prieš pradedant gydyti imatinibu pacientus, sergančius HES/LEL, turi būti atidžiai įvertintas gydymo imatinibu naudos ir rizikos santykis.</w:t>
      </w:r>
    </w:p>
    <w:p w14:paraId="2361F3DF" w14:textId="77777777" w:rsidR="003646A0" w:rsidRPr="00F93FFA" w:rsidRDefault="003646A0" w:rsidP="00DE16D0">
      <w:pPr>
        <w:pStyle w:val="Text"/>
        <w:widowControl w:val="0"/>
        <w:spacing w:before="0"/>
        <w:jc w:val="left"/>
        <w:rPr>
          <w:color w:val="000000"/>
          <w:sz w:val="22"/>
          <w:szCs w:val="22"/>
          <w:lang w:val="lt-LT"/>
        </w:rPr>
      </w:pPr>
    </w:p>
    <w:p w14:paraId="7FD58A0D"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 xml:space="preserve">Sergant </w:t>
      </w:r>
      <w:r w:rsidRPr="00F93FFA">
        <w:rPr>
          <w:snapToGrid w:val="0"/>
          <w:color w:val="000000"/>
          <w:sz w:val="22"/>
          <w:szCs w:val="22"/>
          <w:lang w:val="lt-LT" w:eastAsia="de-DE"/>
        </w:rPr>
        <w:t xml:space="preserve">mielodisplazinėmis ar mieloproliferacinėmis ligomis </w:t>
      </w:r>
      <w:r w:rsidRPr="00F93FFA">
        <w:rPr>
          <w:color w:val="000000"/>
          <w:sz w:val="22"/>
          <w:szCs w:val="22"/>
          <w:lang w:val="lt-LT"/>
        </w:rPr>
        <w:t>su PDGFR genų pakitimais</w:t>
      </w:r>
      <w:r w:rsidRPr="00F93FFA">
        <w:rPr>
          <w:snapToGrid w:val="0"/>
          <w:color w:val="000000"/>
          <w:sz w:val="22"/>
          <w:szCs w:val="22"/>
          <w:lang w:val="lt-LT" w:eastAsia="de-DE"/>
        </w:rPr>
        <w:t xml:space="preserve"> gali būti padidėjęs eozinofilų kiekis</w:t>
      </w:r>
      <w:r w:rsidRPr="00F93FFA">
        <w:rPr>
          <w:color w:val="000000"/>
          <w:sz w:val="22"/>
          <w:szCs w:val="22"/>
          <w:lang w:val="lt-LT"/>
        </w:rPr>
        <w:t>. Prieš skiriant imatinibą pacientams, sergantiems HES ar LEL ir pacientams, sergantiems MDS/MDL, kuriems yra padidėjęs eozinofilų kiekis, reikalinga kardiologo konsultacija, taip pat reikia atlikti echokardiogramą ir nustatyti troponino koncentraciją serume. Jei bent vieno šių tyrimų rezultatai neatitinka normos, pirmąsias vieną ar dvi gydymo savaites, stebint kardiologui, kartu su imatinibu profilaktiškai galima skirti sisteminio veikimo steroidų (1</w:t>
      </w:r>
      <w:r w:rsidRPr="00F93FFA">
        <w:rPr>
          <w:color w:val="000000"/>
          <w:sz w:val="22"/>
          <w:szCs w:val="22"/>
          <w:lang w:val="lt-LT"/>
        </w:rPr>
        <w:noBreakHyphen/>
        <w:t>2 mg/kg dozę).</w:t>
      </w:r>
    </w:p>
    <w:p w14:paraId="3E1DFEF9" w14:textId="77777777" w:rsidR="003646A0" w:rsidRPr="00F93FFA" w:rsidRDefault="003646A0" w:rsidP="00DE16D0">
      <w:pPr>
        <w:widowControl w:val="0"/>
        <w:rPr>
          <w:color w:val="000000"/>
          <w:sz w:val="22"/>
          <w:szCs w:val="22"/>
          <w:u w:val="single"/>
        </w:rPr>
      </w:pPr>
    </w:p>
    <w:p w14:paraId="1FCB5FD0" w14:textId="77777777" w:rsidR="003646A0" w:rsidRPr="00F93FFA" w:rsidRDefault="003646A0" w:rsidP="00DE16D0">
      <w:pPr>
        <w:keepNext/>
        <w:widowControl w:val="0"/>
        <w:rPr>
          <w:color w:val="000000"/>
          <w:sz w:val="22"/>
          <w:szCs w:val="22"/>
        </w:rPr>
      </w:pPr>
      <w:r w:rsidRPr="00F93FFA">
        <w:rPr>
          <w:color w:val="000000"/>
          <w:sz w:val="22"/>
          <w:szCs w:val="22"/>
          <w:u w:val="single"/>
        </w:rPr>
        <w:t>Kraujavimas iš virškinimo trakto</w:t>
      </w:r>
    </w:p>
    <w:p w14:paraId="582781BB" w14:textId="568230C1" w:rsidR="003646A0" w:rsidRPr="00F93FFA" w:rsidRDefault="003646A0" w:rsidP="00DE16D0">
      <w:pPr>
        <w:widowControl w:val="0"/>
        <w:rPr>
          <w:color w:val="000000"/>
          <w:sz w:val="22"/>
          <w:szCs w:val="22"/>
        </w:rPr>
      </w:pPr>
      <w:r w:rsidRPr="00F93FFA">
        <w:rPr>
          <w:color w:val="000000"/>
          <w:sz w:val="22"/>
          <w:szCs w:val="22"/>
        </w:rPr>
        <w:t>Atlikto klinikinio tyrimo duomenimis, jame dalyvavusiems pacientams, kuriems buvo nerezekuotinas ir (ar) metastazavęs VTSN, pasitaikė ir virškinimo trakto bei vidunavikinių kraujavimų (žr. 4.8</w:t>
      </w:r>
      <w:r w:rsidR="00BF7B5C" w:rsidRPr="00F93FFA">
        <w:rPr>
          <w:color w:val="000000"/>
          <w:sz w:val="22"/>
          <w:szCs w:val="22"/>
        </w:rPr>
        <w:t> </w:t>
      </w:r>
      <w:r w:rsidRPr="00F93FFA">
        <w:rPr>
          <w:color w:val="000000"/>
          <w:sz w:val="22"/>
          <w:szCs w:val="22"/>
        </w:rPr>
        <w:t>skyrių). Turimi duomenys neatskleidė predisponuojančių veiksnių (pvz., naviko dydžio, naviko lokalizacijos, krešėjimo sutrikimų), dėl kurių padidėtų pacientų, sergančių VTSN, bet kokio kraujavimo rizika. Padidėjęs kraujagyslinis tinklas bei polinkis į kraujavimą iš dalies yra prigimtiniai ir būdingi klinikinei VTSN eigai, todėl visiems pacientams būtina taikyti įprastines priemones ir procedūras kraujavimui stebėti ir gydyti.</w:t>
      </w:r>
    </w:p>
    <w:p w14:paraId="7EA8D499" w14:textId="77777777" w:rsidR="003646A0" w:rsidRPr="00F93FFA" w:rsidRDefault="003646A0" w:rsidP="00DE16D0">
      <w:pPr>
        <w:widowControl w:val="0"/>
        <w:rPr>
          <w:color w:val="000000"/>
          <w:sz w:val="22"/>
          <w:szCs w:val="22"/>
          <w:u w:val="single"/>
        </w:rPr>
      </w:pPr>
    </w:p>
    <w:p w14:paraId="2DF0E07A" w14:textId="77777777" w:rsidR="003646A0" w:rsidRPr="00F93FFA" w:rsidRDefault="003646A0" w:rsidP="00DE16D0">
      <w:pPr>
        <w:keepNext/>
        <w:widowControl w:val="0"/>
        <w:rPr>
          <w:color w:val="000000"/>
          <w:sz w:val="22"/>
          <w:szCs w:val="22"/>
        </w:rPr>
      </w:pPr>
      <w:r w:rsidRPr="00F93FFA">
        <w:rPr>
          <w:color w:val="000000"/>
          <w:sz w:val="22"/>
          <w:szCs w:val="22"/>
          <w:u w:val="single"/>
        </w:rPr>
        <w:t>Auglio irimo sindromas</w:t>
      </w:r>
    </w:p>
    <w:p w14:paraId="0CE07B92" w14:textId="5B9533EE" w:rsidR="003646A0" w:rsidRPr="00F93FFA" w:rsidRDefault="003646A0" w:rsidP="00DE16D0">
      <w:pPr>
        <w:widowControl w:val="0"/>
        <w:rPr>
          <w:color w:val="000000"/>
          <w:sz w:val="22"/>
          <w:szCs w:val="22"/>
        </w:rPr>
      </w:pPr>
      <w:r w:rsidRPr="00F93FFA">
        <w:rPr>
          <w:color w:val="000000"/>
          <w:sz w:val="22"/>
          <w:szCs w:val="22"/>
        </w:rPr>
        <w:t>Dėl galimų auglio irimo sindromo (AIS) atvejų, pradedant vartoti Glivec pirmiausia rekomenduojamas kliniškai reikšmingos dehidracijos lygio atstatymas ir didelio šlapimo rūgšties kiekio gydymas (žr. 4.8</w:t>
      </w:r>
      <w:r w:rsidR="00BF7B5C" w:rsidRPr="00F93FFA">
        <w:rPr>
          <w:color w:val="000000"/>
          <w:sz w:val="22"/>
          <w:szCs w:val="22"/>
        </w:rPr>
        <w:t> </w:t>
      </w:r>
      <w:r w:rsidRPr="00F93FFA">
        <w:rPr>
          <w:color w:val="000000"/>
          <w:sz w:val="22"/>
          <w:szCs w:val="22"/>
        </w:rPr>
        <w:t>skyrių).</w:t>
      </w:r>
    </w:p>
    <w:p w14:paraId="1AF13BF3" w14:textId="77777777" w:rsidR="003646A0" w:rsidRPr="00F93FFA" w:rsidRDefault="003646A0" w:rsidP="00DE16D0">
      <w:pPr>
        <w:widowControl w:val="0"/>
        <w:rPr>
          <w:color w:val="000000"/>
          <w:sz w:val="22"/>
          <w:szCs w:val="22"/>
        </w:rPr>
      </w:pPr>
    </w:p>
    <w:p w14:paraId="33959DB0" w14:textId="77777777" w:rsidR="00D5443A" w:rsidRPr="00F93FFA" w:rsidRDefault="00D5443A" w:rsidP="00DE16D0">
      <w:pPr>
        <w:widowControl w:val="0"/>
        <w:rPr>
          <w:color w:val="000000"/>
          <w:sz w:val="22"/>
          <w:szCs w:val="22"/>
        </w:rPr>
      </w:pPr>
      <w:r w:rsidRPr="00F93FFA">
        <w:rPr>
          <w:color w:val="000000"/>
          <w:sz w:val="22"/>
          <w:szCs w:val="22"/>
        </w:rPr>
        <w:t>Be to, vaisti</w:t>
      </w:r>
      <w:r w:rsidR="00FF3407" w:rsidRPr="00F93FFA">
        <w:rPr>
          <w:color w:val="000000"/>
          <w:sz w:val="22"/>
          <w:szCs w:val="22"/>
        </w:rPr>
        <w:t>niam preparatui</w:t>
      </w:r>
      <w:r w:rsidRPr="00F93FFA">
        <w:rPr>
          <w:color w:val="000000"/>
          <w:sz w:val="22"/>
          <w:szCs w:val="22"/>
        </w:rPr>
        <w:t xml:space="preserve"> patekus į rinką</w:t>
      </w:r>
      <w:r w:rsidR="00FF3407" w:rsidRPr="00F93FFA">
        <w:rPr>
          <w:color w:val="000000"/>
          <w:sz w:val="22"/>
          <w:szCs w:val="22"/>
        </w:rPr>
        <w:t>,</w:t>
      </w:r>
      <w:r w:rsidRPr="00F93FFA">
        <w:rPr>
          <w:color w:val="000000"/>
          <w:sz w:val="22"/>
          <w:szCs w:val="22"/>
        </w:rPr>
        <w:t xml:space="preserve"> buvo gauta pranešimų apie </w:t>
      </w:r>
      <w:r w:rsidR="00063D2B" w:rsidRPr="00F93FFA">
        <w:rPr>
          <w:color w:val="000000"/>
          <w:sz w:val="22"/>
          <w:szCs w:val="22"/>
        </w:rPr>
        <w:t>prievarčio kraujagyslių išsiplėtim</w:t>
      </w:r>
      <w:r w:rsidR="00217190" w:rsidRPr="00F93FFA">
        <w:rPr>
          <w:color w:val="000000"/>
          <w:sz w:val="22"/>
          <w:szCs w:val="22"/>
        </w:rPr>
        <w:t>ą</w:t>
      </w:r>
      <w:r w:rsidR="00063D2B" w:rsidRPr="00F93FFA">
        <w:rPr>
          <w:color w:val="000000"/>
          <w:sz w:val="22"/>
          <w:szCs w:val="22"/>
        </w:rPr>
        <w:t xml:space="preserve"> (</w:t>
      </w:r>
      <w:r w:rsidR="00217190" w:rsidRPr="00F93FFA">
        <w:rPr>
          <w:i/>
          <w:color w:val="000000"/>
          <w:sz w:val="22"/>
          <w:szCs w:val="22"/>
        </w:rPr>
        <w:t>angl.</w:t>
      </w:r>
      <w:r w:rsidR="00217190" w:rsidRPr="00F93FFA">
        <w:rPr>
          <w:color w:val="000000"/>
          <w:sz w:val="22"/>
          <w:szCs w:val="22"/>
        </w:rPr>
        <w:t xml:space="preserve"> </w:t>
      </w:r>
      <w:r w:rsidR="00217190" w:rsidRPr="00F93FFA">
        <w:rPr>
          <w:sz w:val="22"/>
          <w:szCs w:val="22"/>
        </w:rPr>
        <w:t>gastric antral vascular ectasia [GAVE])</w:t>
      </w:r>
      <w:r w:rsidR="00217190" w:rsidRPr="00F93FFA">
        <w:rPr>
          <w:color w:val="000000"/>
          <w:sz w:val="22"/>
          <w:szCs w:val="22"/>
        </w:rPr>
        <w:t xml:space="preserve"> </w:t>
      </w:r>
      <w:r w:rsidR="00217190" w:rsidRPr="00F93FFA">
        <w:rPr>
          <w:color w:val="000000"/>
          <w:sz w:val="22"/>
          <w:szCs w:val="22"/>
        </w:rPr>
        <w:sym w:font="Symbol" w:char="F02D"/>
      </w:r>
      <w:r w:rsidRPr="00F93FFA">
        <w:rPr>
          <w:color w:val="000000"/>
          <w:sz w:val="22"/>
          <w:szCs w:val="22"/>
        </w:rPr>
        <w:t xml:space="preserve"> ret</w:t>
      </w:r>
      <w:r w:rsidR="00217190" w:rsidRPr="00F93FFA">
        <w:rPr>
          <w:color w:val="000000"/>
          <w:sz w:val="22"/>
          <w:szCs w:val="22"/>
        </w:rPr>
        <w:t>ą</w:t>
      </w:r>
      <w:r w:rsidRPr="00F93FFA">
        <w:rPr>
          <w:color w:val="000000"/>
          <w:sz w:val="22"/>
          <w:szCs w:val="22"/>
        </w:rPr>
        <w:t xml:space="preserve"> </w:t>
      </w:r>
      <w:r w:rsidR="009835EA" w:rsidRPr="00F93FFA">
        <w:rPr>
          <w:color w:val="000000"/>
          <w:sz w:val="22"/>
          <w:szCs w:val="22"/>
        </w:rPr>
        <w:t xml:space="preserve">kraujavimo iš virškinimo </w:t>
      </w:r>
      <w:r w:rsidR="00217190" w:rsidRPr="00F93FFA">
        <w:rPr>
          <w:color w:val="000000"/>
          <w:sz w:val="22"/>
          <w:szCs w:val="22"/>
        </w:rPr>
        <w:t xml:space="preserve">priežastį </w:t>
      </w:r>
      <w:r w:rsidR="00217190" w:rsidRPr="00F93FFA">
        <w:rPr>
          <w:color w:val="000000"/>
          <w:sz w:val="22"/>
          <w:szCs w:val="22"/>
        </w:rPr>
        <w:sym w:font="Symbol" w:char="F02D"/>
      </w:r>
      <w:r w:rsidR="009835EA" w:rsidRPr="00F93FFA">
        <w:rPr>
          <w:color w:val="000000"/>
          <w:sz w:val="22"/>
          <w:szCs w:val="22"/>
        </w:rPr>
        <w:t xml:space="preserve"> pacientams, </w:t>
      </w:r>
      <w:r w:rsidRPr="00F93FFA">
        <w:rPr>
          <w:color w:val="000000"/>
          <w:sz w:val="22"/>
          <w:szCs w:val="22"/>
        </w:rPr>
        <w:t xml:space="preserve">sergantiems LML, </w:t>
      </w:r>
      <w:r w:rsidR="009835EA" w:rsidRPr="00F93FFA">
        <w:rPr>
          <w:color w:val="000000"/>
          <w:sz w:val="22"/>
          <w:szCs w:val="22"/>
        </w:rPr>
        <w:t>ŪLL</w:t>
      </w:r>
      <w:r w:rsidRPr="00F93FFA">
        <w:rPr>
          <w:color w:val="000000"/>
          <w:sz w:val="22"/>
          <w:szCs w:val="22"/>
        </w:rPr>
        <w:t xml:space="preserve"> ir kitomis ligomis (žr 4.8</w:t>
      </w:r>
      <w:r w:rsidR="009835EA" w:rsidRPr="00F93FFA">
        <w:rPr>
          <w:color w:val="000000"/>
          <w:sz w:val="22"/>
          <w:szCs w:val="22"/>
        </w:rPr>
        <w:t> </w:t>
      </w:r>
      <w:r w:rsidRPr="00F93FFA">
        <w:rPr>
          <w:color w:val="000000"/>
          <w:sz w:val="22"/>
          <w:szCs w:val="22"/>
        </w:rPr>
        <w:t xml:space="preserve">skyrių). </w:t>
      </w:r>
      <w:r w:rsidR="00063D2B" w:rsidRPr="00F93FFA">
        <w:rPr>
          <w:color w:val="000000"/>
          <w:sz w:val="22"/>
          <w:szCs w:val="22"/>
        </w:rPr>
        <w:t>Je</w:t>
      </w:r>
      <w:r w:rsidRPr="00F93FFA">
        <w:rPr>
          <w:color w:val="000000"/>
          <w:sz w:val="22"/>
          <w:szCs w:val="22"/>
        </w:rPr>
        <w:t xml:space="preserve">i reikia, </w:t>
      </w:r>
      <w:r w:rsidR="005A2790" w:rsidRPr="00F93FFA">
        <w:rPr>
          <w:color w:val="000000"/>
          <w:sz w:val="22"/>
          <w:szCs w:val="22"/>
        </w:rPr>
        <w:t xml:space="preserve">turi būti apsvarstytas </w:t>
      </w:r>
      <w:r w:rsidR="009835EA" w:rsidRPr="00F93FFA">
        <w:rPr>
          <w:color w:val="000000"/>
          <w:sz w:val="22"/>
          <w:szCs w:val="22"/>
        </w:rPr>
        <w:t>gydym</w:t>
      </w:r>
      <w:r w:rsidR="005A2790" w:rsidRPr="00F93FFA">
        <w:rPr>
          <w:color w:val="000000"/>
          <w:sz w:val="22"/>
          <w:szCs w:val="22"/>
        </w:rPr>
        <w:t>o</w:t>
      </w:r>
      <w:r w:rsidR="009835EA" w:rsidRPr="00F93FFA">
        <w:rPr>
          <w:color w:val="000000"/>
          <w:sz w:val="22"/>
          <w:szCs w:val="22"/>
        </w:rPr>
        <w:t xml:space="preserve"> Glivec </w:t>
      </w:r>
      <w:r w:rsidRPr="00F93FFA">
        <w:rPr>
          <w:color w:val="000000"/>
          <w:sz w:val="22"/>
          <w:szCs w:val="22"/>
        </w:rPr>
        <w:t>nutrauk</w:t>
      </w:r>
      <w:r w:rsidR="005A2790" w:rsidRPr="00F93FFA">
        <w:rPr>
          <w:color w:val="000000"/>
          <w:sz w:val="22"/>
          <w:szCs w:val="22"/>
        </w:rPr>
        <w:t>imas</w:t>
      </w:r>
      <w:r w:rsidRPr="00F93FFA">
        <w:rPr>
          <w:color w:val="000000"/>
          <w:sz w:val="22"/>
          <w:szCs w:val="22"/>
        </w:rPr>
        <w:t>.</w:t>
      </w:r>
    </w:p>
    <w:p w14:paraId="0DCF3C90" w14:textId="77777777" w:rsidR="00A01420" w:rsidRPr="00F93FFA" w:rsidRDefault="00A01420" w:rsidP="00DE16D0">
      <w:pPr>
        <w:widowControl w:val="0"/>
        <w:tabs>
          <w:tab w:val="left" w:pos="567"/>
        </w:tabs>
        <w:rPr>
          <w:color w:val="000000"/>
          <w:sz w:val="22"/>
          <w:szCs w:val="22"/>
        </w:rPr>
      </w:pPr>
    </w:p>
    <w:p w14:paraId="625308B2" w14:textId="77777777" w:rsidR="00A01420" w:rsidRPr="00F93FFA" w:rsidRDefault="00A01420" w:rsidP="00DE16D0">
      <w:pPr>
        <w:keepNext/>
        <w:widowControl w:val="0"/>
        <w:tabs>
          <w:tab w:val="left" w:pos="567"/>
        </w:tabs>
        <w:rPr>
          <w:color w:val="000000"/>
          <w:sz w:val="22"/>
          <w:szCs w:val="22"/>
          <w:u w:val="single"/>
        </w:rPr>
      </w:pPr>
      <w:r w:rsidRPr="00F93FFA">
        <w:rPr>
          <w:color w:val="000000"/>
          <w:sz w:val="22"/>
          <w:szCs w:val="22"/>
          <w:u w:val="single"/>
        </w:rPr>
        <w:t>Hepatito B reaktyvacija</w:t>
      </w:r>
    </w:p>
    <w:p w14:paraId="26819132" w14:textId="77777777" w:rsidR="00A01420" w:rsidRPr="00F93FFA" w:rsidRDefault="00A01420" w:rsidP="00DE16D0">
      <w:pPr>
        <w:widowControl w:val="0"/>
        <w:tabs>
          <w:tab w:val="left" w:pos="567"/>
        </w:tabs>
        <w:rPr>
          <w:color w:val="000000"/>
          <w:sz w:val="22"/>
          <w:szCs w:val="22"/>
        </w:rPr>
      </w:pPr>
      <w:r w:rsidRPr="00F93FFA">
        <w:rPr>
          <w:color w:val="000000"/>
          <w:sz w:val="22"/>
          <w:szCs w:val="22"/>
        </w:rPr>
        <w:t>Hepatito B reaktyvacijos atvejų nustatyta pacientams, kurie yra ilgalaikiai šio viruso nešiotojai, po to, kai šie pacientai pavartojo BCR-ABL tirozinkinazės inhibitorių. Kai kuriais atvejais tai sukėlė ūminį kepenų nepakankamumą arba žaibinį hepatitą, dėl kurio pacientui teko persodinti kepenis arba pacientas mirė.</w:t>
      </w:r>
    </w:p>
    <w:p w14:paraId="53AC00A8" w14:textId="77777777" w:rsidR="00A01420" w:rsidRPr="00F93FFA" w:rsidRDefault="00A01420" w:rsidP="00DE16D0">
      <w:pPr>
        <w:widowControl w:val="0"/>
        <w:tabs>
          <w:tab w:val="left" w:pos="567"/>
        </w:tabs>
        <w:rPr>
          <w:color w:val="000000"/>
          <w:sz w:val="22"/>
          <w:szCs w:val="22"/>
        </w:rPr>
      </w:pPr>
    </w:p>
    <w:p w14:paraId="08A2108A" w14:textId="77777777" w:rsidR="00A01420" w:rsidRPr="00F93FFA" w:rsidRDefault="00A01420" w:rsidP="00DE16D0">
      <w:pPr>
        <w:widowControl w:val="0"/>
        <w:tabs>
          <w:tab w:val="left" w:pos="567"/>
        </w:tabs>
        <w:rPr>
          <w:color w:val="000000"/>
          <w:sz w:val="22"/>
          <w:szCs w:val="22"/>
        </w:rPr>
      </w:pPr>
      <w:r w:rsidRPr="00F93FFA">
        <w:rPr>
          <w:color w:val="000000"/>
          <w:sz w:val="22"/>
          <w:szCs w:val="22"/>
        </w:rPr>
        <w:t xml:space="preserve">Prieš pradedant gydymą </w:t>
      </w:r>
      <w:r w:rsidR="00EE25B9" w:rsidRPr="00F93FFA">
        <w:rPr>
          <w:color w:val="000000"/>
          <w:sz w:val="22"/>
          <w:szCs w:val="22"/>
        </w:rPr>
        <w:t>Glivec</w:t>
      </w:r>
      <w:r w:rsidRPr="00F93FFA">
        <w:rPr>
          <w:color w:val="000000"/>
          <w:sz w:val="22"/>
          <w:szCs w:val="22"/>
        </w:rPr>
        <w:t xml:space="preserve">, reikia ištirti, ar pacientas neužsikrėtęs HBV. Prieš pradedant gydyti </w:t>
      </w:r>
      <w:r w:rsidRPr="00F93FFA">
        <w:rPr>
          <w:color w:val="000000"/>
          <w:sz w:val="22"/>
          <w:szCs w:val="22"/>
        </w:rPr>
        <w:lastRenderedPageBreak/>
        <w:t xml:space="preserve">pacientus, kuriems nustatytas serologiškai teigiamas hepatitas B (įskaitant aktyvia liga sergančius pacientus), ir dėl pacientų, kuriems gydymo laikotarpiu nustatyta HBV infekcija, reikia pasitarti su kepenų ligų ekspertais ir hepatitą B gydančiais gydytojais specialistais. Terapijos laikotarpiu ir kelis mėnesius po terapijos pabaigos reikia atidžiai stebėti, ar HBV nešiotojams, kuriems būtinas gydymas </w:t>
      </w:r>
      <w:r w:rsidR="00EE25B9" w:rsidRPr="00F93FFA">
        <w:rPr>
          <w:color w:val="000000"/>
          <w:sz w:val="22"/>
          <w:szCs w:val="22"/>
        </w:rPr>
        <w:t>Glivec</w:t>
      </w:r>
      <w:r w:rsidRPr="00F93FFA">
        <w:rPr>
          <w:color w:val="000000"/>
          <w:sz w:val="22"/>
          <w:szCs w:val="22"/>
        </w:rPr>
        <w:t>, nepasireiškia aktyvios HBV infekcijos požymiai ir simptomai (žr. 4.8 skyrių).</w:t>
      </w:r>
    </w:p>
    <w:p w14:paraId="4C613A00" w14:textId="77777777" w:rsidR="00D5443A" w:rsidRPr="00F93FFA" w:rsidRDefault="00D5443A" w:rsidP="00DE16D0">
      <w:pPr>
        <w:widowControl w:val="0"/>
        <w:rPr>
          <w:color w:val="000000"/>
          <w:sz w:val="22"/>
          <w:szCs w:val="22"/>
        </w:rPr>
      </w:pPr>
    </w:p>
    <w:p w14:paraId="48FAF0DC" w14:textId="77777777" w:rsidR="00C2321B" w:rsidRPr="00F93FFA" w:rsidRDefault="00C2321B" w:rsidP="00DE16D0">
      <w:pPr>
        <w:keepNext/>
        <w:widowControl w:val="0"/>
        <w:rPr>
          <w:snapToGrid w:val="0"/>
          <w:color w:val="000000"/>
          <w:sz w:val="22"/>
          <w:szCs w:val="22"/>
          <w:u w:val="single"/>
        </w:rPr>
      </w:pPr>
      <w:r w:rsidRPr="00F93FFA">
        <w:rPr>
          <w:snapToGrid w:val="0"/>
          <w:color w:val="000000"/>
          <w:sz w:val="22"/>
          <w:szCs w:val="22"/>
          <w:u w:val="single"/>
        </w:rPr>
        <w:t>Fototoksiškumas</w:t>
      </w:r>
    </w:p>
    <w:p w14:paraId="5DF7001C" w14:textId="77777777" w:rsidR="00C2321B" w:rsidRPr="00F93FFA" w:rsidRDefault="00C2321B" w:rsidP="00DE16D0">
      <w:pPr>
        <w:widowControl w:val="0"/>
        <w:rPr>
          <w:snapToGrid w:val="0"/>
          <w:color w:val="000000"/>
          <w:sz w:val="22"/>
          <w:szCs w:val="22"/>
        </w:rPr>
      </w:pPr>
      <w:r w:rsidRPr="00F93FFA">
        <w:rPr>
          <w:snapToGrid w:val="0"/>
          <w:color w:val="000000"/>
          <w:sz w:val="22"/>
          <w:szCs w:val="22"/>
        </w:rPr>
        <w:t xml:space="preserve">Reikia vengti tiesioginių saulės spindulių </w:t>
      </w:r>
      <w:r w:rsidR="00773425" w:rsidRPr="00F93FFA">
        <w:rPr>
          <w:snapToGrid w:val="0"/>
          <w:color w:val="000000"/>
          <w:sz w:val="22"/>
          <w:szCs w:val="22"/>
        </w:rPr>
        <w:t xml:space="preserve">ekspozicijos arba ją sumažinti iki minimumo </w:t>
      </w:r>
      <w:r w:rsidRPr="00F93FFA">
        <w:rPr>
          <w:snapToGrid w:val="0"/>
          <w:color w:val="000000"/>
          <w:sz w:val="22"/>
          <w:szCs w:val="22"/>
        </w:rPr>
        <w:t>dėl fototoksinio poveikio</w:t>
      </w:r>
      <w:r w:rsidR="00773425" w:rsidRPr="00F93FFA">
        <w:rPr>
          <w:snapToGrid w:val="0"/>
          <w:color w:val="000000"/>
          <w:sz w:val="22"/>
          <w:szCs w:val="22"/>
        </w:rPr>
        <w:t xml:space="preserve"> rizikos</w:t>
      </w:r>
      <w:r w:rsidRPr="00F93FFA">
        <w:rPr>
          <w:snapToGrid w:val="0"/>
          <w:color w:val="000000"/>
          <w:sz w:val="22"/>
          <w:szCs w:val="22"/>
        </w:rPr>
        <w:t>, susijusio</w:t>
      </w:r>
      <w:r w:rsidR="00773425" w:rsidRPr="00F93FFA">
        <w:rPr>
          <w:snapToGrid w:val="0"/>
          <w:color w:val="000000"/>
          <w:sz w:val="22"/>
          <w:szCs w:val="22"/>
        </w:rPr>
        <w:t>s</w:t>
      </w:r>
      <w:r w:rsidRPr="00F93FFA">
        <w:rPr>
          <w:snapToGrid w:val="0"/>
          <w:color w:val="000000"/>
          <w:sz w:val="22"/>
          <w:szCs w:val="22"/>
        </w:rPr>
        <w:t xml:space="preserve"> su gydymu imatinibu.</w:t>
      </w:r>
      <w:r w:rsidRPr="00F93FFA">
        <w:rPr>
          <w:rFonts w:ascii="Arial" w:hAnsi="Arial" w:cs="Arial"/>
          <w:color w:val="222222"/>
        </w:rPr>
        <w:t xml:space="preserve"> </w:t>
      </w:r>
      <w:r w:rsidRPr="00F93FFA">
        <w:rPr>
          <w:snapToGrid w:val="0"/>
          <w:color w:val="000000"/>
          <w:sz w:val="22"/>
          <w:szCs w:val="22"/>
        </w:rPr>
        <w:t xml:space="preserve">Pacientams reikia nurodyti naudoti apsauginius drabužius ir </w:t>
      </w:r>
      <w:r w:rsidR="001E6883" w:rsidRPr="00F93FFA">
        <w:rPr>
          <w:snapToGrid w:val="0"/>
          <w:color w:val="000000"/>
          <w:sz w:val="22"/>
          <w:szCs w:val="22"/>
        </w:rPr>
        <w:t xml:space="preserve">vaistinį </w:t>
      </w:r>
      <w:r w:rsidR="00773425" w:rsidRPr="00F93FFA">
        <w:rPr>
          <w:snapToGrid w:val="0"/>
          <w:color w:val="000000"/>
          <w:sz w:val="22"/>
          <w:szCs w:val="22"/>
        </w:rPr>
        <w:t>preparatą nuo saulės nudegimo, kurio aukštas</w:t>
      </w:r>
      <w:r w:rsidRPr="00F93FFA">
        <w:rPr>
          <w:snapToGrid w:val="0"/>
          <w:color w:val="000000"/>
          <w:sz w:val="22"/>
          <w:szCs w:val="22"/>
        </w:rPr>
        <w:t xml:space="preserve"> apsaugos faktoriu</w:t>
      </w:r>
      <w:r w:rsidR="00773425" w:rsidRPr="00F93FFA">
        <w:rPr>
          <w:snapToGrid w:val="0"/>
          <w:color w:val="000000"/>
          <w:sz w:val="22"/>
          <w:szCs w:val="22"/>
        </w:rPr>
        <w:t xml:space="preserve">s </w:t>
      </w:r>
      <w:r w:rsidRPr="00F93FFA">
        <w:rPr>
          <w:snapToGrid w:val="0"/>
          <w:color w:val="000000"/>
          <w:sz w:val="22"/>
          <w:szCs w:val="22"/>
        </w:rPr>
        <w:t>(SPF).</w:t>
      </w:r>
    </w:p>
    <w:p w14:paraId="67CC2A5B" w14:textId="77777777" w:rsidR="00C2321B" w:rsidRPr="00F93FFA" w:rsidRDefault="00C2321B" w:rsidP="00DE16D0">
      <w:pPr>
        <w:widowControl w:val="0"/>
        <w:rPr>
          <w:color w:val="000000"/>
          <w:sz w:val="22"/>
          <w:szCs w:val="22"/>
        </w:rPr>
      </w:pPr>
    </w:p>
    <w:p w14:paraId="1E81CC63" w14:textId="77777777" w:rsidR="008F570A" w:rsidRPr="00F93FFA" w:rsidRDefault="008F570A" w:rsidP="00DE16D0">
      <w:pPr>
        <w:pStyle w:val="EndnoteText"/>
        <w:keepNext/>
        <w:widowControl w:val="0"/>
        <w:tabs>
          <w:tab w:val="clear" w:pos="567"/>
        </w:tabs>
        <w:rPr>
          <w:snapToGrid w:val="0"/>
          <w:color w:val="000000"/>
          <w:szCs w:val="22"/>
          <w:u w:val="single"/>
          <w:lang w:val="lt-LT"/>
        </w:rPr>
      </w:pPr>
      <w:r w:rsidRPr="00F93FFA">
        <w:rPr>
          <w:snapToGrid w:val="0"/>
          <w:color w:val="000000"/>
          <w:szCs w:val="22"/>
          <w:u w:val="single"/>
          <w:lang w:val="lt-LT"/>
        </w:rPr>
        <w:t>Trombinė mikroangiopatija</w:t>
      </w:r>
    </w:p>
    <w:p w14:paraId="748AB7F2" w14:textId="77777777" w:rsidR="008F570A" w:rsidRPr="00F93FFA" w:rsidRDefault="008F570A" w:rsidP="00DE16D0">
      <w:pPr>
        <w:pStyle w:val="EndnoteText"/>
        <w:widowControl w:val="0"/>
        <w:tabs>
          <w:tab w:val="clear" w:pos="567"/>
        </w:tabs>
        <w:rPr>
          <w:color w:val="000000"/>
          <w:szCs w:val="22"/>
          <w:lang w:val="lt-LT"/>
        </w:rPr>
      </w:pPr>
      <w:r w:rsidRPr="00F93FFA">
        <w:rPr>
          <w:color w:val="000000"/>
          <w:szCs w:val="22"/>
          <w:lang w:val="lt-LT"/>
        </w:rPr>
        <w:t xml:space="preserve">BCR-ABL tirozinkinazės inhibitorių (TKI) vartojimas </w:t>
      </w:r>
      <w:r w:rsidR="0097761D" w:rsidRPr="00F93FFA">
        <w:rPr>
          <w:color w:val="000000"/>
          <w:szCs w:val="22"/>
          <w:lang w:val="lt-LT"/>
        </w:rPr>
        <w:t xml:space="preserve">buvo susijęs su </w:t>
      </w:r>
      <w:r w:rsidRPr="00F93FFA">
        <w:rPr>
          <w:color w:val="000000"/>
          <w:szCs w:val="22"/>
          <w:lang w:val="lt-LT"/>
        </w:rPr>
        <w:t>tromb</w:t>
      </w:r>
      <w:r w:rsidR="0097761D" w:rsidRPr="00F93FFA">
        <w:rPr>
          <w:color w:val="000000"/>
          <w:szCs w:val="22"/>
          <w:lang w:val="lt-LT"/>
        </w:rPr>
        <w:t xml:space="preserve">inės </w:t>
      </w:r>
      <w:r w:rsidRPr="00F93FFA">
        <w:rPr>
          <w:color w:val="000000"/>
          <w:szCs w:val="22"/>
          <w:lang w:val="lt-LT"/>
        </w:rPr>
        <w:t>mi</w:t>
      </w:r>
      <w:r w:rsidR="00E319FE" w:rsidRPr="00F93FFA">
        <w:rPr>
          <w:color w:val="000000"/>
          <w:szCs w:val="22"/>
          <w:lang w:val="lt-LT"/>
        </w:rPr>
        <w:t>k</w:t>
      </w:r>
      <w:r w:rsidRPr="00F93FFA">
        <w:rPr>
          <w:color w:val="000000"/>
          <w:szCs w:val="22"/>
          <w:lang w:val="lt-LT"/>
        </w:rPr>
        <w:t>roangiopat</w:t>
      </w:r>
      <w:r w:rsidR="00E319FE" w:rsidRPr="00F93FFA">
        <w:rPr>
          <w:color w:val="000000"/>
          <w:szCs w:val="22"/>
          <w:lang w:val="lt-LT"/>
        </w:rPr>
        <w:t>ijos</w:t>
      </w:r>
      <w:r w:rsidRPr="00F93FFA">
        <w:rPr>
          <w:color w:val="000000"/>
          <w:szCs w:val="22"/>
          <w:lang w:val="lt-LT"/>
        </w:rPr>
        <w:t xml:space="preserve"> (TMA)</w:t>
      </w:r>
      <w:r w:rsidR="00E319FE" w:rsidRPr="00F93FFA">
        <w:rPr>
          <w:color w:val="000000"/>
          <w:szCs w:val="22"/>
          <w:lang w:val="lt-LT"/>
        </w:rPr>
        <w:t xml:space="preserve"> pasireiškimu</w:t>
      </w:r>
      <w:r w:rsidRPr="00F93FFA">
        <w:rPr>
          <w:color w:val="000000"/>
          <w:szCs w:val="22"/>
          <w:lang w:val="lt-LT"/>
        </w:rPr>
        <w:t xml:space="preserve">, </w:t>
      </w:r>
      <w:r w:rsidR="00E319FE" w:rsidRPr="00F93FFA">
        <w:rPr>
          <w:color w:val="000000"/>
          <w:szCs w:val="22"/>
          <w:lang w:val="lt-LT"/>
        </w:rPr>
        <w:t xml:space="preserve">įskaitant pranešimus apie atskirus jos atvejus vartojant </w:t>
      </w:r>
      <w:r w:rsidRPr="00F93FFA">
        <w:rPr>
          <w:color w:val="000000"/>
          <w:szCs w:val="22"/>
          <w:lang w:val="lt-LT"/>
        </w:rPr>
        <w:t>Glivec (</w:t>
      </w:r>
      <w:r w:rsidR="00E319FE" w:rsidRPr="00F93FFA">
        <w:rPr>
          <w:color w:val="000000"/>
          <w:szCs w:val="22"/>
          <w:lang w:val="lt-LT"/>
        </w:rPr>
        <w:t xml:space="preserve">žr. </w:t>
      </w:r>
      <w:r w:rsidRPr="00F93FFA">
        <w:rPr>
          <w:color w:val="000000"/>
          <w:szCs w:val="22"/>
          <w:lang w:val="lt-LT"/>
        </w:rPr>
        <w:t>4.8</w:t>
      </w:r>
      <w:r w:rsidR="00E319FE" w:rsidRPr="00F93FFA">
        <w:rPr>
          <w:color w:val="000000"/>
          <w:szCs w:val="22"/>
          <w:lang w:val="lt-LT"/>
        </w:rPr>
        <w:t> skyrių</w:t>
      </w:r>
      <w:r w:rsidRPr="00F93FFA">
        <w:rPr>
          <w:color w:val="000000"/>
          <w:szCs w:val="22"/>
          <w:lang w:val="lt-LT"/>
        </w:rPr>
        <w:t xml:space="preserve">). </w:t>
      </w:r>
      <w:r w:rsidR="00E319FE" w:rsidRPr="00F93FFA">
        <w:rPr>
          <w:color w:val="000000"/>
          <w:szCs w:val="22"/>
          <w:lang w:val="lt-LT"/>
        </w:rPr>
        <w:t xml:space="preserve">Jeigu Glivec vartojančiam pacientui nustatoma </w:t>
      </w:r>
      <w:r w:rsidRPr="00F93FFA">
        <w:rPr>
          <w:color w:val="000000"/>
          <w:szCs w:val="22"/>
          <w:lang w:val="lt-LT"/>
        </w:rPr>
        <w:t>laborator</w:t>
      </w:r>
      <w:r w:rsidR="00E319FE" w:rsidRPr="00F93FFA">
        <w:rPr>
          <w:color w:val="000000"/>
          <w:szCs w:val="22"/>
          <w:lang w:val="lt-LT"/>
        </w:rPr>
        <w:t>inių ar</w:t>
      </w:r>
      <w:r w:rsidRPr="00F93FFA">
        <w:rPr>
          <w:color w:val="000000"/>
          <w:szCs w:val="22"/>
          <w:lang w:val="lt-LT"/>
        </w:rPr>
        <w:t xml:space="preserve"> </w:t>
      </w:r>
      <w:r w:rsidR="00E319FE" w:rsidRPr="00F93FFA">
        <w:rPr>
          <w:color w:val="000000"/>
          <w:szCs w:val="22"/>
          <w:lang w:val="lt-LT"/>
        </w:rPr>
        <w:t>klinikinių duomenų, susijusių su</w:t>
      </w:r>
      <w:r w:rsidRPr="00F93FFA">
        <w:rPr>
          <w:color w:val="000000"/>
          <w:szCs w:val="22"/>
          <w:lang w:val="lt-LT"/>
        </w:rPr>
        <w:t xml:space="preserve"> TMA </w:t>
      </w:r>
      <w:r w:rsidR="00E319FE" w:rsidRPr="00F93FFA">
        <w:rPr>
          <w:color w:val="000000"/>
          <w:szCs w:val="22"/>
          <w:lang w:val="lt-LT"/>
        </w:rPr>
        <w:t>požymiais</w:t>
      </w:r>
      <w:r w:rsidRPr="00F93FFA">
        <w:rPr>
          <w:color w:val="000000"/>
          <w:szCs w:val="22"/>
          <w:lang w:val="lt-LT"/>
        </w:rPr>
        <w:t xml:space="preserve">, </w:t>
      </w:r>
      <w:r w:rsidR="00E319FE" w:rsidRPr="00F93FFA">
        <w:rPr>
          <w:color w:val="000000"/>
          <w:szCs w:val="22"/>
          <w:lang w:val="lt-LT"/>
        </w:rPr>
        <w:t xml:space="preserve">gydymą reikia nutraukti, o paciento būklę išsamiai ištirti dėl </w:t>
      </w:r>
      <w:r w:rsidRPr="00F93FFA">
        <w:rPr>
          <w:color w:val="000000"/>
          <w:szCs w:val="22"/>
          <w:lang w:val="lt-LT"/>
        </w:rPr>
        <w:t>TMA</w:t>
      </w:r>
      <w:r w:rsidR="00E319FE" w:rsidRPr="00F93FFA">
        <w:rPr>
          <w:color w:val="000000"/>
          <w:szCs w:val="22"/>
          <w:lang w:val="lt-LT"/>
        </w:rPr>
        <w:t xml:space="preserve"> tikimybės</w:t>
      </w:r>
      <w:r w:rsidRPr="00F93FFA">
        <w:rPr>
          <w:color w:val="000000"/>
          <w:szCs w:val="22"/>
          <w:lang w:val="lt-LT"/>
        </w:rPr>
        <w:t xml:space="preserve">, </w:t>
      </w:r>
      <w:r w:rsidR="00E319FE" w:rsidRPr="00F93FFA">
        <w:rPr>
          <w:color w:val="000000"/>
          <w:szCs w:val="22"/>
          <w:lang w:val="lt-LT"/>
        </w:rPr>
        <w:t xml:space="preserve">įskaitant </w:t>
      </w:r>
      <w:r w:rsidRPr="00F93FFA">
        <w:rPr>
          <w:color w:val="000000"/>
          <w:szCs w:val="22"/>
          <w:lang w:val="lt-LT"/>
        </w:rPr>
        <w:t>ADAMTS13 a</w:t>
      </w:r>
      <w:r w:rsidR="00E319FE" w:rsidRPr="00F93FFA">
        <w:rPr>
          <w:color w:val="000000"/>
          <w:szCs w:val="22"/>
          <w:lang w:val="lt-LT"/>
        </w:rPr>
        <w:t>ktyvumo vertinimą ir</w:t>
      </w:r>
      <w:r w:rsidRPr="00F93FFA">
        <w:rPr>
          <w:color w:val="000000"/>
          <w:szCs w:val="22"/>
          <w:lang w:val="lt-LT"/>
        </w:rPr>
        <w:t xml:space="preserve"> anti-ADAMTS13</w:t>
      </w:r>
      <w:r w:rsidR="00E319FE" w:rsidRPr="00F93FFA">
        <w:rPr>
          <w:color w:val="000000"/>
          <w:szCs w:val="22"/>
          <w:lang w:val="lt-LT"/>
        </w:rPr>
        <w:t xml:space="preserve"> </w:t>
      </w:r>
      <w:r w:rsidRPr="00F93FFA">
        <w:rPr>
          <w:color w:val="000000"/>
          <w:szCs w:val="22"/>
          <w:lang w:val="lt-LT"/>
        </w:rPr>
        <w:t>anti</w:t>
      </w:r>
      <w:r w:rsidR="00E319FE" w:rsidRPr="00F93FFA">
        <w:rPr>
          <w:color w:val="000000"/>
          <w:szCs w:val="22"/>
          <w:lang w:val="lt-LT"/>
        </w:rPr>
        <w:t>kūnų nustatymą</w:t>
      </w:r>
      <w:r w:rsidRPr="00F93FFA">
        <w:rPr>
          <w:color w:val="000000"/>
          <w:szCs w:val="22"/>
          <w:lang w:val="lt-LT"/>
        </w:rPr>
        <w:t xml:space="preserve">. </w:t>
      </w:r>
      <w:r w:rsidR="00E319FE" w:rsidRPr="00F93FFA">
        <w:rPr>
          <w:color w:val="000000"/>
          <w:szCs w:val="22"/>
          <w:lang w:val="lt-LT"/>
        </w:rPr>
        <w:t xml:space="preserve">Jeigu nustatomas padidėjęs </w:t>
      </w:r>
      <w:r w:rsidRPr="00F93FFA">
        <w:rPr>
          <w:color w:val="000000"/>
          <w:szCs w:val="22"/>
          <w:lang w:val="lt-LT"/>
        </w:rPr>
        <w:t>anti-ADAMTS13</w:t>
      </w:r>
      <w:r w:rsidR="00E319FE" w:rsidRPr="00F93FFA">
        <w:rPr>
          <w:color w:val="000000"/>
          <w:szCs w:val="22"/>
          <w:lang w:val="lt-LT"/>
        </w:rPr>
        <w:t xml:space="preserve"> antikūnų kiekis kartu su sumažėjusiu</w:t>
      </w:r>
      <w:r w:rsidRPr="00F93FFA">
        <w:rPr>
          <w:color w:val="000000"/>
          <w:szCs w:val="22"/>
          <w:lang w:val="lt-LT"/>
        </w:rPr>
        <w:t xml:space="preserve"> ADAMTS13 a</w:t>
      </w:r>
      <w:r w:rsidR="00E319FE" w:rsidRPr="00F93FFA">
        <w:rPr>
          <w:color w:val="000000"/>
          <w:szCs w:val="22"/>
          <w:lang w:val="lt-LT"/>
        </w:rPr>
        <w:t>ktyvumu</w:t>
      </w:r>
      <w:r w:rsidRPr="00F93FFA">
        <w:rPr>
          <w:color w:val="000000"/>
          <w:szCs w:val="22"/>
          <w:lang w:val="lt-LT"/>
        </w:rPr>
        <w:t xml:space="preserve">, </w:t>
      </w:r>
      <w:r w:rsidR="00E319FE" w:rsidRPr="00F93FFA">
        <w:rPr>
          <w:color w:val="000000"/>
          <w:szCs w:val="22"/>
          <w:lang w:val="lt-LT"/>
        </w:rPr>
        <w:t>gydymo</w:t>
      </w:r>
      <w:r w:rsidRPr="00F93FFA">
        <w:rPr>
          <w:color w:val="000000"/>
          <w:szCs w:val="22"/>
          <w:lang w:val="lt-LT"/>
        </w:rPr>
        <w:t xml:space="preserve"> Glivec </w:t>
      </w:r>
      <w:r w:rsidR="00E319FE" w:rsidRPr="00F93FFA">
        <w:rPr>
          <w:color w:val="000000"/>
          <w:szCs w:val="22"/>
          <w:lang w:val="lt-LT"/>
        </w:rPr>
        <w:t>atnaujinti negalima</w:t>
      </w:r>
      <w:r w:rsidRPr="00F93FFA">
        <w:rPr>
          <w:color w:val="000000"/>
          <w:szCs w:val="22"/>
          <w:lang w:val="lt-LT"/>
        </w:rPr>
        <w:t>.</w:t>
      </w:r>
    </w:p>
    <w:p w14:paraId="08BFB1C8" w14:textId="77777777" w:rsidR="008F570A" w:rsidRPr="00F93FFA" w:rsidRDefault="008F570A" w:rsidP="00DE16D0">
      <w:pPr>
        <w:widowControl w:val="0"/>
        <w:rPr>
          <w:color w:val="000000"/>
          <w:sz w:val="22"/>
          <w:szCs w:val="22"/>
        </w:rPr>
      </w:pPr>
    </w:p>
    <w:p w14:paraId="3D140AAA"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Laboratoriniai tyrimai</w:t>
      </w:r>
    </w:p>
    <w:p w14:paraId="44EA00C3" w14:textId="05F606CF" w:rsidR="003646A0" w:rsidRPr="00F93FFA" w:rsidRDefault="003646A0" w:rsidP="00DE16D0">
      <w:pPr>
        <w:widowControl w:val="0"/>
        <w:rPr>
          <w:color w:val="000000"/>
          <w:sz w:val="22"/>
          <w:szCs w:val="22"/>
        </w:rPr>
      </w:pPr>
      <w:r w:rsidRPr="00F93FFA">
        <w:rPr>
          <w:color w:val="000000"/>
          <w:sz w:val="22"/>
          <w:szCs w:val="22"/>
        </w:rPr>
        <w:t xml:space="preserve">Gydant Glivec, reikia reguliariai atlikti išsamų kraujo tyrimą. Kai yra LML, gydymas Glivec yra susijęs su neutropenija ir trombocitopenija. Tačiau šios citopenijos gali priklausyti nuo gydomos ligos stadijos ir dažniau būna pacientams, kuriems yra LML akceleracijos fazė ar blastinė krizė, negu tiems, kuriems yra lėtinė LML fazė. Gydymas Glivec gali būti pertrauktas arba gali būti sumažinta </w:t>
      </w:r>
      <w:r w:rsidR="00A70D12" w:rsidRPr="00F93FFA">
        <w:rPr>
          <w:color w:val="000000"/>
          <w:sz w:val="22"/>
          <w:szCs w:val="22"/>
        </w:rPr>
        <w:t xml:space="preserve">vaistinio preparato </w:t>
      </w:r>
      <w:r w:rsidRPr="00F93FFA">
        <w:rPr>
          <w:color w:val="000000"/>
          <w:sz w:val="22"/>
          <w:szCs w:val="22"/>
        </w:rPr>
        <w:t>dozė kaip rekomenduojama 4.2</w:t>
      </w:r>
      <w:r w:rsidR="00BF7B5C" w:rsidRPr="00F93FFA">
        <w:rPr>
          <w:color w:val="000000"/>
          <w:sz w:val="22"/>
          <w:szCs w:val="22"/>
        </w:rPr>
        <w:t> </w:t>
      </w:r>
      <w:r w:rsidRPr="00F93FFA">
        <w:rPr>
          <w:color w:val="000000"/>
          <w:sz w:val="22"/>
          <w:szCs w:val="22"/>
        </w:rPr>
        <w:t>skyriuje.</w:t>
      </w:r>
    </w:p>
    <w:p w14:paraId="602C0CFC" w14:textId="77777777" w:rsidR="003646A0" w:rsidRPr="00F93FFA" w:rsidRDefault="003646A0" w:rsidP="00DE16D0">
      <w:pPr>
        <w:widowControl w:val="0"/>
        <w:rPr>
          <w:color w:val="000000"/>
          <w:sz w:val="22"/>
          <w:szCs w:val="22"/>
        </w:rPr>
      </w:pPr>
    </w:p>
    <w:p w14:paraId="14FAF8B7" w14:textId="77777777" w:rsidR="003646A0" w:rsidRPr="00F93FFA" w:rsidRDefault="003646A0" w:rsidP="00DE16D0">
      <w:pPr>
        <w:widowControl w:val="0"/>
        <w:rPr>
          <w:color w:val="000000"/>
          <w:sz w:val="22"/>
          <w:szCs w:val="22"/>
        </w:rPr>
      </w:pPr>
      <w:r w:rsidRPr="00F93FFA">
        <w:rPr>
          <w:color w:val="000000"/>
          <w:sz w:val="22"/>
          <w:szCs w:val="22"/>
        </w:rPr>
        <w:t>Būtina reguliariai tirti Glivec vartojančių pacientų kepenų funkciją (transaminazių, bilirubino, šarminės fosfatazės koncentraciją).</w:t>
      </w:r>
    </w:p>
    <w:p w14:paraId="7B243DCC" w14:textId="77777777" w:rsidR="003646A0" w:rsidRPr="00F93FFA" w:rsidRDefault="003646A0" w:rsidP="00DE16D0">
      <w:pPr>
        <w:widowControl w:val="0"/>
        <w:rPr>
          <w:color w:val="000000"/>
          <w:sz w:val="22"/>
          <w:szCs w:val="22"/>
        </w:rPr>
      </w:pPr>
    </w:p>
    <w:p w14:paraId="3863B997" w14:textId="4A6FE267" w:rsidR="003646A0" w:rsidRPr="00F93FFA" w:rsidRDefault="003646A0" w:rsidP="00DE16D0">
      <w:pPr>
        <w:widowControl w:val="0"/>
        <w:rPr>
          <w:color w:val="000000"/>
          <w:sz w:val="22"/>
          <w:szCs w:val="22"/>
        </w:rPr>
      </w:pPr>
      <w:r w:rsidRPr="00F93FFA">
        <w:rPr>
          <w:color w:val="000000"/>
          <w:sz w:val="22"/>
          <w:szCs w:val="22"/>
        </w:rPr>
        <w:t>Atrodo, kad pacientų, kurių inkstų funkcija susilpnėjusi, imatinibo ekspozicija plazmoje yra didesnė nei pacientų, kurių inkstų funkcija normali. Tikriausiai tai lemia imatinibą surišančio baltymo alfarūgščiojo glikoproteino (AGP) kiekis plazmoje, kuris yra didesnis pacientams, kurių inkstų funkcija sutrikusi. Pacientams, sergantiems inkstų funkcijos nepakankamumu, turi būti skiriama mažiausia pradinė dozė. Pacientus, sergančius sunkiu inkstų funkcijos nepakankamumu, reikia gydyti ypač atsargiai. Dozė gali būti mažinama, jei blogai toleruojama (žr. 4.2 ir 5.2</w:t>
      </w:r>
      <w:r w:rsidR="00BF7B5C" w:rsidRPr="00F93FFA">
        <w:rPr>
          <w:color w:val="000000"/>
          <w:sz w:val="22"/>
          <w:szCs w:val="22"/>
        </w:rPr>
        <w:t> </w:t>
      </w:r>
      <w:r w:rsidRPr="00F93FFA">
        <w:rPr>
          <w:color w:val="000000"/>
          <w:sz w:val="22"/>
          <w:szCs w:val="22"/>
        </w:rPr>
        <w:t>skyrius).</w:t>
      </w:r>
    </w:p>
    <w:p w14:paraId="64D3A0B5" w14:textId="77777777" w:rsidR="00A95684" w:rsidRPr="00F93FFA" w:rsidRDefault="00A95684" w:rsidP="00DE16D0">
      <w:pPr>
        <w:widowControl w:val="0"/>
        <w:rPr>
          <w:color w:val="000000"/>
          <w:sz w:val="22"/>
          <w:szCs w:val="22"/>
        </w:rPr>
      </w:pPr>
    </w:p>
    <w:p w14:paraId="25C92B34" w14:textId="77777777" w:rsidR="003646A0" w:rsidRPr="00F93FFA" w:rsidRDefault="00A95684" w:rsidP="00DE16D0">
      <w:pPr>
        <w:widowControl w:val="0"/>
        <w:rPr>
          <w:color w:val="000000"/>
          <w:sz w:val="22"/>
          <w:szCs w:val="22"/>
        </w:rPr>
      </w:pPr>
      <w:r w:rsidRPr="00F93FFA">
        <w:rPr>
          <w:color w:val="000000"/>
          <w:sz w:val="22"/>
          <w:szCs w:val="22"/>
        </w:rPr>
        <w:t xml:space="preserve">Ilgalaikis gydymas imatinibu gali būti susijęs su kliniškai reikšmingai </w:t>
      </w:r>
      <w:r w:rsidR="00BB2310" w:rsidRPr="00F93FFA">
        <w:rPr>
          <w:color w:val="000000"/>
          <w:sz w:val="22"/>
          <w:szCs w:val="22"/>
        </w:rPr>
        <w:t xml:space="preserve">pablogėjusia </w:t>
      </w:r>
      <w:r w:rsidRPr="00F93FFA">
        <w:rPr>
          <w:color w:val="000000"/>
          <w:sz w:val="22"/>
          <w:szCs w:val="22"/>
        </w:rPr>
        <w:t>inkstų funkcij</w:t>
      </w:r>
      <w:r w:rsidR="00EB7620" w:rsidRPr="00F93FFA">
        <w:rPr>
          <w:color w:val="000000"/>
          <w:sz w:val="22"/>
          <w:szCs w:val="22"/>
        </w:rPr>
        <w:t>a</w:t>
      </w:r>
      <w:r w:rsidRPr="00F93FFA">
        <w:rPr>
          <w:color w:val="000000"/>
          <w:sz w:val="22"/>
          <w:szCs w:val="22"/>
        </w:rPr>
        <w:t xml:space="preserve">. </w:t>
      </w:r>
      <w:r w:rsidR="00EB7620" w:rsidRPr="00F93FFA">
        <w:rPr>
          <w:color w:val="000000"/>
          <w:sz w:val="22"/>
          <w:szCs w:val="22"/>
        </w:rPr>
        <w:t>Prieš pradedant gydymą imatinibu, i</w:t>
      </w:r>
      <w:r w:rsidRPr="00F93FFA">
        <w:rPr>
          <w:color w:val="000000"/>
          <w:sz w:val="22"/>
          <w:szCs w:val="22"/>
        </w:rPr>
        <w:t>nkstų funkcija turėtų būti įvertinta ir atidžiai stebi</w:t>
      </w:r>
      <w:r w:rsidR="004D1074" w:rsidRPr="00F93FFA">
        <w:rPr>
          <w:color w:val="000000"/>
          <w:sz w:val="22"/>
          <w:szCs w:val="22"/>
        </w:rPr>
        <w:t>ma</w:t>
      </w:r>
      <w:r w:rsidRPr="00F93FFA">
        <w:rPr>
          <w:color w:val="000000"/>
          <w:sz w:val="22"/>
          <w:szCs w:val="22"/>
        </w:rPr>
        <w:t xml:space="preserve"> gydymo metu, ypač t</w:t>
      </w:r>
      <w:r w:rsidR="00EB7620" w:rsidRPr="00F93FFA">
        <w:rPr>
          <w:color w:val="000000"/>
          <w:sz w:val="22"/>
          <w:szCs w:val="22"/>
        </w:rPr>
        <w:t>ų</w:t>
      </w:r>
      <w:r w:rsidRPr="00F93FFA">
        <w:rPr>
          <w:color w:val="000000"/>
          <w:sz w:val="22"/>
          <w:szCs w:val="22"/>
        </w:rPr>
        <w:t xml:space="preserve"> pacient</w:t>
      </w:r>
      <w:r w:rsidR="00EB7620" w:rsidRPr="00F93FFA">
        <w:rPr>
          <w:color w:val="000000"/>
          <w:sz w:val="22"/>
          <w:szCs w:val="22"/>
        </w:rPr>
        <w:t>ų</w:t>
      </w:r>
      <w:r w:rsidRPr="00F93FFA">
        <w:rPr>
          <w:color w:val="000000"/>
          <w:sz w:val="22"/>
          <w:szCs w:val="22"/>
        </w:rPr>
        <w:t xml:space="preserve">, </w:t>
      </w:r>
      <w:r w:rsidR="00EB7620" w:rsidRPr="00F93FFA">
        <w:rPr>
          <w:color w:val="000000"/>
          <w:sz w:val="22"/>
          <w:szCs w:val="22"/>
        </w:rPr>
        <w:t xml:space="preserve">kuriems </w:t>
      </w:r>
      <w:r w:rsidR="00A63FAB" w:rsidRPr="00F93FFA">
        <w:rPr>
          <w:color w:val="000000"/>
          <w:sz w:val="22"/>
          <w:szCs w:val="22"/>
        </w:rPr>
        <w:t xml:space="preserve">yra </w:t>
      </w:r>
      <w:r w:rsidRPr="00F93FFA">
        <w:rPr>
          <w:color w:val="000000"/>
          <w:sz w:val="22"/>
          <w:szCs w:val="22"/>
        </w:rPr>
        <w:t>rizikos veiksni</w:t>
      </w:r>
      <w:r w:rsidR="00A63FAB" w:rsidRPr="00F93FFA">
        <w:rPr>
          <w:color w:val="000000"/>
          <w:sz w:val="22"/>
          <w:szCs w:val="22"/>
        </w:rPr>
        <w:t>ų</w:t>
      </w:r>
      <w:r w:rsidRPr="00F93FFA">
        <w:rPr>
          <w:color w:val="000000"/>
          <w:sz w:val="22"/>
          <w:szCs w:val="22"/>
        </w:rPr>
        <w:t xml:space="preserve"> dėl inkstų funkcijos sutrikimo. Jei </w:t>
      </w:r>
      <w:r w:rsidR="00EB7620" w:rsidRPr="00F93FFA">
        <w:rPr>
          <w:color w:val="000000"/>
          <w:sz w:val="22"/>
          <w:szCs w:val="22"/>
        </w:rPr>
        <w:t xml:space="preserve">nustatytas </w:t>
      </w:r>
      <w:r w:rsidRPr="00F93FFA">
        <w:rPr>
          <w:color w:val="000000"/>
          <w:sz w:val="22"/>
          <w:szCs w:val="22"/>
        </w:rPr>
        <w:t xml:space="preserve">inkstų funkcijos sutrikimas, </w:t>
      </w:r>
      <w:r w:rsidR="00A63FAB" w:rsidRPr="00F93FFA">
        <w:rPr>
          <w:color w:val="000000"/>
          <w:sz w:val="22"/>
          <w:szCs w:val="22"/>
        </w:rPr>
        <w:t xml:space="preserve">turi būti skiriamas </w:t>
      </w:r>
      <w:r w:rsidRPr="00F93FFA">
        <w:rPr>
          <w:color w:val="000000"/>
          <w:sz w:val="22"/>
          <w:szCs w:val="22"/>
        </w:rPr>
        <w:t>reikia</w:t>
      </w:r>
      <w:r w:rsidR="00A63FAB" w:rsidRPr="00F93FFA">
        <w:rPr>
          <w:color w:val="000000"/>
          <w:sz w:val="22"/>
          <w:szCs w:val="22"/>
        </w:rPr>
        <w:t>mas</w:t>
      </w:r>
      <w:r w:rsidRPr="00F93FFA">
        <w:rPr>
          <w:color w:val="000000"/>
          <w:sz w:val="22"/>
          <w:szCs w:val="22"/>
        </w:rPr>
        <w:t xml:space="preserve"> gydymas laikantis standartinių gydymo rekomendacijų.</w:t>
      </w:r>
    </w:p>
    <w:p w14:paraId="318B2F80" w14:textId="77777777" w:rsidR="00A95684" w:rsidRPr="00F93FFA" w:rsidRDefault="00A95684" w:rsidP="00DE16D0">
      <w:pPr>
        <w:widowControl w:val="0"/>
        <w:rPr>
          <w:color w:val="000000"/>
          <w:sz w:val="22"/>
          <w:szCs w:val="22"/>
        </w:rPr>
      </w:pPr>
    </w:p>
    <w:p w14:paraId="43AA1186"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Vaikų populiacija</w:t>
      </w:r>
    </w:p>
    <w:p w14:paraId="6E6F1B37" w14:textId="414D73E4" w:rsidR="003646A0" w:rsidRPr="00F93FFA" w:rsidRDefault="003646A0" w:rsidP="00DE16D0">
      <w:pPr>
        <w:widowControl w:val="0"/>
        <w:rPr>
          <w:color w:val="000000"/>
          <w:sz w:val="22"/>
          <w:szCs w:val="22"/>
        </w:rPr>
      </w:pPr>
      <w:r w:rsidRPr="00F93FFA">
        <w:rPr>
          <w:color w:val="000000"/>
          <w:sz w:val="22"/>
          <w:szCs w:val="22"/>
        </w:rPr>
        <w:t xml:space="preserve">Gauta pranešimų apie </w:t>
      </w:r>
      <w:r w:rsidR="007202C8" w:rsidRPr="00F93FFA">
        <w:rPr>
          <w:color w:val="000000"/>
          <w:sz w:val="22"/>
          <w:szCs w:val="22"/>
        </w:rPr>
        <w:t>augimo sulėtėjimą jaunesniems kaip 12</w:t>
      </w:r>
      <w:r w:rsidR="0071207D" w:rsidRPr="00F93FFA">
        <w:rPr>
          <w:color w:val="000000"/>
          <w:sz w:val="22"/>
          <w:szCs w:val="22"/>
        </w:rPr>
        <w:t> </w:t>
      </w:r>
      <w:r w:rsidR="007202C8" w:rsidRPr="00F93FFA">
        <w:rPr>
          <w:color w:val="000000"/>
          <w:sz w:val="22"/>
          <w:szCs w:val="22"/>
        </w:rPr>
        <w:t>metų</w:t>
      </w:r>
      <w:r w:rsidRPr="00F93FFA">
        <w:rPr>
          <w:color w:val="000000"/>
          <w:sz w:val="22"/>
          <w:szCs w:val="22"/>
        </w:rPr>
        <w:t xml:space="preserve"> vaikams, vartojusiems imatinibą. </w:t>
      </w:r>
      <w:r w:rsidR="00AC3443" w:rsidRPr="00F93FFA">
        <w:rPr>
          <w:color w:val="000000"/>
          <w:sz w:val="22"/>
          <w:szCs w:val="22"/>
        </w:rPr>
        <w:t xml:space="preserve">LML sergančių vaikų populiacijoje, atlikto stebėjimo tyrimo duomenimis, </w:t>
      </w:r>
      <w:r w:rsidR="00C7776B" w:rsidRPr="00F93FFA">
        <w:rPr>
          <w:color w:val="000000"/>
          <w:sz w:val="22"/>
          <w:szCs w:val="22"/>
        </w:rPr>
        <w:t>buvo pastebėta</w:t>
      </w:r>
      <w:r w:rsidR="007C33BD" w:rsidRPr="00F93FFA">
        <w:rPr>
          <w:color w:val="000000"/>
          <w:sz w:val="22"/>
          <w:szCs w:val="22"/>
        </w:rPr>
        <w:t>s</w:t>
      </w:r>
      <w:r w:rsidR="00C7776B" w:rsidRPr="00F93FFA">
        <w:rPr>
          <w:color w:val="000000"/>
          <w:sz w:val="22"/>
          <w:szCs w:val="22"/>
        </w:rPr>
        <w:t xml:space="preserve"> statistiškai reikšming</w:t>
      </w:r>
      <w:r w:rsidR="007C33BD" w:rsidRPr="00F93FFA">
        <w:rPr>
          <w:color w:val="000000"/>
          <w:sz w:val="22"/>
          <w:szCs w:val="22"/>
        </w:rPr>
        <w:t>a</w:t>
      </w:r>
      <w:r w:rsidR="00C7776B" w:rsidRPr="00F93FFA">
        <w:rPr>
          <w:color w:val="000000"/>
          <w:sz w:val="22"/>
          <w:szCs w:val="22"/>
        </w:rPr>
        <w:t xml:space="preserve">s (bet neaiškios klinikinės reikšmės) </w:t>
      </w:r>
      <w:r w:rsidR="007F1F0A" w:rsidRPr="00F93FFA">
        <w:rPr>
          <w:color w:val="000000"/>
          <w:sz w:val="22"/>
          <w:szCs w:val="22"/>
        </w:rPr>
        <w:t>ūgio</w:t>
      </w:r>
      <w:r w:rsidR="00C7776B" w:rsidRPr="00F93FFA">
        <w:rPr>
          <w:color w:val="000000"/>
          <w:sz w:val="22"/>
          <w:szCs w:val="22"/>
        </w:rPr>
        <w:t xml:space="preserve"> standartini</w:t>
      </w:r>
      <w:r w:rsidR="007F1F0A" w:rsidRPr="00F93FFA">
        <w:rPr>
          <w:color w:val="000000"/>
          <w:sz w:val="22"/>
          <w:szCs w:val="22"/>
        </w:rPr>
        <w:t>o</w:t>
      </w:r>
      <w:r w:rsidR="00C7776B" w:rsidRPr="00F93FFA">
        <w:rPr>
          <w:color w:val="000000"/>
          <w:sz w:val="22"/>
          <w:szCs w:val="22"/>
        </w:rPr>
        <w:t xml:space="preserve"> nuokrypio balų medianos</w:t>
      </w:r>
      <w:r w:rsidR="00AC3443" w:rsidRPr="00F93FFA">
        <w:rPr>
          <w:color w:val="000000"/>
          <w:sz w:val="22"/>
          <w:szCs w:val="22"/>
        </w:rPr>
        <w:t xml:space="preserve"> </w:t>
      </w:r>
      <w:r w:rsidR="00C7776B" w:rsidRPr="00F93FFA">
        <w:rPr>
          <w:color w:val="000000"/>
          <w:sz w:val="22"/>
          <w:szCs w:val="22"/>
        </w:rPr>
        <w:t xml:space="preserve">sumažėjimas </w:t>
      </w:r>
      <w:r w:rsidR="00AC3443" w:rsidRPr="00F93FFA">
        <w:rPr>
          <w:color w:val="000000"/>
          <w:sz w:val="22"/>
          <w:szCs w:val="22"/>
        </w:rPr>
        <w:t>po 12 ir 24 gydymo mėnesių dvie</w:t>
      </w:r>
      <w:r w:rsidR="00C7776B" w:rsidRPr="00F93FFA">
        <w:rPr>
          <w:color w:val="000000"/>
          <w:sz w:val="22"/>
          <w:szCs w:val="22"/>
        </w:rPr>
        <w:t>juose</w:t>
      </w:r>
      <w:r w:rsidR="00AC3443" w:rsidRPr="00F93FFA">
        <w:rPr>
          <w:color w:val="000000"/>
          <w:sz w:val="22"/>
          <w:szCs w:val="22"/>
        </w:rPr>
        <w:t xml:space="preserve"> maž</w:t>
      </w:r>
      <w:r w:rsidR="00C7776B" w:rsidRPr="00F93FFA">
        <w:rPr>
          <w:color w:val="000000"/>
          <w:sz w:val="22"/>
          <w:szCs w:val="22"/>
        </w:rPr>
        <w:t>uose</w:t>
      </w:r>
      <w:r w:rsidR="00AC3443" w:rsidRPr="00F93FFA">
        <w:rPr>
          <w:color w:val="000000"/>
          <w:sz w:val="22"/>
          <w:szCs w:val="22"/>
        </w:rPr>
        <w:t xml:space="preserve"> pogrupi</w:t>
      </w:r>
      <w:r w:rsidR="00C7776B" w:rsidRPr="00F93FFA">
        <w:rPr>
          <w:color w:val="000000"/>
          <w:sz w:val="22"/>
          <w:szCs w:val="22"/>
        </w:rPr>
        <w:t>uose</w:t>
      </w:r>
      <w:r w:rsidR="00AC3443" w:rsidRPr="00F93FFA">
        <w:rPr>
          <w:color w:val="000000"/>
          <w:sz w:val="22"/>
          <w:szCs w:val="22"/>
        </w:rPr>
        <w:t>, nepriklausomai nuo lytinio brendimo ar lyties</w:t>
      </w:r>
      <w:r w:rsidRPr="00F93FFA">
        <w:rPr>
          <w:color w:val="000000"/>
          <w:sz w:val="22"/>
          <w:szCs w:val="22"/>
        </w:rPr>
        <w:t xml:space="preserve">. </w:t>
      </w:r>
      <w:r w:rsidR="004C7E9C" w:rsidRPr="00F93FFA">
        <w:rPr>
          <w:color w:val="000000"/>
          <w:sz w:val="22"/>
          <w:szCs w:val="22"/>
        </w:rPr>
        <w:t>R</w:t>
      </w:r>
      <w:r w:rsidRPr="00F93FFA">
        <w:rPr>
          <w:color w:val="000000"/>
          <w:sz w:val="22"/>
          <w:szCs w:val="22"/>
        </w:rPr>
        <w:t>ekomenduojama atidžiai stebėti vai</w:t>
      </w:r>
      <w:r w:rsidR="008952B6" w:rsidRPr="00F93FFA">
        <w:rPr>
          <w:color w:val="000000"/>
          <w:sz w:val="22"/>
          <w:szCs w:val="22"/>
        </w:rPr>
        <w:t>kų augimą gydant imatinibu (žr. </w:t>
      </w:r>
      <w:r w:rsidRPr="00F93FFA">
        <w:rPr>
          <w:color w:val="000000"/>
          <w:sz w:val="22"/>
          <w:szCs w:val="22"/>
        </w:rPr>
        <w:t>4.8</w:t>
      </w:r>
      <w:r w:rsidR="00BF7B5C" w:rsidRPr="00F93FFA">
        <w:rPr>
          <w:color w:val="000000"/>
          <w:sz w:val="22"/>
          <w:szCs w:val="22"/>
        </w:rPr>
        <w:t> </w:t>
      </w:r>
      <w:r w:rsidRPr="00F93FFA">
        <w:rPr>
          <w:color w:val="000000"/>
          <w:sz w:val="22"/>
          <w:szCs w:val="22"/>
        </w:rPr>
        <w:t>skyrių).</w:t>
      </w:r>
    </w:p>
    <w:p w14:paraId="37740F82" w14:textId="77777777" w:rsidR="003646A0" w:rsidRPr="00F93FFA" w:rsidRDefault="003646A0" w:rsidP="00DE16D0">
      <w:pPr>
        <w:widowControl w:val="0"/>
        <w:rPr>
          <w:color w:val="000000"/>
          <w:sz w:val="22"/>
          <w:szCs w:val="22"/>
        </w:rPr>
      </w:pPr>
    </w:p>
    <w:p w14:paraId="7A83B1E2"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4.5</w:t>
      </w:r>
      <w:r w:rsidRPr="00F93FFA">
        <w:rPr>
          <w:b/>
          <w:color w:val="000000"/>
          <w:sz w:val="22"/>
          <w:szCs w:val="22"/>
        </w:rPr>
        <w:tab/>
        <w:t>Sąveika su kitais vaistiniais preparatais ir kitokia sąveika</w:t>
      </w:r>
    </w:p>
    <w:p w14:paraId="294C2C21" w14:textId="77777777" w:rsidR="003646A0" w:rsidRPr="00F93FFA" w:rsidRDefault="003646A0" w:rsidP="00DE16D0">
      <w:pPr>
        <w:keepNext/>
        <w:widowControl w:val="0"/>
        <w:ind w:left="567" w:hanging="567"/>
        <w:rPr>
          <w:color w:val="000000"/>
          <w:sz w:val="22"/>
          <w:szCs w:val="22"/>
        </w:rPr>
      </w:pPr>
    </w:p>
    <w:p w14:paraId="6A45BFBC" w14:textId="77777777" w:rsidR="003646A0" w:rsidRPr="00F93FFA" w:rsidRDefault="003646A0" w:rsidP="00DE16D0">
      <w:pPr>
        <w:keepNext/>
        <w:widowControl w:val="0"/>
        <w:ind w:left="567" w:hanging="567"/>
        <w:rPr>
          <w:color w:val="000000"/>
          <w:sz w:val="22"/>
          <w:szCs w:val="22"/>
          <w:u w:val="single"/>
        </w:rPr>
      </w:pPr>
      <w:r w:rsidRPr="00F93FFA">
        <w:rPr>
          <w:color w:val="000000"/>
          <w:sz w:val="22"/>
          <w:szCs w:val="22"/>
          <w:u w:val="single"/>
        </w:rPr>
        <w:t xml:space="preserve">Veikliosios medžiagos, kurios gali </w:t>
      </w:r>
      <w:r w:rsidRPr="00F93FFA">
        <w:rPr>
          <w:b/>
          <w:color w:val="000000"/>
          <w:sz w:val="22"/>
          <w:szCs w:val="22"/>
          <w:u w:val="single"/>
        </w:rPr>
        <w:t>didinti</w:t>
      </w:r>
      <w:r w:rsidRPr="00F93FFA">
        <w:rPr>
          <w:color w:val="000000"/>
          <w:sz w:val="22"/>
          <w:szCs w:val="22"/>
          <w:u w:val="single"/>
        </w:rPr>
        <w:t xml:space="preserve"> imatinibo koncentraciją plazmoje:</w:t>
      </w:r>
    </w:p>
    <w:p w14:paraId="10D96FA8" w14:textId="77777777" w:rsidR="003646A0" w:rsidRPr="00F93FFA" w:rsidRDefault="003646A0" w:rsidP="00DE16D0">
      <w:pPr>
        <w:widowControl w:val="0"/>
        <w:rPr>
          <w:color w:val="000000"/>
          <w:sz w:val="22"/>
          <w:szCs w:val="22"/>
        </w:rPr>
      </w:pPr>
      <w:r w:rsidRPr="00F93FFA">
        <w:rPr>
          <w:color w:val="000000"/>
          <w:sz w:val="22"/>
          <w:szCs w:val="22"/>
        </w:rPr>
        <w:t xml:space="preserve">Medžiagos, kurios slopina citochromo P450 izofermento CYP3A4 aktyvumą (pvz., proteazės inhibitoriai, tokie kaip indinaviras, lopinaviras/ritonaviras, ritonaviras, sakvinaviras, telapreviras, nelfinaviras, bocepreviras; priešgrybeliniai azolo dariniai, įskaitant ketokonazolą, itrakonazolą, </w:t>
      </w:r>
      <w:r w:rsidRPr="00F93FFA">
        <w:rPr>
          <w:color w:val="000000"/>
          <w:sz w:val="22"/>
          <w:szCs w:val="22"/>
        </w:rPr>
        <w:lastRenderedPageBreak/>
        <w:t>posakonazolą, vorikonazolą; tam tikri makrolidai, tokie kaip eritromicinas, klaritromicinas ir telitromicinas), gali slopinti imatinibo metabolizmą ir padidinti jo koncentraciją. Nustatyta reikšmingai padidėjusi imatinibo ekspozicija (vidutinė imatinibo C</w:t>
      </w:r>
      <w:r w:rsidRPr="00F93FFA">
        <w:rPr>
          <w:color w:val="000000"/>
          <w:sz w:val="22"/>
          <w:szCs w:val="22"/>
          <w:vertAlign w:val="subscript"/>
        </w:rPr>
        <w:t>max</w:t>
      </w:r>
      <w:r w:rsidRPr="00F93FFA">
        <w:rPr>
          <w:color w:val="000000"/>
          <w:sz w:val="22"/>
          <w:szCs w:val="22"/>
        </w:rPr>
        <w:t xml:space="preserve"> ir AUC padidėjo atitinkamai 26 % ir 40 %) sveikiems savanoriams, kurie kartu vartojo vienkartinę ketokonazolio (CYP3A4 inhibitoriaus) dozę. Būtina laikytis atsargumo priemonių, kai Glivec skiriama kartu su CYP3A4 šeimos inhibitoriais.</w:t>
      </w:r>
    </w:p>
    <w:p w14:paraId="009D4A24" w14:textId="77777777" w:rsidR="003646A0" w:rsidRPr="00F93FFA" w:rsidRDefault="003646A0" w:rsidP="00DE16D0">
      <w:pPr>
        <w:widowControl w:val="0"/>
        <w:rPr>
          <w:color w:val="000000"/>
          <w:sz w:val="22"/>
          <w:szCs w:val="22"/>
        </w:rPr>
      </w:pPr>
    </w:p>
    <w:p w14:paraId="2D31ECD8"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 xml:space="preserve">Veikliosios medžiagos, kurios gali </w:t>
      </w:r>
      <w:r w:rsidRPr="00F93FFA">
        <w:rPr>
          <w:b/>
          <w:color w:val="000000"/>
          <w:sz w:val="22"/>
          <w:szCs w:val="22"/>
          <w:u w:val="single"/>
        </w:rPr>
        <w:t xml:space="preserve">mažinti </w:t>
      </w:r>
      <w:r w:rsidRPr="00F93FFA">
        <w:rPr>
          <w:color w:val="000000"/>
          <w:sz w:val="22"/>
          <w:szCs w:val="22"/>
          <w:u w:val="single"/>
        </w:rPr>
        <w:t>imatinibo koncentraciją plazmoje:</w:t>
      </w:r>
    </w:p>
    <w:p w14:paraId="6F57E2EC" w14:textId="77777777" w:rsidR="003646A0" w:rsidRPr="00F93FFA" w:rsidRDefault="003646A0" w:rsidP="00DE16D0">
      <w:pPr>
        <w:widowControl w:val="0"/>
        <w:rPr>
          <w:color w:val="000000"/>
          <w:sz w:val="22"/>
          <w:szCs w:val="22"/>
        </w:rPr>
      </w:pPr>
      <w:r w:rsidRPr="00F93FFA">
        <w:rPr>
          <w:color w:val="000000"/>
          <w:sz w:val="22"/>
          <w:szCs w:val="22"/>
        </w:rPr>
        <w:t xml:space="preserve">Medžiagos, kurios indukuoja CYP3A4 aktyvumą (pvz., deksametazonas, fenitoinas, karbamazepinas, rifampicinas, fenobarbitalis, fosfenitoinas, primidonas ar </w:t>
      </w:r>
      <w:r w:rsidRPr="00F93FFA">
        <w:rPr>
          <w:i/>
          <w:color w:val="000000"/>
          <w:sz w:val="22"/>
          <w:szCs w:val="22"/>
        </w:rPr>
        <w:t>Hypericum perforatum</w:t>
      </w:r>
      <w:r w:rsidRPr="00F93FFA">
        <w:rPr>
          <w:color w:val="000000"/>
          <w:sz w:val="22"/>
          <w:szCs w:val="22"/>
        </w:rPr>
        <w:t>, t.</w:t>
      </w:r>
      <w:r w:rsidR="00957B98" w:rsidRPr="00F93FFA">
        <w:rPr>
          <w:color w:val="000000"/>
          <w:sz w:val="22"/>
          <w:szCs w:val="22"/>
        </w:rPr>
        <w:t> </w:t>
      </w:r>
      <w:r w:rsidRPr="00F93FFA">
        <w:rPr>
          <w:color w:val="000000"/>
          <w:sz w:val="22"/>
          <w:szCs w:val="22"/>
        </w:rPr>
        <w:t>y. jonažolė), gali reikšmingai sumažinti Glivec ekspoziciją ir padidinti nesėkmingo gydymo tikimybę. Po iš pradžių skirto gydymo daugkartinėmis rifampicino 600 mg dozėmis, suvartojus vienkartinę 400 mg Glivec dozę, imatinibo C</w:t>
      </w:r>
      <w:r w:rsidRPr="00F93FFA">
        <w:rPr>
          <w:color w:val="000000"/>
          <w:sz w:val="22"/>
          <w:szCs w:val="22"/>
          <w:vertAlign w:val="subscript"/>
        </w:rPr>
        <w:t>max</w:t>
      </w:r>
      <w:r w:rsidRPr="00F93FFA">
        <w:rPr>
          <w:color w:val="000000"/>
          <w:sz w:val="22"/>
          <w:szCs w:val="22"/>
        </w:rPr>
        <w:t xml:space="preserve"> ir AUC</w:t>
      </w:r>
      <w:r w:rsidRPr="00F93FFA">
        <w:rPr>
          <w:color w:val="000000"/>
          <w:sz w:val="22"/>
          <w:szCs w:val="22"/>
          <w:vertAlign w:val="subscript"/>
        </w:rPr>
        <w:t>(0-∞)</w:t>
      </w:r>
      <w:r w:rsidRPr="00F93FFA">
        <w:rPr>
          <w:color w:val="000000"/>
          <w:sz w:val="22"/>
          <w:szCs w:val="22"/>
        </w:rPr>
        <w:t xml:space="preserve"> sumažėjo atitinkamai 54 % ir 74 % lyginant su atitinkamais duomenimis be rifampicino vartojimo. Panašūs rezultatai pastebėti Glivec skyrus piktybinėmis gliomomis sergantiems pacientams, vartojusiems fermentus indukuojančius </w:t>
      </w:r>
      <w:r w:rsidR="00A70D12" w:rsidRPr="00F93FFA">
        <w:rPr>
          <w:color w:val="000000"/>
          <w:sz w:val="22"/>
          <w:szCs w:val="22"/>
        </w:rPr>
        <w:t xml:space="preserve">vaistinius preparatus </w:t>
      </w:r>
      <w:r w:rsidRPr="00F93FFA">
        <w:rPr>
          <w:color w:val="000000"/>
          <w:sz w:val="22"/>
          <w:szCs w:val="22"/>
        </w:rPr>
        <w:t>nuo epilepsijos (FIVNE), pavyzdžiui, karbamazepiną, oksakarbazepiną ir fenitoiną. Lyginant su FIVNE nevartojusiais pacientais, vartojant FIVNE, plotas po imatinibo koncentracijos plazmoje kreive AUC sumažėjo 73 %. Reikia vengti imatinibą vartoti kartu su rifampicinu ar kitais stipriais CYP3A4 induktoriais.</w:t>
      </w:r>
    </w:p>
    <w:p w14:paraId="19A975E1" w14:textId="77777777" w:rsidR="003646A0" w:rsidRPr="00F93FFA" w:rsidRDefault="003646A0" w:rsidP="00DE16D0">
      <w:pPr>
        <w:widowControl w:val="0"/>
        <w:rPr>
          <w:color w:val="000000"/>
          <w:sz w:val="22"/>
          <w:szCs w:val="22"/>
        </w:rPr>
      </w:pPr>
    </w:p>
    <w:p w14:paraId="151BF775" w14:textId="77777777" w:rsidR="003646A0" w:rsidRPr="00F93FFA" w:rsidRDefault="003646A0" w:rsidP="00DE16D0">
      <w:pPr>
        <w:keepNext/>
        <w:widowControl w:val="0"/>
        <w:rPr>
          <w:b/>
          <w:color w:val="000000"/>
          <w:sz w:val="22"/>
          <w:szCs w:val="22"/>
        </w:rPr>
      </w:pPr>
      <w:r w:rsidRPr="00F93FFA">
        <w:rPr>
          <w:b/>
          <w:color w:val="000000"/>
          <w:sz w:val="22"/>
          <w:szCs w:val="22"/>
        </w:rPr>
        <w:t>Veikliosios medžiagos, kurių koncentraciją plazmoje gali keisti Glivec</w:t>
      </w:r>
    </w:p>
    <w:p w14:paraId="6CF0F840" w14:textId="77777777" w:rsidR="003646A0" w:rsidRPr="00F93FFA" w:rsidRDefault="003646A0" w:rsidP="00DE16D0">
      <w:pPr>
        <w:widowControl w:val="0"/>
        <w:rPr>
          <w:color w:val="000000"/>
          <w:sz w:val="22"/>
          <w:szCs w:val="22"/>
        </w:rPr>
      </w:pPr>
      <w:r w:rsidRPr="00F93FFA">
        <w:rPr>
          <w:color w:val="000000"/>
          <w:sz w:val="22"/>
          <w:szCs w:val="22"/>
        </w:rPr>
        <w:t>Imatinibas padidina simvastatino (CYP3A4 substrato) C</w:t>
      </w:r>
      <w:r w:rsidRPr="00F93FFA">
        <w:rPr>
          <w:color w:val="000000"/>
          <w:sz w:val="22"/>
          <w:szCs w:val="22"/>
          <w:vertAlign w:val="subscript"/>
        </w:rPr>
        <w:t>max</w:t>
      </w:r>
      <w:r w:rsidRPr="00F93FFA">
        <w:rPr>
          <w:color w:val="000000"/>
          <w:sz w:val="22"/>
          <w:szCs w:val="22"/>
        </w:rPr>
        <w:t xml:space="preserve"> ir AUC atitinkamai 2 kartus ir 3,5 karto. Tai rodo, kad imatinibas slopina CYP3A4. Todėl būtina laikytis atsargumo priemonių, kai Glivec vartojama kartu su CYP3A4 substratais, kurių yra siaura terapinė platuma (pvz., ciklosporinu, pimozidu, takrolimuzu, sirolimuzu, ergotaminu, diergotaminu, fentaniliu, alfetaniliu, terfenadinu, bortezomibu, docetakseliu ir chinidinu). Glivec gali padidinti kitų CYP3A4 metabolizuojamų </w:t>
      </w:r>
      <w:r w:rsidR="00A70D12" w:rsidRPr="00F93FFA">
        <w:rPr>
          <w:color w:val="000000"/>
          <w:sz w:val="22"/>
          <w:szCs w:val="22"/>
        </w:rPr>
        <w:t xml:space="preserve">vaistinių preparatų </w:t>
      </w:r>
      <w:r w:rsidRPr="00F93FFA">
        <w:rPr>
          <w:color w:val="000000"/>
          <w:sz w:val="22"/>
          <w:szCs w:val="22"/>
        </w:rPr>
        <w:t>(pvz., triazolo grupės benzodiazepinų, dihidropiridino grupės kalcio kanalų blokatorių, tam tikrų HMG</w:t>
      </w:r>
      <w:r w:rsidRPr="00F93FFA">
        <w:rPr>
          <w:color w:val="000000"/>
          <w:sz w:val="22"/>
          <w:szCs w:val="22"/>
        </w:rPr>
        <w:noBreakHyphen/>
        <w:t>KoA reduktazės inhibitorių, t.</w:t>
      </w:r>
      <w:r w:rsidR="00957B98" w:rsidRPr="00F93FFA">
        <w:rPr>
          <w:color w:val="000000"/>
          <w:sz w:val="22"/>
          <w:szCs w:val="22"/>
        </w:rPr>
        <w:t> </w:t>
      </w:r>
      <w:r w:rsidRPr="00F93FFA">
        <w:rPr>
          <w:color w:val="000000"/>
          <w:sz w:val="22"/>
          <w:szCs w:val="22"/>
        </w:rPr>
        <w:t>y. statinų, ir kt.) koncentraciją plazmoje.</w:t>
      </w:r>
    </w:p>
    <w:p w14:paraId="7370AAA7" w14:textId="77777777" w:rsidR="003646A0" w:rsidRPr="00F93FFA" w:rsidRDefault="003646A0" w:rsidP="00DE16D0">
      <w:pPr>
        <w:widowControl w:val="0"/>
        <w:rPr>
          <w:color w:val="000000"/>
          <w:sz w:val="22"/>
          <w:szCs w:val="22"/>
        </w:rPr>
      </w:pPr>
    </w:p>
    <w:p w14:paraId="444FCF2A" w14:textId="77777777" w:rsidR="003646A0" w:rsidRPr="00F93FFA" w:rsidRDefault="003646A0" w:rsidP="00DE16D0">
      <w:pPr>
        <w:widowControl w:val="0"/>
        <w:rPr>
          <w:color w:val="000000"/>
          <w:sz w:val="22"/>
          <w:szCs w:val="22"/>
        </w:rPr>
      </w:pPr>
      <w:r w:rsidRPr="00F93FFA">
        <w:rPr>
          <w:color w:val="000000"/>
          <w:sz w:val="22"/>
          <w:szCs w:val="22"/>
        </w:rPr>
        <w:t>Dėl žinomos padidėjusios kraujavimo rizikos, siejamos su imatinibo vartojimu (t.</w:t>
      </w:r>
      <w:r w:rsidR="00957B98" w:rsidRPr="00F93FFA">
        <w:rPr>
          <w:color w:val="000000"/>
          <w:sz w:val="22"/>
          <w:szCs w:val="22"/>
        </w:rPr>
        <w:t> </w:t>
      </w:r>
      <w:r w:rsidRPr="00F93FFA">
        <w:rPr>
          <w:color w:val="000000"/>
          <w:sz w:val="22"/>
          <w:szCs w:val="22"/>
        </w:rPr>
        <w:t>y., hemoragijos), pacientams, kuriuos reikia gydyti antikoaguliantais, vietoj kumarino darinių, tokių kaip varfarinas, reikėtų skirti mažos molekulinės masės ar standartinio heparino.</w:t>
      </w:r>
    </w:p>
    <w:p w14:paraId="44CB59E5" w14:textId="77777777" w:rsidR="003646A0" w:rsidRPr="00F93FFA" w:rsidRDefault="003646A0" w:rsidP="00DE16D0">
      <w:pPr>
        <w:widowControl w:val="0"/>
        <w:rPr>
          <w:color w:val="000000"/>
          <w:sz w:val="22"/>
          <w:szCs w:val="22"/>
        </w:rPr>
      </w:pPr>
    </w:p>
    <w:p w14:paraId="484485A6" w14:textId="77777777" w:rsidR="003646A0" w:rsidRPr="00F93FFA" w:rsidRDefault="003646A0" w:rsidP="00DE16D0">
      <w:pPr>
        <w:widowControl w:val="0"/>
        <w:rPr>
          <w:color w:val="000000"/>
          <w:sz w:val="22"/>
          <w:szCs w:val="22"/>
        </w:rPr>
      </w:pPr>
      <w:r w:rsidRPr="00F93FFA">
        <w:rPr>
          <w:i/>
          <w:color w:val="000000"/>
          <w:sz w:val="22"/>
          <w:szCs w:val="22"/>
        </w:rPr>
        <w:t>In vitro</w:t>
      </w:r>
      <w:r w:rsidRPr="00F93FFA">
        <w:rPr>
          <w:color w:val="000000"/>
          <w:sz w:val="22"/>
          <w:szCs w:val="22"/>
        </w:rPr>
        <w:t xml:space="preserve"> Glivec slopina citochromo P450 izofermento CYP2D6 aktyvumą, kai jo koncentracija yra panaši į tą, kuri veikia CYP3A4 aktyvumą. Imatinibas, vartojant jį 400 mg dozėje du kartus per parą, slopina metaprololio metabolizmą CYP2D6 fermentų sistemoje, kai metaprololio C</w:t>
      </w:r>
      <w:r w:rsidRPr="00F93FFA">
        <w:rPr>
          <w:color w:val="000000"/>
          <w:sz w:val="22"/>
          <w:szCs w:val="22"/>
          <w:vertAlign w:val="subscript"/>
        </w:rPr>
        <w:t>max</w:t>
      </w:r>
      <w:r w:rsidRPr="00F93FFA">
        <w:rPr>
          <w:color w:val="000000"/>
          <w:sz w:val="22"/>
          <w:szCs w:val="22"/>
        </w:rPr>
        <w:t xml:space="preserve"> ir AUC padidėjo maždaug 23 % (90 % PI [1,16</w:t>
      </w:r>
      <w:r w:rsidRPr="00F93FFA">
        <w:rPr>
          <w:color w:val="000000"/>
          <w:sz w:val="22"/>
          <w:szCs w:val="22"/>
        </w:rPr>
        <w:noBreakHyphen/>
        <w:t>1,30]). Kai imatinibas yra vartojamas kartu su CYP2D6 substratais, dozės koreguoti nereikėtų, tačiau būtina laikytis atsargumo priemonių, kai skiriami siaurio terapeutinio lango CYP2D6 substratai, tokie kaip metoprololis. Metoprololiu gydomus pacientus patariama atidžiai stebėti.</w:t>
      </w:r>
    </w:p>
    <w:p w14:paraId="07C81AE2" w14:textId="77777777" w:rsidR="003646A0" w:rsidRPr="00F93FFA" w:rsidRDefault="003646A0" w:rsidP="00DE16D0">
      <w:pPr>
        <w:pStyle w:val="Text"/>
        <w:widowControl w:val="0"/>
        <w:spacing w:before="0"/>
        <w:jc w:val="left"/>
        <w:rPr>
          <w:color w:val="000000"/>
          <w:sz w:val="22"/>
          <w:szCs w:val="22"/>
          <w:lang w:val="lt-LT"/>
        </w:rPr>
      </w:pPr>
    </w:p>
    <w:p w14:paraId="22BC00F5" w14:textId="77777777" w:rsidR="003646A0" w:rsidRPr="00F93FFA" w:rsidRDefault="003646A0" w:rsidP="00DE16D0">
      <w:pPr>
        <w:pStyle w:val="Text"/>
        <w:widowControl w:val="0"/>
        <w:spacing w:before="0"/>
        <w:jc w:val="left"/>
        <w:rPr>
          <w:color w:val="000000"/>
          <w:sz w:val="22"/>
          <w:szCs w:val="22"/>
          <w:lang w:val="lt-LT"/>
        </w:rPr>
      </w:pPr>
      <w:r w:rsidRPr="00F93FFA">
        <w:rPr>
          <w:i/>
          <w:color w:val="000000"/>
          <w:sz w:val="22"/>
          <w:szCs w:val="22"/>
          <w:lang w:val="lt-LT"/>
        </w:rPr>
        <w:t>In vitro</w:t>
      </w:r>
      <w:r w:rsidRPr="00F93FFA">
        <w:rPr>
          <w:color w:val="000000"/>
          <w:sz w:val="22"/>
          <w:szCs w:val="22"/>
          <w:lang w:val="lt-LT"/>
        </w:rPr>
        <w:t xml:space="preserve"> Glivec slopina paracetamolio O-gliukuroninimą, kai Ki vertė yra 58,5 mikromol/l. Po vartojimo Glivec 400 mg ir paracetamolio 1000 mg </w:t>
      </w:r>
      <w:r w:rsidRPr="00F93FFA">
        <w:rPr>
          <w:i/>
          <w:color w:val="000000"/>
          <w:sz w:val="22"/>
          <w:szCs w:val="22"/>
          <w:lang w:val="lt-LT"/>
        </w:rPr>
        <w:t>in vivo</w:t>
      </w:r>
      <w:r w:rsidRPr="00F93FFA">
        <w:rPr>
          <w:color w:val="000000"/>
          <w:sz w:val="22"/>
          <w:szCs w:val="22"/>
          <w:lang w:val="lt-LT"/>
        </w:rPr>
        <w:t xml:space="preserve"> tokio slopinimo nustatyta. Dėl didesnių Glivec ir paracetamolio dozių vartojimo tyrimų neatlikta.</w:t>
      </w:r>
    </w:p>
    <w:p w14:paraId="217D7AF7" w14:textId="77777777" w:rsidR="003646A0" w:rsidRPr="00F93FFA" w:rsidRDefault="003646A0" w:rsidP="00DE16D0">
      <w:pPr>
        <w:pStyle w:val="Text"/>
        <w:widowControl w:val="0"/>
        <w:spacing w:before="0"/>
        <w:jc w:val="left"/>
        <w:rPr>
          <w:color w:val="000000"/>
          <w:sz w:val="22"/>
          <w:szCs w:val="22"/>
          <w:lang w:val="lt-LT"/>
        </w:rPr>
      </w:pPr>
    </w:p>
    <w:p w14:paraId="65E325E7"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Todėl reikia atsargiai vartoti dideles Glivec dozes kartu su paracetamoliu.</w:t>
      </w:r>
    </w:p>
    <w:p w14:paraId="5631F665" w14:textId="77777777" w:rsidR="003646A0" w:rsidRPr="00F93FFA" w:rsidRDefault="003646A0" w:rsidP="00DE16D0">
      <w:pPr>
        <w:pStyle w:val="Text"/>
        <w:widowControl w:val="0"/>
        <w:spacing w:before="0"/>
        <w:jc w:val="left"/>
        <w:rPr>
          <w:color w:val="000000"/>
          <w:sz w:val="22"/>
          <w:szCs w:val="22"/>
          <w:lang w:val="lt-LT"/>
        </w:rPr>
      </w:pPr>
    </w:p>
    <w:p w14:paraId="55C6549C" w14:textId="5363CFF0"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Pacientams, gydomiems levotiroksinu po skydliaukės pašalinimo ir kartu skiriant Glivec, gali sumažėti levotiroksino kiekis plazmoje (žr. 4.4</w:t>
      </w:r>
      <w:r w:rsidR="00BF7B5C" w:rsidRPr="00F93FFA">
        <w:rPr>
          <w:color w:val="000000"/>
          <w:sz w:val="22"/>
          <w:szCs w:val="22"/>
          <w:lang w:val="lt-LT"/>
        </w:rPr>
        <w:t> </w:t>
      </w:r>
      <w:r w:rsidRPr="00F93FFA">
        <w:rPr>
          <w:color w:val="000000"/>
          <w:sz w:val="22"/>
          <w:szCs w:val="22"/>
          <w:lang w:val="lt-LT"/>
        </w:rPr>
        <w:t>skyrių), todėl rekomenduojamos atsargumo priemonės. Vis dėlto stebėtos sąveikos mechanizmas iki šiol nežinomas.</w:t>
      </w:r>
    </w:p>
    <w:p w14:paraId="34A8CF4C" w14:textId="77777777" w:rsidR="003646A0" w:rsidRPr="00F93FFA" w:rsidRDefault="003646A0" w:rsidP="00DE16D0">
      <w:pPr>
        <w:widowControl w:val="0"/>
        <w:rPr>
          <w:color w:val="000000"/>
          <w:sz w:val="22"/>
          <w:szCs w:val="22"/>
        </w:rPr>
      </w:pPr>
    </w:p>
    <w:p w14:paraId="4B255C4B" w14:textId="55CF48E7" w:rsidR="003646A0" w:rsidRPr="00F93FFA" w:rsidRDefault="003646A0" w:rsidP="00DE16D0">
      <w:pPr>
        <w:widowControl w:val="0"/>
        <w:rPr>
          <w:color w:val="000000"/>
          <w:sz w:val="22"/>
          <w:szCs w:val="22"/>
        </w:rPr>
      </w:pPr>
      <w:r w:rsidRPr="00F93FFA">
        <w:rPr>
          <w:color w:val="000000"/>
          <w:sz w:val="22"/>
          <w:szCs w:val="22"/>
        </w:rPr>
        <w:t>Yra klinikinės patirties kartu vartojant Glivec ir chemoterapiją pacientų, sergančiųjų Ph+ ŪLL, tarpe (žr. 5.1</w:t>
      </w:r>
      <w:r w:rsidR="00BF7B5C" w:rsidRPr="00F93FFA">
        <w:rPr>
          <w:color w:val="000000"/>
          <w:sz w:val="22"/>
          <w:szCs w:val="22"/>
        </w:rPr>
        <w:t> </w:t>
      </w:r>
      <w:r w:rsidRPr="00F93FFA">
        <w:rPr>
          <w:color w:val="000000"/>
          <w:sz w:val="22"/>
          <w:szCs w:val="22"/>
        </w:rPr>
        <w:t xml:space="preserve">skyrių), bet </w:t>
      </w:r>
      <w:r w:rsidR="00A70D12" w:rsidRPr="00F93FFA">
        <w:rPr>
          <w:color w:val="000000"/>
          <w:sz w:val="22"/>
          <w:szCs w:val="22"/>
        </w:rPr>
        <w:t xml:space="preserve">vaistinio preparato </w:t>
      </w:r>
      <w:r w:rsidRPr="00F93FFA">
        <w:rPr>
          <w:color w:val="000000"/>
          <w:sz w:val="22"/>
          <w:szCs w:val="22"/>
        </w:rPr>
        <w:t>-</w:t>
      </w:r>
      <w:r w:rsidR="00A70D12" w:rsidRPr="00F93FFA">
        <w:rPr>
          <w:color w:val="000000"/>
          <w:sz w:val="22"/>
          <w:szCs w:val="22"/>
        </w:rPr>
        <w:t xml:space="preserve"> vaistinio preparato </w:t>
      </w:r>
      <w:r w:rsidRPr="00F93FFA">
        <w:rPr>
          <w:color w:val="000000"/>
          <w:sz w:val="22"/>
          <w:szCs w:val="22"/>
        </w:rPr>
        <w:t>sąveikos tarp imatinibo ir chemoterapijos kontrolės nėra gerai aprašytos. Imatinibo sukeliamų nepageidaujamų reiškinių, pvz., hepatotoksiškumo, kaulų čiulpų supresijos arba kitų, gali daugėti ir pranešta, kad kartu vartojant L-asparaginazės, gali padidėti hepatotoksiškumas (žr. 4.8</w:t>
      </w:r>
      <w:r w:rsidR="00BF7B5C" w:rsidRPr="00F93FFA">
        <w:rPr>
          <w:color w:val="000000"/>
          <w:sz w:val="22"/>
          <w:szCs w:val="22"/>
        </w:rPr>
        <w:t> </w:t>
      </w:r>
      <w:r w:rsidRPr="00F93FFA">
        <w:rPr>
          <w:color w:val="000000"/>
          <w:sz w:val="22"/>
          <w:szCs w:val="22"/>
        </w:rPr>
        <w:t xml:space="preserve">skyrių). Todėl, kartu su Glivec vartojant kitų </w:t>
      </w:r>
      <w:r w:rsidR="00A70D12" w:rsidRPr="00F93FFA">
        <w:rPr>
          <w:color w:val="000000"/>
          <w:sz w:val="22"/>
          <w:szCs w:val="22"/>
        </w:rPr>
        <w:t>vaistinių preparatų</w:t>
      </w:r>
      <w:r w:rsidRPr="00F93FFA">
        <w:rPr>
          <w:color w:val="000000"/>
          <w:sz w:val="22"/>
          <w:szCs w:val="22"/>
        </w:rPr>
        <w:t>, reikia specialių atsargumo priemonių.</w:t>
      </w:r>
    </w:p>
    <w:p w14:paraId="7352803C" w14:textId="77777777" w:rsidR="003646A0" w:rsidRPr="00F93FFA" w:rsidRDefault="003646A0" w:rsidP="00DE16D0">
      <w:pPr>
        <w:widowControl w:val="0"/>
        <w:ind w:left="567" w:hanging="567"/>
        <w:rPr>
          <w:color w:val="000000"/>
          <w:sz w:val="22"/>
          <w:szCs w:val="22"/>
        </w:rPr>
      </w:pPr>
    </w:p>
    <w:p w14:paraId="3F0E7994"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lastRenderedPageBreak/>
        <w:t>4.6</w:t>
      </w:r>
      <w:r w:rsidRPr="00F93FFA">
        <w:rPr>
          <w:b/>
          <w:color w:val="000000"/>
          <w:sz w:val="22"/>
          <w:szCs w:val="22"/>
        </w:rPr>
        <w:tab/>
        <w:t>Vaisingumas, nėštumo ir žindymo laikotarpis</w:t>
      </w:r>
    </w:p>
    <w:p w14:paraId="295AFF4E" w14:textId="77777777" w:rsidR="003646A0" w:rsidRPr="00F93FFA" w:rsidRDefault="003646A0" w:rsidP="00DE16D0">
      <w:pPr>
        <w:keepNext/>
        <w:widowControl w:val="0"/>
        <w:rPr>
          <w:color w:val="000000"/>
          <w:sz w:val="22"/>
          <w:szCs w:val="22"/>
        </w:rPr>
      </w:pPr>
    </w:p>
    <w:p w14:paraId="23011354" w14:textId="77777777" w:rsidR="003646A0" w:rsidRPr="00F93FFA" w:rsidRDefault="003646A0" w:rsidP="00DE16D0">
      <w:pPr>
        <w:pStyle w:val="EndnoteText"/>
        <w:keepNext/>
        <w:widowControl w:val="0"/>
        <w:tabs>
          <w:tab w:val="clear" w:pos="567"/>
        </w:tabs>
        <w:rPr>
          <w:color w:val="000000"/>
          <w:szCs w:val="22"/>
          <w:u w:val="single"/>
        </w:rPr>
      </w:pPr>
      <w:r w:rsidRPr="00F93FFA">
        <w:rPr>
          <w:color w:val="000000"/>
          <w:szCs w:val="22"/>
          <w:u w:val="single"/>
        </w:rPr>
        <w:t>Vaisingo amžiaus moterys</w:t>
      </w:r>
    </w:p>
    <w:p w14:paraId="7B4F35A2" w14:textId="524FFBFB" w:rsidR="003646A0" w:rsidRPr="00F93FFA" w:rsidRDefault="003646A0" w:rsidP="00DE16D0">
      <w:pPr>
        <w:widowControl w:val="0"/>
        <w:rPr>
          <w:color w:val="000000"/>
          <w:sz w:val="22"/>
          <w:szCs w:val="22"/>
        </w:rPr>
      </w:pPr>
      <w:r w:rsidRPr="00F93FFA">
        <w:rPr>
          <w:color w:val="000000"/>
          <w:sz w:val="22"/>
          <w:szCs w:val="22"/>
        </w:rPr>
        <w:t xml:space="preserve">Vaisingo amžiaus moteris </w:t>
      </w:r>
      <w:r w:rsidR="00770DD2" w:rsidRPr="00F93FFA">
        <w:rPr>
          <w:color w:val="000000"/>
          <w:sz w:val="22"/>
          <w:szCs w:val="22"/>
        </w:rPr>
        <w:t>būtina informuoti</w:t>
      </w:r>
      <w:r w:rsidRPr="00F93FFA">
        <w:rPr>
          <w:color w:val="000000"/>
          <w:sz w:val="22"/>
          <w:szCs w:val="22"/>
        </w:rPr>
        <w:t xml:space="preserve">, kad gydymo metu </w:t>
      </w:r>
      <w:r w:rsidR="003D63AF" w:rsidRPr="00F93FFA">
        <w:rPr>
          <w:color w:val="000000"/>
          <w:sz w:val="22"/>
          <w:szCs w:val="22"/>
        </w:rPr>
        <w:t xml:space="preserve">ir mažiausiai 15 dienų po gydymo Glivec nutraukimo </w:t>
      </w:r>
      <w:r w:rsidRPr="00F93FFA">
        <w:rPr>
          <w:color w:val="000000"/>
          <w:sz w:val="22"/>
          <w:szCs w:val="22"/>
        </w:rPr>
        <w:t>jos turi naudoti veiksmingą kontracepcijos metodą.</w:t>
      </w:r>
    </w:p>
    <w:p w14:paraId="28C989EE" w14:textId="77777777" w:rsidR="003646A0" w:rsidRPr="005205BF" w:rsidRDefault="003646A0" w:rsidP="00DE16D0">
      <w:pPr>
        <w:widowControl w:val="0"/>
        <w:rPr>
          <w:sz w:val="22"/>
          <w:szCs w:val="22"/>
        </w:rPr>
      </w:pPr>
    </w:p>
    <w:p w14:paraId="56BD2F86"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Nėštumas</w:t>
      </w:r>
    </w:p>
    <w:p w14:paraId="32D50D22" w14:textId="6182A4BF" w:rsidR="003646A0" w:rsidRPr="00F93FFA" w:rsidRDefault="003646A0" w:rsidP="00DE16D0">
      <w:pPr>
        <w:widowControl w:val="0"/>
        <w:rPr>
          <w:color w:val="000000"/>
          <w:sz w:val="22"/>
          <w:szCs w:val="22"/>
        </w:rPr>
      </w:pPr>
      <w:r w:rsidRPr="00F93FFA">
        <w:rPr>
          <w:color w:val="000000"/>
          <w:sz w:val="22"/>
          <w:szCs w:val="22"/>
        </w:rPr>
        <w:t xml:space="preserve">Duomenų apie imatinibo vartojimą nėštumo metu nepakanka. </w:t>
      </w:r>
      <w:r w:rsidR="00622F4A" w:rsidRPr="00F93FFA">
        <w:rPr>
          <w:color w:val="000000"/>
          <w:sz w:val="22"/>
          <w:szCs w:val="22"/>
        </w:rPr>
        <w:t xml:space="preserve">Vaistiniam preparatui patekus į rinką gauta pranešimų apie </w:t>
      </w:r>
      <w:r w:rsidR="00897244" w:rsidRPr="00F93FFA">
        <w:rPr>
          <w:color w:val="000000"/>
          <w:sz w:val="22"/>
          <w:szCs w:val="22"/>
        </w:rPr>
        <w:t xml:space="preserve">Glivec vartojusioms moterims pasireiškusius </w:t>
      </w:r>
      <w:r w:rsidR="00622F4A" w:rsidRPr="00F93FFA">
        <w:rPr>
          <w:color w:val="000000"/>
          <w:sz w:val="22"/>
          <w:szCs w:val="22"/>
        </w:rPr>
        <w:t xml:space="preserve">spontaninių abortų atvejus ir įgimtas </w:t>
      </w:r>
      <w:r w:rsidR="00897244" w:rsidRPr="00F93FFA">
        <w:rPr>
          <w:color w:val="000000"/>
          <w:sz w:val="22"/>
          <w:szCs w:val="22"/>
        </w:rPr>
        <w:t xml:space="preserve">kūdikių </w:t>
      </w:r>
      <w:r w:rsidR="00622F4A" w:rsidRPr="00F93FFA">
        <w:rPr>
          <w:color w:val="000000"/>
          <w:sz w:val="22"/>
          <w:szCs w:val="22"/>
        </w:rPr>
        <w:t xml:space="preserve">anomalijas. </w:t>
      </w:r>
      <w:r w:rsidRPr="00F93FFA">
        <w:rPr>
          <w:color w:val="000000"/>
          <w:sz w:val="22"/>
          <w:szCs w:val="22"/>
        </w:rPr>
        <w:t>Tačiau su gyvūnais atlikti tyrimai parodė toksinį poveikį reprodukcijai (žr. 5.3</w:t>
      </w:r>
      <w:r w:rsidR="00BF7B5C" w:rsidRPr="00F93FFA">
        <w:rPr>
          <w:color w:val="000000"/>
          <w:sz w:val="22"/>
          <w:szCs w:val="22"/>
        </w:rPr>
        <w:t> </w:t>
      </w:r>
      <w:r w:rsidRPr="00F93FFA">
        <w:rPr>
          <w:color w:val="000000"/>
          <w:sz w:val="22"/>
          <w:szCs w:val="22"/>
        </w:rPr>
        <w:t xml:space="preserve">skyrių), todėl galimas pavojus vaisiui nežinomas. Glivec nėštumo metu vartoti negalima, išskyrus neabejotinai būtinus atvejus. Nėščiąją, kuriai skiriama </w:t>
      </w:r>
      <w:r w:rsidR="00A70D12" w:rsidRPr="00F93FFA">
        <w:rPr>
          <w:color w:val="000000"/>
          <w:sz w:val="22"/>
          <w:szCs w:val="22"/>
        </w:rPr>
        <w:t>vaistinio preparato</w:t>
      </w:r>
      <w:r w:rsidRPr="00F93FFA">
        <w:rPr>
          <w:color w:val="000000"/>
          <w:sz w:val="22"/>
          <w:szCs w:val="22"/>
        </w:rPr>
        <w:t>, reikia informuoti apie galimą riziką vaisiui.</w:t>
      </w:r>
    </w:p>
    <w:p w14:paraId="3265A8F2" w14:textId="77777777" w:rsidR="003646A0" w:rsidRPr="00F93FFA" w:rsidRDefault="003646A0" w:rsidP="00DE16D0">
      <w:pPr>
        <w:widowControl w:val="0"/>
        <w:rPr>
          <w:color w:val="000000"/>
          <w:sz w:val="22"/>
          <w:szCs w:val="22"/>
        </w:rPr>
      </w:pPr>
    </w:p>
    <w:p w14:paraId="010F0C5B"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Žindymas</w:t>
      </w:r>
    </w:p>
    <w:p w14:paraId="3959BAA1" w14:textId="6BF7280C" w:rsidR="003646A0" w:rsidRPr="00F93FFA" w:rsidRDefault="003646A0" w:rsidP="00DE16D0">
      <w:pPr>
        <w:pStyle w:val="EndnoteText"/>
        <w:widowControl w:val="0"/>
        <w:rPr>
          <w:szCs w:val="22"/>
        </w:rPr>
      </w:pPr>
      <w:r w:rsidRPr="00F93FFA">
        <w:rPr>
          <w:szCs w:val="22"/>
        </w:rPr>
        <w:t xml:space="preserve">Yra mažai duomenų apie imatinibo išsiskirimą į motinos pieną. Abi žindančių moterų studijos parodė, kad tiek imatinibo, tiek jo aktyvaus metabolito gali išsiskirti į žindyvės pieną. Nustatyta, kad imatinibo ir jo metabolito koncentracijų piene ir kraujo plazmoje santykis, vienai pacientei tenka, atitinkamai, 0,5 ir 0,9; tai rodo, kad į pieną daugiau išsiskiria </w:t>
      </w:r>
      <w:r w:rsidR="00A70D12" w:rsidRPr="00F93FFA">
        <w:rPr>
          <w:szCs w:val="22"/>
          <w:lang w:val="lt-LT"/>
        </w:rPr>
        <w:t xml:space="preserve">vaistinio preparato </w:t>
      </w:r>
      <w:r w:rsidRPr="00F93FFA">
        <w:rPr>
          <w:szCs w:val="22"/>
        </w:rPr>
        <w:t>metabolito. Atsižvelgiant į suminę imatinibo ir jo metabolito koncentraciją bei didžiausią kūdikio suvartojamą pieno kiekį per parą, tikėtina, kad bendroji ekspozicija galėtų būti nedidelė (~10 % terapinės dozės). Tačiau, kadangi nedidelės imatinibo dozės poveikis kūdikiui nežinomas,</w:t>
      </w:r>
      <w:r w:rsidR="00EB2867" w:rsidRPr="00F93FFA">
        <w:rPr>
          <w:color w:val="000000"/>
          <w:szCs w:val="22"/>
        </w:rPr>
        <w:t xml:space="preserve"> gydymo metu ir mažiausiai 15 dienų po gydymo Glivec nutraukimo</w:t>
      </w:r>
      <w:r w:rsidRPr="00F93FFA">
        <w:rPr>
          <w:szCs w:val="22"/>
        </w:rPr>
        <w:t xml:space="preserve"> moterims žindyti negalima.</w:t>
      </w:r>
    </w:p>
    <w:p w14:paraId="4259757A" w14:textId="77777777" w:rsidR="003646A0" w:rsidRPr="00F93FFA" w:rsidRDefault="003646A0" w:rsidP="00DE16D0">
      <w:pPr>
        <w:pStyle w:val="EndnoteText"/>
        <w:widowControl w:val="0"/>
        <w:rPr>
          <w:color w:val="000000"/>
          <w:szCs w:val="22"/>
          <w:u w:val="single"/>
          <w:lang w:val="lt-LT"/>
        </w:rPr>
      </w:pPr>
    </w:p>
    <w:p w14:paraId="7CFC9718" w14:textId="77777777" w:rsidR="003646A0" w:rsidRPr="00F93FFA" w:rsidRDefault="003646A0" w:rsidP="00DE16D0">
      <w:pPr>
        <w:pStyle w:val="EndnoteText"/>
        <w:keepNext/>
        <w:widowControl w:val="0"/>
        <w:rPr>
          <w:color w:val="000000"/>
          <w:szCs w:val="22"/>
          <w:u w:val="single"/>
          <w:lang w:val="lt-LT"/>
        </w:rPr>
      </w:pPr>
      <w:r w:rsidRPr="00F93FFA">
        <w:rPr>
          <w:color w:val="000000"/>
          <w:szCs w:val="22"/>
          <w:u w:val="single"/>
          <w:lang w:val="lt-LT"/>
        </w:rPr>
        <w:t>Vaisingumas</w:t>
      </w:r>
    </w:p>
    <w:p w14:paraId="013D6264" w14:textId="48C43DD3" w:rsidR="003646A0" w:rsidRPr="00F93FFA" w:rsidRDefault="003646A0" w:rsidP="00DE16D0">
      <w:pPr>
        <w:pStyle w:val="EndnoteText"/>
        <w:widowControl w:val="0"/>
        <w:rPr>
          <w:szCs w:val="22"/>
        </w:rPr>
      </w:pPr>
      <w:r w:rsidRPr="00F93FFA">
        <w:rPr>
          <w:szCs w:val="22"/>
          <w:lang w:val="lt-LT"/>
        </w:rPr>
        <w:t>Ikiklinikinių tyrimų metu, žiurkių patinų ir patelių vaisingumas nepakito</w:t>
      </w:r>
      <w:r w:rsidR="00EB2867" w:rsidRPr="00F93FFA">
        <w:rPr>
          <w:szCs w:val="22"/>
          <w:lang w:val="lt-LT"/>
        </w:rPr>
        <w:t xml:space="preserve">, </w:t>
      </w:r>
      <w:r w:rsidR="00770DD2" w:rsidRPr="00F93FFA">
        <w:rPr>
          <w:szCs w:val="22"/>
          <w:lang w:val="lt-LT"/>
        </w:rPr>
        <w:t xml:space="preserve">nors poveikis </w:t>
      </w:r>
      <w:r w:rsidR="00EB2867" w:rsidRPr="00F93FFA">
        <w:rPr>
          <w:szCs w:val="22"/>
          <w:lang w:val="lt-LT"/>
        </w:rPr>
        <w:t>reprodukcin</w:t>
      </w:r>
      <w:r w:rsidR="00770DD2" w:rsidRPr="00F93FFA">
        <w:rPr>
          <w:szCs w:val="22"/>
          <w:lang w:val="lt-LT"/>
        </w:rPr>
        <w:t>iams parametrams buvo pastebėtas</w:t>
      </w:r>
      <w:r w:rsidR="00EB2867" w:rsidRPr="00F93FFA">
        <w:rPr>
          <w:szCs w:val="22"/>
          <w:lang w:val="lt-LT"/>
        </w:rPr>
        <w:t xml:space="preserve"> </w:t>
      </w:r>
      <w:r w:rsidRPr="00F93FFA">
        <w:rPr>
          <w:szCs w:val="22"/>
          <w:lang w:val="lt-LT"/>
        </w:rPr>
        <w:t>(žr. 5.3</w:t>
      </w:r>
      <w:r w:rsidR="00EB2867" w:rsidRPr="00F93FFA">
        <w:rPr>
          <w:szCs w:val="22"/>
          <w:lang w:val="lt-LT"/>
        </w:rPr>
        <w:t> </w:t>
      </w:r>
      <w:r w:rsidRPr="00F93FFA">
        <w:rPr>
          <w:szCs w:val="22"/>
          <w:lang w:val="lt-LT"/>
        </w:rPr>
        <w:t xml:space="preserve">skyrių). Nebuvo atlikta tyrimų, </w:t>
      </w:r>
      <w:r w:rsidRPr="00F93FFA">
        <w:rPr>
          <w:color w:val="000000"/>
          <w:szCs w:val="22"/>
          <w:lang w:val="lt-LT"/>
        </w:rPr>
        <w:t>Glivec</w:t>
      </w:r>
      <w:r w:rsidRPr="00F93FFA">
        <w:rPr>
          <w:szCs w:val="22"/>
          <w:lang w:val="lt-LT"/>
        </w:rPr>
        <w:t xml:space="preserve"> skiriant pacientams, taigi </w:t>
      </w:r>
      <w:r w:rsidR="00A70D12" w:rsidRPr="00F93FFA">
        <w:rPr>
          <w:szCs w:val="22"/>
          <w:lang w:val="lt-LT"/>
        </w:rPr>
        <w:t xml:space="preserve">vaistinio preparato </w:t>
      </w:r>
      <w:r w:rsidRPr="00F93FFA">
        <w:rPr>
          <w:szCs w:val="22"/>
          <w:lang w:val="lt-LT"/>
        </w:rPr>
        <w:t xml:space="preserve">poveikis vaisingumui ir gametogenezei nebuvo neištirtas. Dėl gydymo </w:t>
      </w:r>
      <w:r w:rsidRPr="00F93FFA">
        <w:rPr>
          <w:color w:val="000000"/>
          <w:szCs w:val="22"/>
          <w:lang w:val="lt-LT"/>
        </w:rPr>
        <w:t>Glivec</w:t>
      </w:r>
      <w:r w:rsidRPr="00F93FFA">
        <w:rPr>
          <w:szCs w:val="22"/>
          <w:lang w:val="lt-LT"/>
        </w:rPr>
        <w:t xml:space="preserve"> poveikio vaisingumui, pacientams reikėtų pasitarti su gydytoju.</w:t>
      </w:r>
    </w:p>
    <w:p w14:paraId="2AF454BF" w14:textId="77777777" w:rsidR="003646A0" w:rsidRPr="00F93FFA" w:rsidRDefault="003646A0" w:rsidP="00DE16D0">
      <w:pPr>
        <w:widowControl w:val="0"/>
        <w:rPr>
          <w:color w:val="000000"/>
          <w:sz w:val="22"/>
          <w:szCs w:val="22"/>
        </w:rPr>
      </w:pPr>
    </w:p>
    <w:p w14:paraId="7A63E2A0"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4.7</w:t>
      </w:r>
      <w:r w:rsidRPr="00F93FFA">
        <w:rPr>
          <w:b/>
          <w:color w:val="000000"/>
          <w:sz w:val="22"/>
          <w:szCs w:val="22"/>
        </w:rPr>
        <w:tab/>
        <w:t>Poveikis gebėjimui vairuoti ir valdyti mechanizmus</w:t>
      </w:r>
    </w:p>
    <w:p w14:paraId="64FA0527" w14:textId="77777777" w:rsidR="003646A0" w:rsidRPr="00F93FFA" w:rsidRDefault="003646A0" w:rsidP="00DE16D0">
      <w:pPr>
        <w:keepNext/>
        <w:widowControl w:val="0"/>
        <w:ind w:left="567" w:hanging="567"/>
        <w:rPr>
          <w:color w:val="000000"/>
          <w:sz w:val="22"/>
          <w:szCs w:val="22"/>
        </w:rPr>
      </w:pPr>
    </w:p>
    <w:p w14:paraId="66A4967C" w14:textId="77777777" w:rsidR="003646A0" w:rsidRPr="00F93FFA" w:rsidRDefault="003646A0" w:rsidP="00DE16D0">
      <w:pPr>
        <w:widowControl w:val="0"/>
        <w:rPr>
          <w:color w:val="000000"/>
          <w:sz w:val="22"/>
          <w:szCs w:val="22"/>
        </w:rPr>
      </w:pPr>
      <w:r w:rsidRPr="00F93FFA">
        <w:rPr>
          <w:color w:val="000000"/>
          <w:sz w:val="22"/>
          <w:szCs w:val="22"/>
        </w:rPr>
        <w:t>Pacientams reikia nurodyti, kad vartojant imatinibą gali būti nepageidaujamų reiškinių, pvz., galvos svaigimas, neryškus matymas ar mieguistumas. Todėl vairuojant ar valdant mechanizmus būtina laikytis atsargumo priemonių.</w:t>
      </w:r>
    </w:p>
    <w:p w14:paraId="532E13C6" w14:textId="77777777" w:rsidR="003646A0" w:rsidRPr="00F93FFA" w:rsidRDefault="003646A0" w:rsidP="00DE16D0">
      <w:pPr>
        <w:widowControl w:val="0"/>
        <w:rPr>
          <w:color w:val="000000"/>
          <w:sz w:val="22"/>
          <w:szCs w:val="22"/>
        </w:rPr>
      </w:pPr>
    </w:p>
    <w:p w14:paraId="29B96F05"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4.8</w:t>
      </w:r>
      <w:r w:rsidRPr="00F93FFA">
        <w:rPr>
          <w:b/>
          <w:color w:val="000000"/>
          <w:sz w:val="22"/>
          <w:szCs w:val="22"/>
        </w:rPr>
        <w:tab/>
        <w:t>Nepageidaujamas poveikis</w:t>
      </w:r>
    </w:p>
    <w:p w14:paraId="49E4CF5C" w14:textId="77777777" w:rsidR="003646A0" w:rsidRPr="00F93FFA" w:rsidRDefault="003646A0" w:rsidP="00DE16D0">
      <w:pPr>
        <w:keepNext/>
        <w:widowControl w:val="0"/>
        <w:ind w:left="567" w:hanging="567"/>
        <w:rPr>
          <w:color w:val="000000"/>
          <w:sz w:val="22"/>
          <w:szCs w:val="22"/>
        </w:rPr>
      </w:pPr>
    </w:p>
    <w:p w14:paraId="69F3CD44" w14:textId="77777777" w:rsidR="003646A0" w:rsidRPr="00F93FFA" w:rsidRDefault="003646A0" w:rsidP="00DE16D0">
      <w:pPr>
        <w:widowControl w:val="0"/>
        <w:tabs>
          <w:tab w:val="left" w:pos="0"/>
        </w:tabs>
        <w:rPr>
          <w:color w:val="000000"/>
          <w:sz w:val="22"/>
          <w:szCs w:val="22"/>
        </w:rPr>
      </w:pPr>
      <w:r w:rsidRPr="00F93FFA">
        <w:rPr>
          <w:color w:val="000000"/>
          <w:sz w:val="22"/>
          <w:szCs w:val="22"/>
        </w:rPr>
        <w:t>Pacientams, sergantiems piktybiniais navikais, gali būti kitų sveikatos būklių, dėl kurių sunkiau nustatyti nepageidaujamų reiškinių priežastis dėl įvairių simptomų, susijusių su esančia liga, jos progresavimu ir dėl kitų kartu vartojamų vaistinių preparatų.</w:t>
      </w:r>
    </w:p>
    <w:p w14:paraId="4916A988" w14:textId="77777777" w:rsidR="003646A0" w:rsidRPr="00F93FFA" w:rsidRDefault="003646A0" w:rsidP="00DE16D0">
      <w:pPr>
        <w:widowControl w:val="0"/>
        <w:tabs>
          <w:tab w:val="left" w:pos="0"/>
        </w:tabs>
        <w:rPr>
          <w:color w:val="000000"/>
          <w:sz w:val="22"/>
          <w:szCs w:val="22"/>
        </w:rPr>
      </w:pPr>
    </w:p>
    <w:p w14:paraId="05729B9B" w14:textId="77777777" w:rsidR="003646A0" w:rsidRPr="00F93FFA" w:rsidRDefault="003646A0" w:rsidP="00DE16D0">
      <w:pPr>
        <w:widowControl w:val="0"/>
        <w:tabs>
          <w:tab w:val="left" w:pos="0"/>
        </w:tabs>
        <w:rPr>
          <w:color w:val="000000"/>
          <w:sz w:val="22"/>
          <w:szCs w:val="22"/>
        </w:rPr>
      </w:pPr>
      <w:r w:rsidRPr="00F93FFA">
        <w:rPr>
          <w:color w:val="000000"/>
          <w:sz w:val="22"/>
          <w:szCs w:val="22"/>
        </w:rPr>
        <w:t xml:space="preserve">Klinikinių LML tyrimų metu dėl nepageidaujamų su </w:t>
      </w:r>
      <w:r w:rsidR="00A70D12" w:rsidRPr="00F93FFA">
        <w:rPr>
          <w:color w:val="000000"/>
          <w:sz w:val="22"/>
          <w:szCs w:val="22"/>
        </w:rPr>
        <w:t xml:space="preserve">vaistiniu preparatu </w:t>
      </w:r>
      <w:r w:rsidRPr="00F93FFA">
        <w:rPr>
          <w:color w:val="000000"/>
          <w:sz w:val="22"/>
          <w:szCs w:val="22"/>
        </w:rPr>
        <w:t xml:space="preserve">susijusių reakcijų </w:t>
      </w:r>
      <w:r w:rsidR="00A70D12" w:rsidRPr="00F93FFA">
        <w:rPr>
          <w:color w:val="000000"/>
          <w:sz w:val="22"/>
          <w:szCs w:val="22"/>
        </w:rPr>
        <w:t xml:space="preserve">vaistinio preparato </w:t>
      </w:r>
      <w:r w:rsidRPr="00F93FFA">
        <w:rPr>
          <w:color w:val="000000"/>
          <w:sz w:val="22"/>
          <w:szCs w:val="22"/>
        </w:rPr>
        <w:t xml:space="preserve">vartojimą teko nutraukti 2,4 % pacientų, kuriems buvo naujai diagnozuota liga, 4 % pacientų, kuriems buvo vėlyvoji lėtinė ligos fazė po nesėkmingo gydymo interferonu, 4 % – kuriems buvo akceleracijos fazė po nesėkmingo gydymo interferonu ir 5 % – kuriems buvo blastinė krizė po nesėkmingo gydymo interferonu. VTSN tyrimų metu dėl </w:t>
      </w:r>
      <w:r w:rsidR="00A70D12" w:rsidRPr="00F93FFA">
        <w:rPr>
          <w:color w:val="000000"/>
          <w:sz w:val="22"/>
          <w:szCs w:val="22"/>
        </w:rPr>
        <w:t xml:space="preserve">vaistinio preparato </w:t>
      </w:r>
      <w:r w:rsidRPr="00F93FFA">
        <w:rPr>
          <w:color w:val="000000"/>
          <w:sz w:val="22"/>
          <w:szCs w:val="22"/>
        </w:rPr>
        <w:t xml:space="preserve">sukeltų nepageidaujamų reakcijų </w:t>
      </w:r>
      <w:r w:rsidR="00A70D12" w:rsidRPr="00F93FFA">
        <w:rPr>
          <w:color w:val="000000"/>
          <w:sz w:val="22"/>
          <w:szCs w:val="22"/>
        </w:rPr>
        <w:t xml:space="preserve">vaistinį preparatą </w:t>
      </w:r>
      <w:r w:rsidRPr="00F93FFA">
        <w:rPr>
          <w:color w:val="000000"/>
          <w:sz w:val="22"/>
          <w:szCs w:val="22"/>
        </w:rPr>
        <w:t>teko nutraukti 4 % pacientų.</w:t>
      </w:r>
    </w:p>
    <w:p w14:paraId="18C82A94" w14:textId="77777777" w:rsidR="003646A0" w:rsidRPr="00F93FFA" w:rsidRDefault="003646A0" w:rsidP="00DE16D0">
      <w:pPr>
        <w:widowControl w:val="0"/>
        <w:tabs>
          <w:tab w:val="left" w:pos="0"/>
        </w:tabs>
        <w:rPr>
          <w:color w:val="000000"/>
          <w:sz w:val="22"/>
          <w:szCs w:val="22"/>
        </w:rPr>
      </w:pPr>
    </w:p>
    <w:p w14:paraId="52163C1E" w14:textId="2B84A251" w:rsidR="003646A0" w:rsidRPr="00F93FFA" w:rsidRDefault="003646A0" w:rsidP="00DE16D0">
      <w:pPr>
        <w:widowControl w:val="0"/>
        <w:tabs>
          <w:tab w:val="left" w:pos="0"/>
        </w:tabs>
        <w:rPr>
          <w:color w:val="000000"/>
          <w:sz w:val="22"/>
          <w:szCs w:val="22"/>
        </w:rPr>
      </w:pPr>
      <w:r w:rsidRPr="00F93FFA">
        <w:rPr>
          <w:color w:val="000000"/>
          <w:sz w:val="22"/>
          <w:szCs w:val="22"/>
        </w:rPr>
        <w:t>Visomis minėtomis ligomis sergantiems pacientams nepageidaujamos reakcijos buvo panašios, išskyrus dvi išimtis. Sergant LML, dažniau stebėta mielosupresija, galinti priklausyti nuo esančios ligos. Klinikinio tyrimo duomenimis, iš jame dalyvavusių pacientų, kuriems buvo nerezekuotinas ir (ar) metastazavęs VTSN, 7 (5 %) pacientams buvo: CTC 3/4 laipsnio kraujavimas iš virškinimo trakto (3 pacientams), vidunavikinis kraujavimas (3 pacientams) ar abu požymiai (1 pacientui). Virškinimo trakte gali kraujuoti iš naviko (žr. 4.4</w:t>
      </w:r>
      <w:r w:rsidR="00BF7B5C" w:rsidRPr="00F93FFA">
        <w:rPr>
          <w:color w:val="000000"/>
          <w:sz w:val="22"/>
          <w:szCs w:val="22"/>
        </w:rPr>
        <w:t> </w:t>
      </w:r>
      <w:r w:rsidRPr="00F93FFA">
        <w:rPr>
          <w:color w:val="000000"/>
          <w:sz w:val="22"/>
          <w:szCs w:val="22"/>
        </w:rPr>
        <w:t>skyrių). Retkarčiais kraujavimas iš virškinimo trakto ar naviko gali būti mirtinas. Dažniausi (</w:t>
      </w:r>
      <w:r w:rsidRPr="00F93FFA">
        <w:rPr>
          <w:color w:val="000000"/>
          <w:sz w:val="22"/>
          <w:szCs w:val="22"/>
        </w:rPr>
        <w:sym w:font="Symbol" w:char="F0B3"/>
      </w:r>
      <w:r w:rsidRPr="00F93FFA">
        <w:rPr>
          <w:color w:val="000000"/>
          <w:sz w:val="22"/>
          <w:szCs w:val="22"/>
        </w:rPr>
        <w:t xml:space="preserve"> 10 %) su </w:t>
      </w:r>
      <w:r w:rsidR="00A70D12" w:rsidRPr="00F93FFA">
        <w:rPr>
          <w:color w:val="000000"/>
          <w:sz w:val="22"/>
          <w:szCs w:val="22"/>
        </w:rPr>
        <w:t xml:space="preserve">vaistiniu preparatu </w:t>
      </w:r>
      <w:r w:rsidRPr="00F93FFA">
        <w:rPr>
          <w:color w:val="000000"/>
          <w:sz w:val="22"/>
          <w:szCs w:val="22"/>
        </w:rPr>
        <w:t xml:space="preserve">susiję nepageidaujami reiškiniai abiem ligomis sergantiems pacientams buvo nestiprus pykinimas, vėmimas, viduriavimas, pilvo skausmas, </w:t>
      </w:r>
      <w:r w:rsidRPr="00F93FFA">
        <w:rPr>
          <w:color w:val="000000"/>
          <w:sz w:val="22"/>
          <w:szCs w:val="22"/>
        </w:rPr>
        <w:lastRenderedPageBreak/>
        <w:t>nuovargis, mialgija, raumenų mėšlungis ir bėrimas. Visų tyrimų metu dažnai stebėta paviršinių edemų, dažniausiai – apie akis ar kojų. Tačiau retai šios edemos būna sunkios, jas galima koreguoti diuretikais, kitomis pagalbinėmis priemonėmis ar sumažinus Glivec dozę.</w:t>
      </w:r>
    </w:p>
    <w:p w14:paraId="3A0D2843" w14:textId="77777777" w:rsidR="003646A0" w:rsidRPr="00F93FFA" w:rsidRDefault="003646A0" w:rsidP="00DE16D0">
      <w:pPr>
        <w:pStyle w:val="Text"/>
        <w:widowControl w:val="0"/>
        <w:spacing w:before="0"/>
        <w:jc w:val="left"/>
        <w:rPr>
          <w:color w:val="000000"/>
          <w:sz w:val="22"/>
          <w:szCs w:val="22"/>
          <w:lang w:val="lt-LT"/>
        </w:rPr>
      </w:pPr>
    </w:p>
    <w:p w14:paraId="25CE5241"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 xml:space="preserve">Ph+ ŪLL sergantiems pacientams, vartojusiems imatinibą kartu su didelėmis chemoterapinių </w:t>
      </w:r>
      <w:r w:rsidR="001E6883" w:rsidRPr="00F93FFA">
        <w:rPr>
          <w:color w:val="000000"/>
          <w:sz w:val="22"/>
          <w:szCs w:val="22"/>
          <w:lang w:val="lt-LT"/>
        </w:rPr>
        <w:t xml:space="preserve">vaistinių </w:t>
      </w:r>
      <w:r w:rsidRPr="00F93FFA">
        <w:rPr>
          <w:color w:val="000000"/>
          <w:sz w:val="22"/>
          <w:szCs w:val="22"/>
          <w:lang w:val="lt-LT"/>
        </w:rPr>
        <w:t>preparatų dozėmis, stebėtas laikinas toksinis poveikis kepenims, pasireiškęs transaminazių aktyvumo padidėjimu ir hiperbilirubinemija. Atsižvelgiant į ribotus saugumo duomenis, iki šiol vaikams pasireiškusių nepageidaujamų reiškinių pobūdis atitinka žinomus saugumo savybių duomenis Ph+ ŪLL sergantiems suaugusiesiems. Duomenys apie saugumo savybes Ph+ ŪLL sergantiems vaikams yra labai riboti, vis dėlto naujų nerimą keliančių saugumo duomenų nustatyta nebuvo.</w:t>
      </w:r>
    </w:p>
    <w:p w14:paraId="77365F20" w14:textId="77777777" w:rsidR="003646A0" w:rsidRPr="00F93FFA" w:rsidRDefault="003646A0" w:rsidP="00DE16D0">
      <w:pPr>
        <w:widowControl w:val="0"/>
        <w:tabs>
          <w:tab w:val="left" w:pos="0"/>
        </w:tabs>
        <w:rPr>
          <w:color w:val="000000"/>
          <w:sz w:val="22"/>
          <w:szCs w:val="22"/>
        </w:rPr>
      </w:pPr>
    </w:p>
    <w:p w14:paraId="7BEC54D1" w14:textId="77777777" w:rsidR="003646A0" w:rsidRPr="00F93FFA" w:rsidRDefault="003646A0" w:rsidP="00DE16D0">
      <w:pPr>
        <w:widowControl w:val="0"/>
        <w:tabs>
          <w:tab w:val="left" w:pos="0"/>
        </w:tabs>
        <w:rPr>
          <w:color w:val="000000"/>
          <w:sz w:val="22"/>
          <w:szCs w:val="22"/>
        </w:rPr>
      </w:pPr>
      <w:r w:rsidRPr="00F93FFA">
        <w:rPr>
          <w:color w:val="000000"/>
          <w:sz w:val="22"/>
          <w:szCs w:val="22"/>
        </w:rPr>
        <w:t>Įvairios nepageidaujamos reakcijos, pvz., skystis pleuros ertmėje, ascitas, plaučių edema ar greitai didėjantis kūno svoris su paviršine edema ar be jos, gali būti bendrai vadinamos “skysčių susilaikymu”. Šias reakcijas galima gydyti laikinai nutraukiant Glivec vartojimą ir diuretikais, ir kitomis tinkamomis pagalbos priemonėmis. Tačiau kai kurie šių reiškinių gali būti sunkūs ir grėsti gyvybei. Keli pacientai, kuriems buvo blastinė krizė, mirė. Jų ligos istorija buvo sudėtinė: skystis pleuros ertmėje, stazinis širdies nepakankamumas ir inkstų nepakankamumas. Vaikų klinikinių tyrimų metu ypatingų saugumo reiškinių nenustatyta.</w:t>
      </w:r>
    </w:p>
    <w:p w14:paraId="347EE26B" w14:textId="77777777" w:rsidR="003646A0" w:rsidRPr="00F93FFA" w:rsidRDefault="003646A0" w:rsidP="00DE16D0">
      <w:pPr>
        <w:widowControl w:val="0"/>
        <w:tabs>
          <w:tab w:val="left" w:pos="0"/>
        </w:tabs>
        <w:rPr>
          <w:color w:val="000000"/>
          <w:sz w:val="22"/>
          <w:szCs w:val="22"/>
        </w:rPr>
      </w:pPr>
    </w:p>
    <w:p w14:paraId="02C0EC88" w14:textId="77777777" w:rsidR="003646A0" w:rsidRPr="00F93FFA" w:rsidRDefault="003646A0" w:rsidP="00DE16D0">
      <w:pPr>
        <w:keepNext/>
        <w:widowControl w:val="0"/>
        <w:tabs>
          <w:tab w:val="left" w:pos="0"/>
        </w:tabs>
        <w:rPr>
          <w:b/>
          <w:color w:val="000000"/>
          <w:sz w:val="22"/>
          <w:szCs w:val="22"/>
        </w:rPr>
      </w:pPr>
      <w:r w:rsidRPr="00F93FFA">
        <w:rPr>
          <w:b/>
          <w:color w:val="000000"/>
          <w:sz w:val="22"/>
          <w:szCs w:val="22"/>
        </w:rPr>
        <w:t>Nepageidaujamos reakcijos</w:t>
      </w:r>
    </w:p>
    <w:p w14:paraId="3E3EBFB9" w14:textId="1A53CF06" w:rsidR="003646A0" w:rsidRPr="00F93FFA" w:rsidRDefault="003646A0" w:rsidP="00DE16D0">
      <w:pPr>
        <w:widowControl w:val="0"/>
        <w:tabs>
          <w:tab w:val="left" w:pos="0"/>
        </w:tabs>
        <w:rPr>
          <w:color w:val="000000"/>
          <w:sz w:val="22"/>
          <w:szCs w:val="22"/>
        </w:rPr>
      </w:pPr>
      <w:r w:rsidRPr="00F93FFA">
        <w:rPr>
          <w:color w:val="000000"/>
          <w:sz w:val="22"/>
          <w:szCs w:val="22"/>
        </w:rPr>
        <w:t>Nepageidaujamos reakcijos, pasireiškusios dažniau negu pavieniais atvejais, išvardytos žemiau pagal organų sistemas ir dažnį. Nepageidaujamų reiškinių dažnis nurodomas naudojant tokius dažnių apibūdinimus: labai dažni (</w:t>
      </w:r>
      <w:r w:rsidRPr="00F93FFA">
        <w:rPr>
          <w:sz w:val="22"/>
          <w:szCs w:val="22"/>
        </w:rPr>
        <w:t>≥</w:t>
      </w:r>
      <w:r w:rsidRPr="00F93FFA">
        <w:rPr>
          <w:color w:val="000000"/>
          <w:sz w:val="22"/>
          <w:szCs w:val="22"/>
        </w:rPr>
        <w:t xml:space="preserve">1/10), dažni (nuo </w:t>
      </w:r>
      <w:r w:rsidRPr="00F93FFA">
        <w:rPr>
          <w:sz w:val="22"/>
          <w:szCs w:val="22"/>
        </w:rPr>
        <w:t>≥</w:t>
      </w:r>
      <w:r w:rsidRPr="00F93FFA">
        <w:rPr>
          <w:color w:val="000000"/>
          <w:sz w:val="22"/>
          <w:szCs w:val="22"/>
        </w:rPr>
        <w:t xml:space="preserve">1/100 iki </w:t>
      </w:r>
      <w:r w:rsidRPr="00F93FFA">
        <w:rPr>
          <w:sz w:val="22"/>
          <w:szCs w:val="22"/>
        </w:rPr>
        <w:t>&lt;</w:t>
      </w:r>
      <w:r w:rsidRPr="00F93FFA">
        <w:rPr>
          <w:color w:val="000000"/>
          <w:sz w:val="22"/>
          <w:szCs w:val="22"/>
        </w:rPr>
        <w:t xml:space="preserve">1/10), nedažni (nuo </w:t>
      </w:r>
      <w:r w:rsidRPr="00F93FFA">
        <w:rPr>
          <w:sz w:val="22"/>
          <w:szCs w:val="22"/>
        </w:rPr>
        <w:t>≥</w:t>
      </w:r>
      <w:r w:rsidRPr="00F93FFA">
        <w:rPr>
          <w:color w:val="000000"/>
          <w:sz w:val="22"/>
          <w:szCs w:val="22"/>
        </w:rPr>
        <w:t xml:space="preserve">1/1 000 iki </w:t>
      </w:r>
      <w:r w:rsidRPr="00F93FFA">
        <w:rPr>
          <w:sz w:val="22"/>
          <w:szCs w:val="22"/>
        </w:rPr>
        <w:t>&lt;</w:t>
      </w:r>
      <w:r w:rsidRPr="00F93FFA">
        <w:rPr>
          <w:color w:val="000000"/>
          <w:sz w:val="22"/>
          <w:szCs w:val="22"/>
        </w:rPr>
        <w:t xml:space="preserve">1/100), reti (nuo </w:t>
      </w:r>
      <w:r w:rsidRPr="00F93FFA">
        <w:rPr>
          <w:sz w:val="22"/>
          <w:szCs w:val="22"/>
        </w:rPr>
        <w:t>≥</w:t>
      </w:r>
      <w:r w:rsidRPr="00F93FFA">
        <w:rPr>
          <w:color w:val="000000"/>
          <w:sz w:val="22"/>
          <w:szCs w:val="22"/>
        </w:rPr>
        <w:t xml:space="preserve">1/10 000 iki </w:t>
      </w:r>
      <w:r w:rsidRPr="00F93FFA">
        <w:rPr>
          <w:sz w:val="22"/>
          <w:szCs w:val="22"/>
        </w:rPr>
        <w:t>&lt;1/1 000</w:t>
      </w:r>
      <w:r w:rsidRPr="00F93FFA">
        <w:rPr>
          <w:color w:val="000000"/>
          <w:sz w:val="22"/>
          <w:szCs w:val="22"/>
        </w:rPr>
        <w:t>), labai reti (</w:t>
      </w:r>
      <w:r w:rsidRPr="00F93FFA">
        <w:rPr>
          <w:sz w:val="22"/>
          <w:szCs w:val="22"/>
        </w:rPr>
        <w:t xml:space="preserve">&lt;1/10 000), </w:t>
      </w:r>
      <w:r w:rsidRPr="00F93FFA">
        <w:rPr>
          <w:color w:val="000000"/>
          <w:sz w:val="22"/>
          <w:szCs w:val="22"/>
        </w:rPr>
        <w:t xml:space="preserve">dažnis nežinomas (negali būti </w:t>
      </w:r>
      <w:r w:rsidR="00770DD2" w:rsidRPr="00F93FFA">
        <w:rPr>
          <w:color w:val="000000"/>
          <w:sz w:val="22"/>
          <w:szCs w:val="22"/>
        </w:rPr>
        <w:t xml:space="preserve">apskaičiuotas </w:t>
      </w:r>
      <w:r w:rsidRPr="00F93FFA">
        <w:rPr>
          <w:color w:val="000000"/>
          <w:sz w:val="22"/>
          <w:szCs w:val="22"/>
        </w:rPr>
        <w:t>pagal turimus duomenis).</w:t>
      </w:r>
    </w:p>
    <w:p w14:paraId="084DFD65" w14:textId="77777777" w:rsidR="003646A0" w:rsidRPr="00F93FFA" w:rsidRDefault="003646A0" w:rsidP="00DE16D0">
      <w:pPr>
        <w:widowControl w:val="0"/>
        <w:tabs>
          <w:tab w:val="left" w:pos="0"/>
        </w:tabs>
        <w:rPr>
          <w:color w:val="000000"/>
          <w:sz w:val="22"/>
          <w:szCs w:val="22"/>
        </w:rPr>
      </w:pPr>
    </w:p>
    <w:p w14:paraId="32FEC65D" w14:textId="77777777" w:rsidR="003646A0" w:rsidRPr="00F93FFA" w:rsidRDefault="003646A0" w:rsidP="00DE16D0">
      <w:pPr>
        <w:widowControl w:val="0"/>
        <w:tabs>
          <w:tab w:val="left" w:pos="0"/>
        </w:tabs>
        <w:rPr>
          <w:color w:val="000000"/>
          <w:sz w:val="22"/>
          <w:szCs w:val="22"/>
        </w:rPr>
      </w:pPr>
      <w:r w:rsidRPr="00F93FFA">
        <w:rPr>
          <w:color w:val="000000"/>
          <w:sz w:val="22"/>
          <w:szCs w:val="22"/>
        </w:rPr>
        <w:t>Kiekvienoje dažnio grupėje nepageidaujamas poveikis pateikiamas pagal pasireiškimo dažnumą. Dažniausiai pasireiškusieji pateikti pirmiausiai.</w:t>
      </w:r>
    </w:p>
    <w:p w14:paraId="730C99E0" w14:textId="77777777" w:rsidR="003646A0" w:rsidRPr="00F93FFA" w:rsidRDefault="003646A0" w:rsidP="00DE16D0">
      <w:pPr>
        <w:widowControl w:val="0"/>
        <w:tabs>
          <w:tab w:val="left" w:pos="0"/>
        </w:tabs>
        <w:rPr>
          <w:color w:val="000000"/>
          <w:sz w:val="22"/>
          <w:szCs w:val="22"/>
        </w:rPr>
      </w:pPr>
    </w:p>
    <w:p w14:paraId="45781A24" w14:textId="77777777" w:rsidR="003646A0" w:rsidRPr="00F93FFA" w:rsidRDefault="003646A0" w:rsidP="00DE16D0">
      <w:pPr>
        <w:widowControl w:val="0"/>
        <w:tabs>
          <w:tab w:val="left" w:pos="0"/>
        </w:tabs>
        <w:rPr>
          <w:color w:val="000000"/>
          <w:sz w:val="22"/>
          <w:szCs w:val="22"/>
        </w:rPr>
      </w:pPr>
      <w:r w:rsidRPr="00F93FFA">
        <w:rPr>
          <w:color w:val="000000"/>
          <w:sz w:val="22"/>
          <w:szCs w:val="22"/>
        </w:rPr>
        <w:t>1 lentelėje išvardintos nepageidaujamos reakcijos ir jų pasireiškimo dažnumas.</w:t>
      </w:r>
    </w:p>
    <w:p w14:paraId="2B8FA2FB" w14:textId="77777777" w:rsidR="003646A0" w:rsidRPr="00F93FFA" w:rsidRDefault="003646A0" w:rsidP="00DE16D0">
      <w:pPr>
        <w:widowControl w:val="0"/>
        <w:tabs>
          <w:tab w:val="left" w:pos="0"/>
        </w:tabs>
        <w:rPr>
          <w:color w:val="000000"/>
        </w:rPr>
      </w:pPr>
    </w:p>
    <w:p w14:paraId="406C5119" w14:textId="39479B0E" w:rsidR="003646A0" w:rsidRPr="00F93FFA" w:rsidRDefault="003646A0" w:rsidP="00DE16D0">
      <w:pPr>
        <w:keepNext/>
        <w:widowControl w:val="0"/>
        <w:tabs>
          <w:tab w:val="left" w:pos="0"/>
          <w:tab w:val="left" w:pos="1080"/>
        </w:tabs>
        <w:rPr>
          <w:b/>
          <w:bCs/>
          <w:color w:val="000000"/>
          <w:sz w:val="22"/>
          <w:szCs w:val="22"/>
        </w:rPr>
      </w:pPr>
      <w:r w:rsidRPr="00F93FFA">
        <w:rPr>
          <w:b/>
          <w:bCs/>
          <w:color w:val="000000"/>
          <w:sz w:val="22"/>
          <w:szCs w:val="22"/>
        </w:rPr>
        <w:t>1 lentelė</w:t>
      </w:r>
      <w:r w:rsidRPr="00F93FFA">
        <w:rPr>
          <w:b/>
          <w:bCs/>
          <w:color w:val="000000"/>
          <w:sz w:val="22"/>
          <w:szCs w:val="22"/>
        </w:rPr>
        <w:tab/>
      </w:r>
      <w:r w:rsidR="00B37845" w:rsidRPr="00F93FFA">
        <w:rPr>
          <w:b/>
          <w:bCs/>
          <w:color w:val="000000"/>
          <w:sz w:val="22"/>
          <w:szCs w:val="22"/>
        </w:rPr>
        <w:t>N</w:t>
      </w:r>
      <w:r w:rsidRPr="00F93FFA">
        <w:rPr>
          <w:b/>
          <w:bCs/>
          <w:color w:val="000000"/>
          <w:sz w:val="22"/>
          <w:szCs w:val="22"/>
        </w:rPr>
        <w:t>epageidaujam</w:t>
      </w:r>
      <w:r w:rsidR="00F66FFF" w:rsidRPr="00F93FFA">
        <w:rPr>
          <w:b/>
          <w:bCs/>
          <w:color w:val="000000"/>
          <w:sz w:val="22"/>
          <w:szCs w:val="22"/>
        </w:rPr>
        <w:t>ų</w:t>
      </w:r>
      <w:r w:rsidRPr="00F93FFA">
        <w:rPr>
          <w:b/>
          <w:bCs/>
          <w:color w:val="000000"/>
          <w:sz w:val="22"/>
          <w:szCs w:val="22"/>
        </w:rPr>
        <w:t xml:space="preserve"> reakcij</w:t>
      </w:r>
      <w:r w:rsidR="00F66FFF" w:rsidRPr="00F93FFA">
        <w:rPr>
          <w:b/>
          <w:bCs/>
          <w:color w:val="000000"/>
          <w:sz w:val="22"/>
          <w:szCs w:val="22"/>
        </w:rPr>
        <w:t>ų</w:t>
      </w:r>
      <w:r w:rsidR="00801D7B" w:rsidRPr="00F93FFA">
        <w:rPr>
          <w:b/>
          <w:bCs/>
          <w:color w:val="000000"/>
          <w:sz w:val="22"/>
          <w:szCs w:val="22"/>
        </w:rPr>
        <w:t xml:space="preserve"> santrauka</w:t>
      </w:r>
    </w:p>
    <w:p w14:paraId="167004BA" w14:textId="77777777" w:rsidR="003646A0" w:rsidRPr="00F93FFA" w:rsidRDefault="003646A0" w:rsidP="00DE16D0">
      <w:pPr>
        <w:keepNext/>
        <w:widowControl w:val="0"/>
        <w:tabs>
          <w:tab w:val="left" w:pos="0"/>
          <w:tab w:val="left" w:pos="1080"/>
        </w:tabs>
        <w:rPr>
          <w:color w:val="000000"/>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3646A0" w:rsidRPr="00F93FFA" w14:paraId="4AD5D0EB"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62720279" w14:textId="77777777" w:rsidR="003646A0" w:rsidRPr="00F93FFA" w:rsidRDefault="003646A0" w:rsidP="00DE16D0">
            <w:pPr>
              <w:keepNext/>
              <w:widowControl w:val="0"/>
              <w:tabs>
                <w:tab w:val="left" w:pos="567"/>
              </w:tabs>
              <w:rPr>
                <w:b/>
                <w:bCs/>
                <w:color w:val="000000"/>
                <w:sz w:val="22"/>
                <w:szCs w:val="22"/>
              </w:rPr>
            </w:pPr>
            <w:r w:rsidRPr="00F93FFA">
              <w:rPr>
                <w:b/>
                <w:bCs/>
                <w:color w:val="000000"/>
                <w:sz w:val="22"/>
                <w:szCs w:val="22"/>
              </w:rPr>
              <w:t>Infekcijos ir infestacijos</w:t>
            </w:r>
          </w:p>
        </w:tc>
      </w:tr>
      <w:tr w:rsidR="003646A0" w:rsidRPr="00F93FFA" w14:paraId="536E91FC"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7BCB5F8"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D9DA277"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Herpes zoster</w:t>
            </w:r>
            <w:r w:rsidRPr="00F93FFA">
              <w:rPr>
                <w:color w:val="000000"/>
                <w:sz w:val="22"/>
                <w:szCs w:val="22"/>
              </w:rPr>
              <w:t xml:space="preserve">, </w:t>
            </w:r>
            <w:r w:rsidRPr="00F93FFA">
              <w:rPr>
                <w:i/>
                <w:iCs/>
                <w:color w:val="000000"/>
                <w:sz w:val="22"/>
                <w:szCs w:val="22"/>
              </w:rPr>
              <w:t>herpes simplex</w:t>
            </w:r>
            <w:r w:rsidRPr="00F93FFA">
              <w:rPr>
                <w:color w:val="000000"/>
                <w:sz w:val="22"/>
                <w:szCs w:val="22"/>
              </w:rPr>
              <w:t>, nosiaryklės uždegimas, pneumonija</w:t>
            </w:r>
            <w:r w:rsidRPr="00F93FFA">
              <w:rPr>
                <w:color w:val="000000"/>
                <w:sz w:val="22"/>
                <w:szCs w:val="22"/>
                <w:vertAlign w:val="superscript"/>
              </w:rPr>
              <w:t>1</w:t>
            </w:r>
            <w:r w:rsidRPr="00F93FFA">
              <w:rPr>
                <w:color w:val="000000"/>
                <w:sz w:val="22"/>
                <w:szCs w:val="22"/>
              </w:rPr>
              <w:t>, sinusitas, puriojo ląstelyno uždegimas, viršutinių kvėpavimo takų infekcija, gripas, šlapimo takų infekcija, gastroenteritas, sepsis</w:t>
            </w:r>
          </w:p>
        </w:tc>
      </w:tr>
      <w:tr w:rsidR="003646A0" w:rsidRPr="00F93FFA" w14:paraId="094814DE"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3E359F8"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53FF6EBC"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Grybelinė infekcija</w:t>
            </w:r>
          </w:p>
        </w:tc>
      </w:tr>
      <w:tr w:rsidR="00A01420" w:rsidRPr="00F93FFA" w14:paraId="76C8E33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2D5531B6" w14:textId="77777777" w:rsidR="00A01420" w:rsidRPr="00F93FFA" w:rsidRDefault="00A01420" w:rsidP="00DE16D0">
            <w:pPr>
              <w:keepNext/>
              <w:widowControl w:val="0"/>
              <w:tabs>
                <w:tab w:val="left" w:pos="567"/>
              </w:tabs>
              <w:rPr>
                <w:i/>
                <w:iCs/>
                <w:color w:val="000000"/>
                <w:sz w:val="22"/>
                <w:szCs w:val="22"/>
              </w:rPr>
            </w:pPr>
            <w:r w:rsidRPr="00F93FFA">
              <w:rPr>
                <w:i/>
                <w:iCs/>
                <w:color w:val="000000"/>
                <w:sz w:val="22"/>
                <w:szCs w:val="22"/>
              </w:rPr>
              <w:t>Dažnis nežinomas:</w:t>
            </w:r>
          </w:p>
        </w:tc>
        <w:tc>
          <w:tcPr>
            <w:tcW w:w="7087" w:type="dxa"/>
            <w:tcBorders>
              <w:top w:val="single" w:sz="4" w:space="0" w:color="auto"/>
              <w:left w:val="single" w:sz="4" w:space="0" w:color="auto"/>
              <w:bottom w:val="single" w:sz="4" w:space="0" w:color="auto"/>
              <w:right w:val="single" w:sz="4" w:space="0" w:color="auto"/>
            </w:tcBorders>
          </w:tcPr>
          <w:p w14:paraId="3860DB46" w14:textId="77777777" w:rsidR="00A01420" w:rsidRPr="00F93FFA" w:rsidRDefault="00A01420" w:rsidP="00DE16D0">
            <w:pPr>
              <w:keepNext/>
              <w:widowControl w:val="0"/>
              <w:tabs>
                <w:tab w:val="left" w:pos="567"/>
              </w:tabs>
              <w:rPr>
                <w:color w:val="000000"/>
                <w:sz w:val="22"/>
                <w:szCs w:val="22"/>
              </w:rPr>
            </w:pPr>
            <w:r w:rsidRPr="00F93FFA">
              <w:rPr>
                <w:color w:val="000000"/>
                <w:sz w:val="22"/>
                <w:szCs w:val="22"/>
              </w:rPr>
              <w:t>Hepatito B reaktyvacija</w:t>
            </w:r>
            <w:r w:rsidR="00681300" w:rsidRPr="00F93FFA">
              <w:rPr>
                <w:color w:val="000000"/>
                <w:sz w:val="22"/>
                <w:szCs w:val="22"/>
                <w:lang w:val="en-GB"/>
              </w:rPr>
              <w:t>*</w:t>
            </w:r>
          </w:p>
        </w:tc>
      </w:tr>
      <w:tr w:rsidR="003646A0" w:rsidRPr="00F93FFA" w14:paraId="68C6549B"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13C0DC0B" w14:textId="77777777" w:rsidR="003646A0" w:rsidRPr="00F93FFA" w:rsidRDefault="003646A0" w:rsidP="00DE16D0">
            <w:pPr>
              <w:keepNext/>
              <w:widowControl w:val="0"/>
              <w:tabs>
                <w:tab w:val="left" w:pos="567"/>
              </w:tabs>
              <w:rPr>
                <w:b/>
                <w:color w:val="000000"/>
                <w:sz w:val="22"/>
                <w:szCs w:val="22"/>
              </w:rPr>
            </w:pPr>
            <w:r w:rsidRPr="00F93FFA">
              <w:rPr>
                <w:b/>
                <w:color w:val="000000"/>
                <w:sz w:val="22"/>
                <w:szCs w:val="22"/>
              </w:rPr>
              <w:t>Gerybiniai, piktybiniai ir nepatikslinti navikai (tarp jų cistos ir polipai)</w:t>
            </w:r>
          </w:p>
        </w:tc>
      </w:tr>
      <w:tr w:rsidR="003646A0" w:rsidRPr="00F93FFA" w14:paraId="514567EC"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BA8AA82"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30A1FBCB"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Auglio irimo sindromas</w:t>
            </w:r>
          </w:p>
        </w:tc>
      </w:tr>
      <w:tr w:rsidR="00BE4094" w:rsidRPr="00F93FFA" w14:paraId="21DEC044"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EB0A604" w14:textId="77777777" w:rsidR="00BE4094" w:rsidRPr="00F93FFA" w:rsidRDefault="00BE4094" w:rsidP="00DE16D0">
            <w:pPr>
              <w:widowControl w:val="0"/>
              <w:tabs>
                <w:tab w:val="left" w:pos="567"/>
              </w:tabs>
              <w:rPr>
                <w:i/>
                <w:iCs/>
                <w:color w:val="000000"/>
                <w:sz w:val="22"/>
                <w:szCs w:val="22"/>
              </w:rPr>
            </w:pPr>
            <w:r w:rsidRPr="00F93FFA">
              <w:rPr>
                <w:i/>
                <w:iCs/>
                <w:color w:val="000000"/>
                <w:sz w:val="22"/>
                <w:szCs w:val="22"/>
              </w:rPr>
              <w:t>Dažnis nežinomas:</w:t>
            </w:r>
          </w:p>
        </w:tc>
        <w:tc>
          <w:tcPr>
            <w:tcW w:w="7087" w:type="dxa"/>
            <w:tcBorders>
              <w:top w:val="single" w:sz="4" w:space="0" w:color="auto"/>
              <w:left w:val="single" w:sz="4" w:space="0" w:color="auto"/>
              <w:bottom w:val="single" w:sz="4" w:space="0" w:color="auto"/>
              <w:right w:val="single" w:sz="4" w:space="0" w:color="auto"/>
            </w:tcBorders>
          </w:tcPr>
          <w:p w14:paraId="09DDED21" w14:textId="77777777" w:rsidR="00BE4094" w:rsidRPr="00F93FFA" w:rsidRDefault="00BE4094" w:rsidP="00DE16D0">
            <w:pPr>
              <w:widowControl w:val="0"/>
              <w:tabs>
                <w:tab w:val="left" w:pos="567"/>
              </w:tabs>
              <w:rPr>
                <w:color w:val="000000"/>
                <w:sz w:val="22"/>
                <w:szCs w:val="22"/>
              </w:rPr>
            </w:pPr>
            <w:r w:rsidRPr="00F93FFA">
              <w:rPr>
                <w:color w:val="000000"/>
                <w:sz w:val="22"/>
                <w:szCs w:val="22"/>
              </w:rPr>
              <w:t>Naviko kraujosruva/naviko nekrozė</w:t>
            </w:r>
            <w:r w:rsidRPr="00F93FFA">
              <w:rPr>
                <w:color w:val="000000"/>
                <w:sz w:val="22"/>
                <w:szCs w:val="22"/>
                <w:lang w:val="en-GB"/>
              </w:rPr>
              <w:t>*</w:t>
            </w:r>
          </w:p>
        </w:tc>
      </w:tr>
      <w:tr w:rsidR="00B37845" w:rsidRPr="00F93FFA" w14:paraId="24B8E0AF" w14:textId="77777777" w:rsidTr="00DE16D0">
        <w:trPr>
          <w:cantSplit/>
        </w:trPr>
        <w:tc>
          <w:tcPr>
            <w:tcW w:w="9322" w:type="dxa"/>
            <w:gridSpan w:val="2"/>
          </w:tcPr>
          <w:p w14:paraId="7982A9CC" w14:textId="77777777" w:rsidR="00B37845" w:rsidRPr="00F93FFA" w:rsidRDefault="00B37845" w:rsidP="00DE16D0">
            <w:pPr>
              <w:keepNext/>
              <w:widowControl w:val="0"/>
              <w:rPr>
                <w:b/>
                <w:color w:val="000000"/>
                <w:sz w:val="22"/>
                <w:szCs w:val="22"/>
              </w:rPr>
            </w:pPr>
            <w:r w:rsidRPr="00F93FFA">
              <w:rPr>
                <w:b/>
                <w:color w:val="000000"/>
                <w:sz w:val="22"/>
                <w:szCs w:val="22"/>
                <w:lang w:val="en-US"/>
              </w:rPr>
              <w:t>Imuninės sistemos sutrikimai</w:t>
            </w:r>
          </w:p>
        </w:tc>
      </w:tr>
      <w:tr w:rsidR="00B37845" w:rsidRPr="00F93FFA" w14:paraId="30305CD2" w14:textId="77777777" w:rsidTr="00DE16D0">
        <w:trPr>
          <w:cantSplit/>
        </w:trPr>
        <w:tc>
          <w:tcPr>
            <w:tcW w:w="2235" w:type="dxa"/>
          </w:tcPr>
          <w:p w14:paraId="639070DD" w14:textId="77777777" w:rsidR="00B37845" w:rsidRPr="00F93FFA" w:rsidRDefault="00B37845" w:rsidP="00DE16D0">
            <w:pPr>
              <w:widowControl w:val="0"/>
              <w:rPr>
                <w:i/>
                <w:color w:val="000000"/>
                <w:sz w:val="22"/>
                <w:szCs w:val="22"/>
              </w:rPr>
            </w:pPr>
            <w:r w:rsidRPr="00F93FFA">
              <w:rPr>
                <w:i/>
                <w:iCs/>
                <w:color w:val="000000"/>
                <w:sz w:val="22"/>
                <w:szCs w:val="22"/>
              </w:rPr>
              <w:t>Dažnis nežinomas:</w:t>
            </w:r>
          </w:p>
        </w:tc>
        <w:tc>
          <w:tcPr>
            <w:tcW w:w="7087" w:type="dxa"/>
          </w:tcPr>
          <w:p w14:paraId="3746BF94" w14:textId="77777777" w:rsidR="00B37845" w:rsidRPr="00F93FFA" w:rsidRDefault="00B37845" w:rsidP="00DE16D0">
            <w:pPr>
              <w:widowControl w:val="0"/>
              <w:rPr>
                <w:color w:val="000000"/>
                <w:sz w:val="22"/>
                <w:szCs w:val="22"/>
              </w:rPr>
            </w:pPr>
            <w:r w:rsidRPr="00F93FFA">
              <w:rPr>
                <w:color w:val="000000"/>
                <w:sz w:val="22"/>
                <w:szCs w:val="22"/>
              </w:rPr>
              <w:t>Anafilaksinis šokas*</w:t>
            </w:r>
          </w:p>
        </w:tc>
      </w:tr>
      <w:tr w:rsidR="003646A0" w:rsidRPr="00F93FFA" w14:paraId="389593B1"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4A65A5C7"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Kraujo ir limfinės sistemos sutrikimai</w:t>
            </w:r>
          </w:p>
        </w:tc>
      </w:tr>
      <w:tr w:rsidR="003646A0" w:rsidRPr="00F93FFA" w14:paraId="4F5263B7"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D4FC351"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5804E858"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Neutropenija, trombocitopenija, anemija</w:t>
            </w:r>
          </w:p>
        </w:tc>
      </w:tr>
      <w:tr w:rsidR="003646A0" w:rsidRPr="00F93FFA" w14:paraId="688E6D1A"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26C844F7"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6C0A7744"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Pancitopenija, febrili neutropenija</w:t>
            </w:r>
          </w:p>
        </w:tc>
      </w:tr>
      <w:tr w:rsidR="003646A0" w:rsidRPr="00F93FFA" w14:paraId="18860445"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3AFC72F6"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01D30C28"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Trombocitopenija, limfocitopenija, kaulų čiulpų slopinimas, eozinofilija, limfodenopatija</w:t>
            </w:r>
          </w:p>
        </w:tc>
      </w:tr>
      <w:tr w:rsidR="003646A0" w:rsidRPr="00F93FFA" w14:paraId="0614CF95"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85E8536"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0D2957AA" w14:textId="77777777" w:rsidR="003646A0" w:rsidRPr="00F93FFA" w:rsidRDefault="003646A0" w:rsidP="00DE16D0">
            <w:pPr>
              <w:widowControl w:val="0"/>
              <w:tabs>
                <w:tab w:val="left" w:pos="567"/>
              </w:tabs>
              <w:rPr>
                <w:color w:val="000000"/>
                <w:sz w:val="22"/>
                <w:szCs w:val="22"/>
              </w:rPr>
            </w:pPr>
            <w:r w:rsidRPr="00F93FFA">
              <w:rPr>
                <w:color w:val="000000"/>
                <w:sz w:val="22"/>
                <w:szCs w:val="22"/>
              </w:rPr>
              <w:t>Hemolizinė anemija</w:t>
            </w:r>
            <w:r w:rsidR="002F02E0" w:rsidRPr="00F93FFA">
              <w:rPr>
                <w:color w:val="000000"/>
                <w:sz w:val="22"/>
                <w:szCs w:val="22"/>
              </w:rPr>
              <w:t>, trombinė mikroangiopatija</w:t>
            </w:r>
          </w:p>
        </w:tc>
      </w:tr>
      <w:tr w:rsidR="003646A0" w:rsidRPr="00F93FFA" w14:paraId="3BB29945"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676C2ACB"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Metabolizmo ir mitybos sutrikimai</w:t>
            </w:r>
          </w:p>
        </w:tc>
      </w:tr>
      <w:tr w:rsidR="003646A0" w:rsidRPr="00F93FFA" w14:paraId="4D93016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4DAEB8A5"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42EE5DD8"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Anoreksija</w:t>
            </w:r>
          </w:p>
        </w:tc>
      </w:tr>
      <w:tr w:rsidR="003646A0" w:rsidRPr="00F93FFA" w14:paraId="7E7B4A58"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BA8E53F"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396F50CB"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Hipokalemija, padidėjęs apetitas, hipofosfatemija, sumažėjęs apetitas, dehidracija, podagra, hiperurikemija, hiperkalcemija, hiperglikemija, hiponatremija</w:t>
            </w:r>
          </w:p>
        </w:tc>
      </w:tr>
      <w:tr w:rsidR="003646A0" w:rsidRPr="00F93FFA" w14:paraId="4D5E191D"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AE00090"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5E82720C" w14:textId="77777777" w:rsidR="003646A0" w:rsidRPr="00F93FFA" w:rsidRDefault="003646A0" w:rsidP="00DE16D0">
            <w:pPr>
              <w:widowControl w:val="0"/>
              <w:tabs>
                <w:tab w:val="left" w:pos="567"/>
              </w:tabs>
              <w:rPr>
                <w:color w:val="000000"/>
                <w:sz w:val="22"/>
                <w:szCs w:val="22"/>
              </w:rPr>
            </w:pPr>
            <w:r w:rsidRPr="00F93FFA">
              <w:rPr>
                <w:color w:val="000000"/>
                <w:sz w:val="22"/>
                <w:szCs w:val="22"/>
              </w:rPr>
              <w:t>Hiperkalemija, hipomagnemija</w:t>
            </w:r>
          </w:p>
        </w:tc>
      </w:tr>
      <w:tr w:rsidR="003646A0" w:rsidRPr="00F93FFA" w14:paraId="5E6D24E7"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2DF656D0"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lastRenderedPageBreak/>
              <w:t>Psichikos sutrikimai</w:t>
            </w:r>
          </w:p>
        </w:tc>
      </w:tr>
      <w:tr w:rsidR="003646A0" w:rsidRPr="00F93FFA" w14:paraId="2E898216"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C2DACBA"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1F482A3F"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Nemiga</w:t>
            </w:r>
          </w:p>
        </w:tc>
      </w:tr>
      <w:tr w:rsidR="003646A0" w:rsidRPr="00F93FFA" w14:paraId="15C7CE85"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C505F9B"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270A070"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Depresija, sumažėjęs lytinis potraukis, nerimas</w:t>
            </w:r>
          </w:p>
        </w:tc>
      </w:tr>
      <w:tr w:rsidR="003646A0" w:rsidRPr="00F93FFA" w14:paraId="0C04A0AF"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2D4A7206"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1C052261" w14:textId="77777777" w:rsidR="003646A0" w:rsidRPr="00F93FFA" w:rsidRDefault="003646A0" w:rsidP="00DE16D0">
            <w:pPr>
              <w:widowControl w:val="0"/>
              <w:tabs>
                <w:tab w:val="left" w:pos="567"/>
              </w:tabs>
              <w:rPr>
                <w:color w:val="000000"/>
                <w:sz w:val="22"/>
                <w:szCs w:val="22"/>
              </w:rPr>
            </w:pPr>
            <w:r w:rsidRPr="00F93FFA">
              <w:rPr>
                <w:color w:val="000000"/>
                <w:sz w:val="22"/>
                <w:szCs w:val="22"/>
              </w:rPr>
              <w:t>Sumišimo būklė</w:t>
            </w:r>
          </w:p>
        </w:tc>
      </w:tr>
      <w:tr w:rsidR="003646A0" w:rsidRPr="00F93FFA" w14:paraId="78D20103"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28950AF4"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Nervų sistemos sutrikimai</w:t>
            </w:r>
          </w:p>
        </w:tc>
      </w:tr>
      <w:tr w:rsidR="003646A0" w:rsidRPr="00F93FFA" w14:paraId="60CF82D9"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2B7DD025"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14A6DF41"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Galvos skausmas</w:t>
            </w:r>
            <w:r w:rsidRPr="00F93FFA">
              <w:rPr>
                <w:color w:val="000000"/>
                <w:sz w:val="22"/>
                <w:szCs w:val="22"/>
                <w:vertAlign w:val="superscript"/>
              </w:rPr>
              <w:t>2</w:t>
            </w:r>
          </w:p>
        </w:tc>
      </w:tr>
      <w:tr w:rsidR="003646A0" w:rsidRPr="00F93FFA" w14:paraId="199B2FFF"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3DBAE8E"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6DC42A64"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Galvos svaigimas, parestezija, sutrikęs skonio jutimas, hipoestezija</w:t>
            </w:r>
          </w:p>
        </w:tc>
      </w:tr>
      <w:tr w:rsidR="003646A0" w:rsidRPr="00F93FFA" w14:paraId="779956CF"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18D123D"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C01AEBD"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Migrena, mieguistumas, sinkopė, periferinė neuropatija, atminties sutrikimai, išialgija, neramių kojų sindromas, tremoras, smegenų kraujosruvos</w:t>
            </w:r>
          </w:p>
        </w:tc>
      </w:tr>
      <w:tr w:rsidR="003646A0" w:rsidRPr="00F93FFA" w14:paraId="2E250836"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0A42E59"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4592DC95"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Padidėjęs intrakranijinis spaudimas, traukuliai, regos nervo uždegimas</w:t>
            </w:r>
          </w:p>
        </w:tc>
      </w:tr>
      <w:tr w:rsidR="00FD5D2B" w:rsidRPr="00F93FFA" w14:paraId="32F23D64" w14:textId="77777777" w:rsidTr="00DE16D0">
        <w:trPr>
          <w:cantSplit/>
        </w:trPr>
        <w:tc>
          <w:tcPr>
            <w:tcW w:w="2235" w:type="dxa"/>
          </w:tcPr>
          <w:p w14:paraId="5DB8CF6A" w14:textId="77777777" w:rsidR="00FD5D2B" w:rsidRPr="00F93FFA" w:rsidRDefault="00FD5D2B" w:rsidP="00DE16D0">
            <w:pPr>
              <w:widowControl w:val="0"/>
              <w:rPr>
                <w:i/>
                <w:color w:val="000000"/>
                <w:sz w:val="22"/>
                <w:szCs w:val="22"/>
              </w:rPr>
            </w:pPr>
            <w:r w:rsidRPr="00F93FFA">
              <w:rPr>
                <w:i/>
                <w:iCs/>
                <w:color w:val="000000"/>
                <w:sz w:val="22"/>
                <w:szCs w:val="22"/>
              </w:rPr>
              <w:t>Dažnis nežinomas:</w:t>
            </w:r>
          </w:p>
        </w:tc>
        <w:tc>
          <w:tcPr>
            <w:tcW w:w="7087" w:type="dxa"/>
          </w:tcPr>
          <w:p w14:paraId="15FA0082" w14:textId="77777777" w:rsidR="00FD5D2B" w:rsidRPr="00F93FFA" w:rsidRDefault="00FD5D2B" w:rsidP="00DE16D0">
            <w:pPr>
              <w:widowControl w:val="0"/>
              <w:rPr>
                <w:color w:val="000000"/>
                <w:sz w:val="22"/>
                <w:szCs w:val="22"/>
              </w:rPr>
            </w:pPr>
            <w:r w:rsidRPr="00F93FFA">
              <w:rPr>
                <w:color w:val="000000"/>
                <w:sz w:val="22"/>
                <w:szCs w:val="22"/>
              </w:rPr>
              <w:t>Smegenų edema*</w:t>
            </w:r>
          </w:p>
        </w:tc>
      </w:tr>
      <w:tr w:rsidR="003646A0" w:rsidRPr="00F93FFA" w14:paraId="6CAB2EC5"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1229E7B8"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Akių sutrikimai</w:t>
            </w:r>
          </w:p>
        </w:tc>
      </w:tr>
      <w:tr w:rsidR="003646A0" w:rsidRPr="00F93FFA" w14:paraId="42809B6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E2E2CDB"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4C7BBFF9"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Akių vokų edema, padidėjęs ašarojimas, junginės kraujosruvos, konjunktyvitas, akių sausmė, neryškus matymas</w:t>
            </w:r>
          </w:p>
        </w:tc>
      </w:tr>
      <w:tr w:rsidR="003646A0" w:rsidRPr="00F93FFA" w14:paraId="02C24435"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AD5D5F7"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587E5CFD"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Akių dirginimas, akių skausmas, akiduobės edema, odenos kraujosruvos, tinklainės kraujosruvos, blefaritas, geltonosios dėmės edema</w:t>
            </w:r>
          </w:p>
        </w:tc>
      </w:tr>
      <w:tr w:rsidR="003646A0" w:rsidRPr="00F93FFA" w14:paraId="78E7C8C8"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1BF671D"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56E3B6C7"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Katarakta, glaukoma, regos nervo disko edema</w:t>
            </w:r>
          </w:p>
        </w:tc>
      </w:tr>
      <w:tr w:rsidR="00B85874" w:rsidRPr="00F93FFA" w14:paraId="3F471AB1" w14:textId="77777777" w:rsidTr="00DE16D0">
        <w:trPr>
          <w:cantSplit/>
        </w:trPr>
        <w:tc>
          <w:tcPr>
            <w:tcW w:w="2235" w:type="dxa"/>
          </w:tcPr>
          <w:p w14:paraId="6F0E8E59" w14:textId="77777777" w:rsidR="00B85874" w:rsidRPr="00F93FFA" w:rsidRDefault="00B85874" w:rsidP="00DE16D0">
            <w:pPr>
              <w:widowControl w:val="0"/>
              <w:rPr>
                <w:i/>
                <w:color w:val="000000"/>
                <w:sz w:val="22"/>
                <w:szCs w:val="22"/>
              </w:rPr>
            </w:pPr>
            <w:r w:rsidRPr="00F93FFA">
              <w:rPr>
                <w:i/>
                <w:iCs/>
                <w:color w:val="000000"/>
                <w:sz w:val="22"/>
                <w:szCs w:val="22"/>
              </w:rPr>
              <w:t>Dažnis nežinomas:</w:t>
            </w:r>
          </w:p>
        </w:tc>
        <w:tc>
          <w:tcPr>
            <w:tcW w:w="7087" w:type="dxa"/>
          </w:tcPr>
          <w:p w14:paraId="1C77E98A" w14:textId="77777777" w:rsidR="00B85874" w:rsidRPr="00F93FFA" w:rsidRDefault="00B85874" w:rsidP="00DE16D0">
            <w:pPr>
              <w:widowControl w:val="0"/>
              <w:rPr>
                <w:color w:val="000000"/>
                <w:sz w:val="22"/>
                <w:szCs w:val="22"/>
              </w:rPr>
            </w:pPr>
            <w:r w:rsidRPr="00F93FFA">
              <w:rPr>
                <w:color w:val="000000"/>
                <w:sz w:val="22"/>
                <w:szCs w:val="22"/>
              </w:rPr>
              <w:t>Stiklakūnio kraujosruva*</w:t>
            </w:r>
          </w:p>
        </w:tc>
      </w:tr>
      <w:tr w:rsidR="003646A0" w:rsidRPr="00F93FFA" w14:paraId="6094C40E"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25D7BDB0"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Ausų ir labirintų sutrikimai</w:t>
            </w:r>
          </w:p>
        </w:tc>
      </w:tr>
      <w:tr w:rsidR="003646A0" w:rsidRPr="00F93FFA" w14:paraId="000DAE5B"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463232FD"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0EDAEEF4" w14:textId="77777777" w:rsidR="003646A0" w:rsidRPr="00F93FFA" w:rsidRDefault="003646A0" w:rsidP="00DE16D0">
            <w:pPr>
              <w:widowControl w:val="0"/>
              <w:tabs>
                <w:tab w:val="left" w:pos="567"/>
              </w:tabs>
              <w:rPr>
                <w:color w:val="000000"/>
                <w:sz w:val="22"/>
                <w:szCs w:val="22"/>
              </w:rPr>
            </w:pPr>
            <w:r w:rsidRPr="00F93FFA">
              <w:rPr>
                <w:color w:val="000000"/>
                <w:sz w:val="22"/>
                <w:szCs w:val="22"/>
              </w:rPr>
              <w:t>Svaigulys, ūžimas ausyse, apkurtimas</w:t>
            </w:r>
          </w:p>
        </w:tc>
      </w:tr>
      <w:tr w:rsidR="003646A0" w:rsidRPr="00F93FFA" w14:paraId="5436E398"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27E696E0"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Širdies sutrikimai</w:t>
            </w:r>
          </w:p>
        </w:tc>
      </w:tr>
      <w:tr w:rsidR="003646A0" w:rsidRPr="00F93FFA" w14:paraId="1C7B8A9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8C62BFD"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59266B8"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Stiprus ir greitas širdies plakimas, tachikardija, stazinis širdies nepakankamumas</w:t>
            </w:r>
            <w:r w:rsidRPr="00F93FFA">
              <w:rPr>
                <w:color w:val="000000"/>
                <w:sz w:val="22"/>
                <w:szCs w:val="22"/>
                <w:vertAlign w:val="superscript"/>
              </w:rPr>
              <w:t>3</w:t>
            </w:r>
            <w:r w:rsidRPr="00F93FFA">
              <w:rPr>
                <w:color w:val="000000"/>
                <w:sz w:val="22"/>
                <w:szCs w:val="22"/>
              </w:rPr>
              <w:t>, plaučių edema</w:t>
            </w:r>
          </w:p>
        </w:tc>
      </w:tr>
      <w:tr w:rsidR="003646A0" w:rsidRPr="00F93FFA" w14:paraId="69DEC401"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4A7FC1D4"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223BC419"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Aritmija, prieširdžių virpėjimas, širdies sustojimas, miokardo infarktas, krūtinės angina, skystis perikarde</w:t>
            </w:r>
          </w:p>
        </w:tc>
      </w:tr>
      <w:tr w:rsidR="00B85874" w:rsidRPr="00F93FFA" w14:paraId="65AA5414" w14:textId="77777777" w:rsidTr="00DE16D0">
        <w:trPr>
          <w:cantSplit/>
        </w:trPr>
        <w:tc>
          <w:tcPr>
            <w:tcW w:w="2235" w:type="dxa"/>
          </w:tcPr>
          <w:p w14:paraId="22123ACC" w14:textId="77777777" w:rsidR="00B85874" w:rsidRPr="00F93FFA" w:rsidRDefault="00B85874" w:rsidP="00DE16D0">
            <w:pPr>
              <w:widowControl w:val="0"/>
              <w:rPr>
                <w:i/>
                <w:color w:val="000000"/>
                <w:sz w:val="22"/>
                <w:szCs w:val="22"/>
              </w:rPr>
            </w:pPr>
            <w:r w:rsidRPr="00F93FFA">
              <w:rPr>
                <w:i/>
                <w:iCs/>
                <w:color w:val="000000"/>
                <w:sz w:val="22"/>
                <w:szCs w:val="22"/>
              </w:rPr>
              <w:t>Dažnis nežinomas:</w:t>
            </w:r>
          </w:p>
        </w:tc>
        <w:tc>
          <w:tcPr>
            <w:tcW w:w="7087" w:type="dxa"/>
          </w:tcPr>
          <w:p w14:paraId="3066752F" w14:textId="77777777" w:rsidR="00B85874" w:rsidRPr="00F93FFA" w:rsidRDefault="00B85874" w:rsidP="00DE16D0">
            <w:pPr>
              <w:widowControl w:val="0"/>
              <w:rPr>
                <w:color w:val="000000"/>
                <w:sz w:val="22"/>
                <w:szCs w:val="22"/>
                <w:lang w:val="es-ES"/>
              </w:rPr>
            </w:pPr>
            <w:r w:rsidRPr="00F93FFA">
              <w:rPr>
                <w:color w:val="000000"/>
                <w:sz w:val="22"/>
                <w:szCs w:val="22"/>
                <w:lang w:val="es-ES"/>
              </w:rPr>
              <w:t>Perikarditas</w:t>
            </w:r>
            <w:r w:rsidRPr="00F93FFA">
              <w:rPr>
                <w:color w:val="000000"/>
                <w:sz w:val="22"/>
                <w:szCs w:val="22"/>
              </w:rPr>
              <w:t xml:space="preserve">*, </w:t>
            </w:r>
            <w:r w:rsidRPr="00F93FFA">
              <w:rPr>
                <w:color w:val="000000"/>
                <w:sz w:val="22"/>
                <w:szCs w:val="22"/>
                <w:lang w:val="es-ES"/>
              </w:rPr>
              <w:t>širdies tamponada</w:t>
            </w:r>
            <w:r w:rsidRPr="00F93FFA">
              <w:rPr>
                <w:color w:val="000000"/>
                <w:sz w:val="22"/>
                <w:szCs w:val="22"/>
              </w:rPr>
              <w:t>*</w:t>
            </w:r>
          </w:p>
        </w:tc>
      </w:tr>
      <w:tr w:rsidR="003646A0" w:rsidRPr="00F93FFA" w14:paraId="0BFBE1A0"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52687275"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Kraujagyslių sutrikimai</w:t>
            </w:r>
            <w:r w:rsidRPr="00F93FFA">
              <w:rPr>
                <w:b/>
                <w:color w:val="000000"/>
                <w:sz w:val="22"/>
                <w:szCs w:val="22"/>
                <w:vertAlign w:val="superscript"/>
              </w:rPr>
              <w:t>4</w:t>
            </w:r>
          </w:p>
        </w:tc>
      </w:tr>
      <w:tr w:rsidR="003646A0" w:rsidRPr="00F93FFA" w14:paraId="7EEDF2E7"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90B78E9"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282A6EEB"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Raudonis, hemoragija</w:t>
            </w:r>
          </w:p>
        </w:tc>
      </w:tr>
      <w:tr w:rsidR="003646A0" w:rsidRPr="00F93FFA" w14:paraId="42318893"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98C7757"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CCAFBFA"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Hipertenzija, hematoma, subdurinė hematoma, periferinis šalimas, hipotenzija, Reino fenomenas</w:t>
            </w:r>
          </w:p>
        </w:tc>
      </w:tr>
      <w:tr w:rsidR="00B85874" w:rsidRPr="00F93FFA" w:rsidDel="00655175" w14:paraId="5631DDD0" w14:textId="77777777" w:rsidTr="00DE16D0">
        <w:trPr>
          <w:cantSplit/>
        </w:trPr>
        <w:tc>
          <w:tcPr>
            <w:tcW w:w="2235" w:type="dxa"/>
          </w:tcPr>
          <w:p w14:paraId="015158D5" w14:textId="77777777" w:rsidR="00B85874" w:rsidRPr="00F93FFA" w:rsidRDefault="00B85874" w:rsidP="00DE16D0">
            <w:pPr>
              <w:widowControl w:val="0"/>
              <w:rPr>
                <w:i/>
                <w:color w:val="000000"/>
                <w:sz w:val="22"/>
                <w:szCs w:val="22"/>
              </w:rPr>
            </w:pPr>
            <w:r w:rsidRPr="00F93FFA">
              <w:rPr>
                <w:i/>
                <w:iCs/>
                <w:color w:val="000000"/>
                <w:sz w:val="22"/>
                <w:szCs w:val="22"/>
              </w:rPr>
              <w:t>Dažnis nežinomas:</w:t>
            </w:r>
          </w:p>
        </w:tc>
        <w:tc>
          <w:tcPr>
            <w:tcW w:w="7087" w:type="dxa"/>
          </w:tcPr>
          <w:p w14:paraId="28C9864C" w14:textId="77777777" w:rsidR="00B85874" w:rsidRPr="00F93FFA" w:rsidRDefault="00B85874" w:rsidP="00DE16D0">
            <w:pPr>
              <w:widowControl w:val="0"/>
              <w:rPr>
                <w:color w:val="000000"/>
                <w:sz w:val="22"/>
                <w:szCs w:val="22"/>
              </w:rPr>
            </w:pPr>
            <w:r w:rsidRPr="00F93FFA">
              <w:rPr>
                <w:color w:val="000000"/>
                <w:sz w:val="22"/>
                <w:szCs w:val="22"/>
                <w:lang w:val="en-US"/>
              </w:rPr>
              <w:t>Trombozė</w:t>
            </w:r>
            <w:r w:rsidRPr="00F93FFA">
              <w:rPr>
                <w:color w:val="000000"/>
                <w:sz w:val="22"/>
                <w:szCs w:val="22"/>
              </w:rPr>
              <w:t>/</w:t>
            </w:r>
            <w:r w:rsidRPr="00F93FFA">
              <w:rPr>
                <w:color w:val="000000"/>
                <w:sz w:val="22"/>
                <w:szCs w:val="22"/>
                <w:lang w:val="en-US"/>
              </w:rPr>
              <w:t>embolija</w:t>
            </w:r>
            <w:r w:rsidRPr="00F93FFA">
              <w:rPr>
                <w:color w:val="000000"/>
                <w:sz w:val="22"/>
                <w:szCs w:val="22"/>
              </w:rPr>
              <w:t>*</w:t>
            </w:r>
          </w:p>
        </w:tc>
      </w:tr>
      <w:tr w:rsidR="003646A0" w:rsidRPr="00F93FFA" w14:paraId="6351452D"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52174F7D"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Kvėpavimo sistemos, krūtinės ląstos ir tarpuplaučio sutrikimai</w:t>
            </w:r>
          </w:p>
        </w:tc>
      </w:tr>
      <w:tr w:rsidR="003646A0" w:rsidRPr="00F93FFA" w14:paraId="4CBCCC89"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3FD7B639"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5176919B"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Dusulys, kraujavimas iš nosies, kosulys</w:t>
            </w:r>
          </w:p>
        </w:tc>
      </w:tr>
      <w:tr w:rsidR="003646A0" w:rsidRPr="00F93FFA" w14:paraId="3C64502A"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1FF8CD3"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3CA2117"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Skystis pleuros ertmėje</w:t>
            </w:r>
            <w:r w:rsidRPr="00F93FFA">
              <w:rPr>
                <w:color w:val="000000"/>
                <w:sz w:val="22"/>
                <w:szCs w:val="22"/>
                <w:vertAlign w:val="superscript"/>
              </w:rPr>
              <w:t>5</w:t>
            </w:r>
            <w:r w:rsidRPr="00F93FFA">
              <w:rPr>
                <w:color w:val="000000"/>
                <w:sz w:val="22"/>
                <w:szCs w:val="22"/>
              </w:rPr>
              <w:t>, ryklės ir gerklų skausmas, faringitas</w:t>
            </w:r>
          </w:p>
        </w:tc>
      </w:tr>
      <w:tr w:rsidR="003646A0" w:rsidRPr="00F93FFA" w14:paraId="7AB1D8F0"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F643FCF"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3F0DF42"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Pleuritinis skausmas, plaučių fibrozė, plaučių hipertenzija, kraujavimas iš plaučių</w:t>
            </w:r>
          </w:p>
        </w:tc>
      </w:tr>
      <w:tr w:rsidR="00B85874" w:rsidRPr="00F93FFA" w14:paraId="66D272BB" w14:textId="77777777" w:rsidTr="00DE16D0">
        <w:trPr>
          <w:cantSplit/>
        </w:trPr>
        <w:tc>
          <w:tcPr>
            <w:tcW w:w="2235" w:type="dxa"/>
          </w:tcPr>
          <w:p w14:paraId="13DC7A08" w14:textId="77777777" w:rsidR="00B85874" w:rsidRPr="00F93FFA" w:rsidRDefault="00B85874" w:rsidP="00DE16D0">
            <w:pPr>
              <w:widowControl w:val="0"/>
              <w:rPr>
                <w:i/>
                <w:color w:val="000000"/>
                <w:sz w:val="22"/>
                <w:szCs w:val="22"/>
              </w:rPr>
            </w:pPr>
            <w:r w:rsidRPr="00F93FFA">
              <w:rPr>
                <w:i/>
                <w:iCs/>
                <w:color w:val="000000"/>
                <w:sz w:val="22"/>
                <w:szCs w:val="22"/>
              </w:rPr>
              <w:t>Dažnis nežinomas:</w:t>
            </w:r>
          </w:p>
        </w:tc>
        <w:tc>
          <w:tcPr>
            <w:tcW w:w="7087" w:type="dxa"/>
          </w:tcPr>
          <w:p w14:paraId="0C424EB7" w14:textId="77777777" w:rsidR="00B85874" w:rsidRPr="00F93FFA" w:rsidRDefault="00B85874" w:rsidP="00DE16D0">
            <w:pPr>
              <w:widowControl w:val="0"/>
              <w:rPr>
                <w:color w:val="000000"/>
                <w:sz w:val="22"/>
                <w:szCs w:val="22"/>
              </w:rPr>
            </w:pPr>
            <w:r w:rsidRPr="00F93FFA">
              <w:rPr>
                <w:color w:val="000000"/>
                <w:sz w:val="22"/>
                <w:szCs w:val="22"/>
              </w:rPr>
              <w:t>Ūm</w:t>
            </w:r>
            <w:r w:rsidR="001A7349" w:rsidRPr="00F93FFA">
              <w:rPr>
                <w:color w:val="000000"/>
                <w:sz w:val="22"/>
                <w:szCs w:val="22"/>
              </w:rPr>
              <w:t>ini</w:t>
            </w:r>
            <w:r w:rsidRPr="00F93FFA">
              <w:rPr>
                <w:color w:val="000000"/>
                <w:sz w:val="22"/>
                <w:szCs w:val="22"/>
              </w:rPr>
              <w:t>s kvėpavimo nepakankamumas</w:t>
            </w:r>
            <w:r w:rsidRPr="00F93FFA">
              <w:rPr>
                <w:color w:val="000000"/>
                <w:sz w:val="22"/>
                <w:szCs w:val="22"/>
                <w:vertAlign w:val="superscript"/>
              </w:rPr>
              <w:t>1</w:t>
            </w:r>
            <w:r w:rsidR="008F5C1A" w:rsidRPr="00F93FFA">
              <w:rPr>
                <w:color w:val="000000"/>
                <w:sz w:val="22"/>
                <w:szCs w:val="22"/>
                <w:vertAlign w:val="superscript"/>
              </w:rPr>
              <w:t>1</w:t>
            </w:r>
            <w:r w:rsidRPr="00F93FFA">
              <w:rPr>
                <w:color w:val="000000"/>
                <w:sz w:val="22"/>
                <w:szCs w:val="22"/>
              </w:rPr>
              <w:t>*, intersticinė plaučių lig</w:t>
            </w:r>
            <w:r w:rsidR="001A7349" w:rsidRPr="00F93FFA">
              <w:rPr>
                <w:color w:val="000000"/>
                <w:sz w:val="22"/>
                <w:szCs w:val="22"/>
              </w:rPr>
              <w:t>a</w:t>
            </w:r>
            <w:r w:rsidRPr="00F93FFA">
              <w:rPr>
                <w:color w:val="000000"/>
                <w:sz w:val="22"/>
                <w:szCs w:val="22"/>
              </w:rPr>
              <w:t>*</w:t>
            </w:r>
          </w:p>
        </w:tc>
      </w:tr>
      <w:tr w:rsidR="003646A0" w:rsidRPr="00F93FFA" w14:paraId="372041F1"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32886F3D"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Virškinimo trakto sutrikimai</w:t>
            </w:r>
          </w:p>
        </w:tc>
      </w:tr>
      <w:tr w:rsidR="003646A0" w:rsidRPr="00F93FFA" w14:paraId="552BD7D8"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B8E78AA"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53B801DA"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Pykinimas, viduriavimas, vėmimas, dispepsija, pilvo skausmas</w:t>
            </w:r>
            <w:r w:rsidRPr="00F93FFA">
              <w:rPr>
                <w:color w:val="000000"/>
                <w:sz w:val="22"/>
                <w:szCs w:val="22"/>
                <w:vertAlign w:val="superscript"/>
              </w:rPr>
              <w:t>6</w:t>
            </w:r>
          </w:p>
        </w:tc>
      </w:tr>
      <w:tr w:rsidR="003646A0" w:rsidRPr="00F93FFA" w14:paraId="41801233"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E045688"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577869CF"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Dujų susikaupimas žarnyne, pilvo pūtimas, gastroezofaginis refliuksas, vidurių užkietėjimas, burnos džiūvimas, gastritas</w:t>
            </w:r>
          </w:p>
        </w:tc>
      </w:tr>
      <w:tr w:rsidR="003646A0" w:rsidRPr="00F93FFA" w14:paraId="5C6A561E"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9470CDC"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5C5480F"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Stomatitas, burnos išopėjimas, kraujavimas iš virškinimo trakto</w:t>
            </w:r>
            <w:r w:rsidRPr="00F93FFA">
              <w:rPr>
                <w:color w:val="000000"/>
                <w:sz w:val="22"/>
                <w:szCs w:val="22"/>
                <w:vertAlign w:val="superscript"/>
              </w:rPr>
              <w:t>7</w:t>
            </w:r>
            <w:r w:rsidRPr="00F93FFA">
              <w:rPr>
                <w:color w:val="000000"/>
                <w:sz w:val="22"/>
                <w:szCs w:val="22"/>
              </w:rPr>
              <w:t>, raugulys, melena, ezofagitas, ascitas, skrandžio opa, hematemezė, lūpos uždegimas, disfagija, pankreatitas</w:t>
            </w:r>
          </w:p>
        </w:tc>
      </w:tr>
      <w:tr w:rsidR="003646A0" w:rsidRPr="00F93FFA" w14:paraId="041F6A7E"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676A199"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40226F94"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Kolitas, žarnų nepraeinamumas, uždegiminė žarnų liga</w:t>
            </w:r>
          </w:p>
        </w:tc>
      </w:tr>
      <w:tr w:rsidR="001A7349" w:rsidRPr="00F93FFA" w14:paraId="1686839E" w14:textId="77777777" w:rsidTr="00DE16D0">
        <w:trPr>
          <w:cantSplit/>
        </w:trPr>
        <w:tc>
          <w:tcPr>
            <w:tcW w:w="2235" w:type="dxa"/>
          </w:tcPr>
          <w:p w14:paraId="44452290" w14:textId="77777777" w:rsidR="001A7349" w:rsidRPr="00F93FFA" w:rsidRDefault="001A7349" w:rsidP="00DE16D0">
            <w:pPr>
              <w:widowControl w:val="0"/>
              <w:rPr>
                <w:i/>
                <w:color w:val="000000"/>
                <w:sz w:val="22"/>
                <w:szCs w:val="22"/>
              </w:rPr>
            </w:pPr>
            <w:r w:rsidRPr="00F93FFA">
              <w:rPr>
                <w:i/>
                <w:iCs/>
                <w:color w:val="000000"/>
                <w:sz w:val="22"/>
                <w:szCs w:val="22"/>
              </w:rPr>
              <w:t>Dažnis nežinomas:</w:t>
            </w:r>
          </w:p>
        </w:tc>
        <w:tc>
          <w:tcPr>
            <w:tcW w:w="7087" w:type="dxa"/>
          </w:tcPr>
          <w:p w14:paraId="2B4BD065" w14:textId="77777777" w:rsidR="001A7349" w:rsidRPr="00F93FFA" w:rsidRDefault="002A12C3" w:rsidP="00DE16D0">
            <w:pPr>
              <w:widowControl w:val="0"/>
              <w:rPr>
                <w:color w:val="000000"/>
                <w:sz w:val="22"/>
                <w:szCs w:val="22"/>
              </w:rPr>
            </w:pPr>
            <w:r w:rsidRPr="00F93FFA">
              <w:rPr>
                <w:color w:val="000000"/>
                <w:sz w:val="22"/>
                <w:szCs w:val="22"/>
              </w:rPr>
              <w:t>Ž</w:t>
            </w:r>
            <w:r w:rsidR="001A7349" w:rsidRPr="00F93FFA">
              <w:rPr>
                <w:color w:val="000000"/>
                <w:sz w:val="22"/>
                <w:szCs w:val="22"/>
              </w:rPr>
              <w:t>arnų nepraeinamumas/</w:t>
            </w:r>
            <w:r w:rsidR="008559A5" w:rsidRPr="00F93FFA">
              <w:rPr>
                <w:color w:val="000000"/>
                <w:sz w:val="22"/>
                <w:szCs w:val="22"/>
              </w:rPr>
              <w:t>žarnų obstrukcija</w:t>
            </w:r>
            <w:r w:rsidR="00BE4094" w:rsidRPr="00F93FFA">
              <w:rPr>
                <w:color w:val="000000"/>
                <w:sz w:val="22"/>
                <w:szCs w:val="22"/>
              </w:rPr>
              <w:t>*</w:t>
            </w:r>
            <w:r w:rsidR="001A7349" w:rsidRPr="00F93FFA">
              <w:rPr>
                <w:color w:val="000000"/>
                <w:sz w:val="22"/>
                <w:szCs w:val="22"/>
              </w:rPr>
              <w:t>, virškinimo trakto perforacija*</w:t>
            </w:r>
            <w:r w:rsidR="001A7349" w:rsidRPr="00F93FFA">
              <w:rPr>
                <w:snapToGrid w:val="0"/>
                <w:color w:val="000000"/>
                <w:sz w:val="22"/>
                <w:szCs w:val="22"/>
              </w:rPr>
              <w:t xml:space="preserve">, divertikulitas*, </w:t>
            </w:r>
            <w:r w:rsidRPr="00F93FFA">
              <w:rPr>
                <w:snapToGrid w:val="0"/>
                <w:color w:val="000000"/>
                <w:sz w:val="22"/>
                <w:szCs w:val="22"/>
              </w:rPr>
              <w:t>prievarčio kraujagyslių išsiplėtimas (GAVE)</w:t>
            </w:r>
            <w:r w:rsidR="001A7349" w:rsidRPr="00F93FFA">
              <w:rPr>
                <w:snapToGrid w:val="0"/>
                <w:color w:val="000000"/>
                <w:sz w:val="22"/>
                <w:szCs w:val="22"/>
              </w:rPr>
              <w:t>*</w:t>
            </w:r>
          </w:p>
        </w:tc>
      </w:tr>
      <w:tr w:rsidR="003646A0" w:rsidRPr="00F93FFA" w14:paraId="19F612AB"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4173FE78"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Kepenų, tulžies pūslės ir latakų sutrikimai</w:t>
            </w:r>
          </w:p>
        </w:tc>
      </w:tr>
      <w:tr w:rsidR="003646A0" w:rsidRPr="00F93FFA" w14:paraId="6C06D50B"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036F221"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26F3A4D2"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Padidėjusi kepenų fermentų koncentracija</w:t>
            </w:r>
          </w:p>
        </w:tc>
      </w:tr>
      <w:tr w:rsidR="003646A0" w:rsidRPr="00F93FFA" w14:paraId="1F5AD3C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D27EF25"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00E4ADC"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Hiperbilirubinemija, hepatitas, gelta</w:t>
            </w:r>
          </w:p>
        </w:tc>
      </w:tr>
      <w:tr w:rsidR="003646A0" w:rsidRPr="00F93FFA" w14:paraId="1D65DCFE"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A7A7A49"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47B2474B" w14:textId="77777777" w:rsidR="003646A0" w:rsidRPr="00F93FFA" w:rsidRDefault="003646A0" w:rsidP="00DE16D0">
            <w:pPr>
              <w:widowControl w:val="0"/>
              <w:tabs>
                <w:tab w:val="left" w:pos="567"/>
              </w:tabs>
              <w:rPr>
                <w:color w:val="000000"/>
                <w:sz w:val="22"/>
                <w:szCs w:val="22"/>
              </w:rPr>
            </w:pPr>
            <w:r w:rsidRPr="00F93FFA">
              <w:rPr>
                <w:color w:val="000000"/>
                <w:sz w:val="22"/>
                <w:szCs w:val="22"/>
              </w:rPr>
              <w:t>Kepenų nepakankamumas</w:t>
            </w:r>
            <w:r w:rsidRPr="00F93FFA">
              <w:rPr>
                <w:color w:val="000000"/>
                <w:sz w:val="22"/>
                <w:szCs w:val="22"/>
                <w:vertAlign w:val="superscript"/>
              </w:rPr>
              <w:t>8</w:t>
            </w:r>
            <w:r w:rsidRPr="00F93FFA">
              <w:rPr>
                <w:color w:val="000000"/>
                <w:sz w:val="22"/>
                <w:szCs w:val="22"/>
              </w:rPr>
              <w:t>, kepenų nekrozė</w:t>
            </w:r>
          </w:p>
        </w:tc>
      </w:tr>
      <w:tr w:rsidR="003646A0" w:rsidRPr="00F93FFA" w14:paraId="74732D94"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67DBC075"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lastRenderedPageBreak/>
              <w:t>Odos ir poodinio audinio sutrikimai</w:t>
            </w:r>
          </w:p>
        </w:tc>
      </w:tr>
      <w:tr w:rsidR="003646A0" w:rsidRPr="00F93FFA" w14:paraId="6C80A5BC"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1A8883F"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397F8791"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Edema apie akis, dermatitas/egzema/bėrimas</w:t>
            </w:r>
          </w:p>
        </w:tc>
      </w:tr>
      <w:tr w:rsidR="003646A0" w:rsidRPr="00F93FFA" w14:paraId="14F48306"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E62FD5B"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569E60CD"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Niežulys, veido edema, sausa oda, eritema, alopecija, naktinis prakaitavimas, fotosensibilizacijos reakcija</w:t>
            </w:r>
          </w:p>
        </w:tc>
      </w:tr>
      <w:tr w:rsidR="003646A0" w:rsidRPr="00F93FFA" w14:paraId="0FABD463"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3533BE6"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2B2D9B4E"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 xml:space="preserve">Pustulinis </w:t>
            </w:r>
            <w:r w:rsidR="005342CB" w:rsidRPr="00F93FFA">
              <w:rPr>
                <w:color w:val="000000"/>
                <w:sz w:val="22"/>
                <w:szCs w:val="22"/>
              </w:rPr>
              <w:t>iš</w:t>
            </w:r>
            <w:r w:rsidRPr="00F93FFA">
              <w:rPr>
                <w:color w:val="000000"/>
                <w:sz w:val="22"/>
                <w:szCs w:val="22"/>
              </w:rPr>
              <w:t>bėrimas, sumušimas, padidėjęs prakaitavimas, dilgėlinė, ekchimozė, padidėjęs polinkis į mėlynes, sumažėjęs plaukuotumas, odos hipopigmentacija, eksfoliacinis dermatitas, nagų lūžinėjimas, folikulitas, petechijos, psoriazė, purpura, odos hiperpigmentacija, pūslinis bėrimas</w:t>
            </w:r>
          </w:p>
        </w:tc>
      </w:tr>
      <w:tr w:rsidR="003646A0" w:rsidRPr="00F93FFA" w14:paraId="6DA790EF"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4DFF844C"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5E834980"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Ūminė febrilinė neutrofilinė dermatozė (Sweet sindromas), nagų spalvos pakitimas, angioneurozinė edema, pūslelinis bėrimas, daugiaformė eritema, leukocitoklastinis vaskulitas, Stevens-Johnson sindromas,</w:t>
            </w:r>
            <w:r w:rsidRPr="00F93FFA">
              <w:rPr>
                <w:sz w:val="22"/>
                <w:szCs w:val="22"/>
              </w:rPr>
              <w:t xml:space="preserve"> ūminė generalizuota egzanteminė pustuliozė (ŪGEP)</w:t>
            </w:r>
          </w:p>
        </w:tc>
      </w:tr>
      <w:tr w:rsidR="008559A5" w:rsidRPr="00F93FFA" w14:paraId="11E8BFC7" w14:textId="77777777" w:rsidTr="00DE16D0">
        <w:trPr>
          <w:cantSplit/>
        </w:trPr>
        <w:tc>
          <w:tcPr>
            <w:tcW w:w="2235" w:type="dxa"/>
          </w:tcPr>
          <w:p w14:paraId="50700E12" w14:textId="77777777" w:rsidR="008559A5" w:rsidRPr="00F93FFA" w:rsidRDefault="008559A5" w:rsidP="00DE16D0">
            <w:pPr>
              <w:widowControl w:val="0"/>
              <w:rPr>
                <w:i/>
                <w:color w:val="000000"/>
                <w:sz w:val="22"/>
                <w:szCs w:val="22"/>
              </w:rPr>
            </w:pPr>
            <w:r w:rsidRPr="00F93FFA">
              <w:rPr>
                <w:i/>
                <w:iCs/>
                <w:color w:val="000000"/>
                <w:sz w:val="22"/>
                <w:szCs w:val="22"/>
              </w:rPr>
              <w:t>Dažnis nežinomas:</w:t>
            </w:r>
          </w:p>
        </w:tc>
        <w:tc>
          <w:tcPr>
            <w:tcW w:w="7087" w:type="dxa"/>
          </w:tcPr>
          <w:p w14:paraId="75D89C15" w14:textId="77777777" w:rsidR="008559A5" w:rsidRPr="00F53012" w:rsidRDefault="008559A5" w:rsidP="00DE16D0">
            <w:pPr>
              <w:widowControl w:val="0"/>
              <w:rPr>
                <w:color w:val="000000"/>
                <w:sz w:val="22"/>
                <w:szCs w:val="22"/>
              </w:rPr>
            </w:pPr>
            <w:r w:rsidRPr="00F93FFA">
              <w:rPr>
                <w:color w:val="000000"/>
                <w:sz w:val="22"/>
                <w:szCs w:val="22"/>
              </w:rPr>
              <w:t>Delnų ir padų eritrodizestezijos sindromas</w:t>
            </w:r>
            <w:r w:rsidRPr="00F53012">
              <w:rPr>
                <w:color w:val="000000"/>
                <w:sz w:val="22"/>
                <w:szCs w:val="22"/>
              </w:rPr>
              <w:t>*, l</w:t>
            </w:r>
            <w:r w:rsidRPr="00F93FFA">
              <w:rPr>
                <w:color w:val="000000"/>
                <w:sz w:val="22"/>
                <w:szCs w:val="22"/>
              </w:rPr>
              <w:t xml:space="preserve">ichenoidinė keratozė*, plokščioji kerpligė*, toksinė epidermio nekrolizė*, medikamentinis išbėrimas su eozinofilija ir sisteminiais simptomais </w:t>
            </w:r>
            <w:r w:rsidRPr="00F93FFA">
              <w:rPr>
                <w:i/>
                <w:color w:val="000000"/>
                <w:sz w:val="22"/>
                <w:szCs w:val="22"/>
              </w:rPr>
              <w:t>(DRESS)</w:t>
            </w:r>
            <w:r w:rsidRPr="00F93FFA">
              <w:rPr>
                <w:color w:val="000000"/>
                <w:sz w:val="22"/>
                <w:szCs w:val="22"/>
              </w:rPr>
              <w:t>*</w:t>
            </w:r>
            <w:r w:rsidR="00B8755F" w:rsidRPr="00F93FFA">
              <w:rPr>
                <w:color w:val="000000"/>
                <w:sz w:val="22"/>
                <w:szCs w:val="22"/>
              </w:rPr>
              <w:t>,</w:t>
            </w:r>
            <w:r w:rsidR="00B8755F" w:rsidRPr="00F93FFA">
              <w:rPr>
                <w:rFonts w:ascii="Arial" w:hAnsi="Arial" w:cs="Arial"/>
                <w:color w:val="222222"/>
              </w:rPr>
              <w:t xml:space="preserve"> </w:t>
            </w:r>
            <w:r w:rsidR="00B8755F" w:rsidRPr="00F93FFA">
              <w:rPr>
                <w:color w:val="000000"/>
                <w:sz w:val="22"/>
                <w:szCs w:val="22"/>
              </w:rPr>
              <w:t>pseudoporfir</w:t>
            </w:r>
            <w:r w:rsidR="00773425" w:rsidRPr="00F93FFA">
              <w:rPr>
                <w:color w:val="000000"/>
                <w:sz w:val="22"/>
                <w:szCs w:val="22"/>
              </w:rPr>
              <w:t>ija</w:t>
            </w:r>
            <w:r w:rsidR="00B8755F" w:rsidRPr="00F93FFA">
              <w:rPr>
                <w:color w:val="000000"/>
                <w:sz w:val="22"/>
                <w:szCs w:val="22"/>
              </w:rPr>
              <w:t>*</w:t>
            </w:r>
          </w:p>
        </w:tc>
      </w:tr>
      <w:tr w:rsidR="003646A0" w:rsidRPr="00F93FFA" w14:paraId="2F329E34"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2911E95F"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Skeleto, raumenų ir jungiamojo audinio sutrikimai</w:t>
            </w:r>
          </w:p>
        </w:tc>
      </w:tr>
      <w:tr w:rsidR="003646A0" w:rsidRPr="00F93FFA" w14:paraId="04C1557C"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43EC0FAD"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52223112"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Raumenų spazmas ir mėšlungis, skeleto ir raumenų skausmas, taip pat mialgija</w:t>
            </w:r>
            <w:r w:rsidR="00157E9E" w:rsidRPr="00F93FFA">
              <w:rPr>
                <w:color w:val="000000"/>
                <w:szCs w:val="22"/>
                <w:vertAlign w:val="superscript"/>
              </w:rPr>
              <w:t>9</w:t>
            </w:r>
            <w:r w:rsidRPr="00F93FFA">
              <w:rPr>
                <w:color w:val="000000"/>
                <w:sz w:val="22"/>
                <w:szCs w:val="22"/>
              </w:rPr>
              <w:t>, artralgija, kaulų skausmas</w:t>
            </w:r>
            <w:r w:rsidR="003314A5" w:rsidRPr="00F93FFA">
              <w:rPr>
                <w:color w:val="000000"/>
                <w:sz w:val="22"/>
                <w:szCs w:val="22"/>
                <w:vertAlign w:val="superscript"/>
              </w:rPr>
              <w:t>10</w:t>
            </w:r>
          </w:p>
        </w:tc>
      </w:tr>
      <w:tr w:rsidR="003646A0" w:rsidRPr="00F93FFA" w14:paraId="073A77F4"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7F936A4"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7EB1D4B7"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Sąnarių tinimas</w:t>
            </w:r>
          </w:p>
        </w:tc>
      </w:tr>
      <w:tr w:rsidR="003646A0" w:rsidRPr="00F93FFA" w14:paraId="76818AAF"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9188EB3"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E2758AB"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Sąnarių ir raumenų sąstingis</w:t>
            </w:r>
          </w:p>
        </w:tc>
      </w:tr>
      <w:tr w:rsidR="003646A0" w:rsidRPr="00F93FFA" w14:paraId="6C275214"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2B2516F"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6DEB04E2"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Raumenų silpnumas, artritas, rabdomiolizė ar miopatija</w:t>
            </w:r>
          </w:p>
        </w:tc>
      </w:tr>
      <w:tr w:rsidR="008559A5" w:rsidRPr="00F93FFA" w14:paraId="1FA6B663" w14:textId="77777777" w:rsidTr="00DE16D0">
        <w:trPr>
          <w:cantSplit/>
        </w:trPr>
        <w:tc>
          <w:tcPr>
            <w:tcW w:w="2235" w:type="dxa"/>
          </w:tcPr>
          <w:p w14:paraId="3B84AC65" w14:textId="77777777" w:rsidR="008559A5" w:rsidRPr="00F93FFA" w:rsidRDefault="008559A5" w:rsidP="00DE16D0">
            <w:pPr>
              <w:widowControl w:val="0"/>
              <w:rPr>
                <w:i/>
                <w:color w:val="000000"/>
                <w:sz w:val="22"/>
                <w:szCs w:val="22"/>
              </w:rPr>
            </w:pPr>
            <w:r w:rsidRPr="00F93FFA">
              <w:rPr>
                <w:i/>
                <w:iCs/>
                <w:color w:val="000000"/>
                <w:sz w:val="22"/>
                <w:szCs w:val="22"/>
              </w:rPr>
              <w:t>Dažnis nežinomas:</w:t>
            </w:r>
          </w:p>
        </w:tc>
        <w:tc>
          <w:tcPr>
            <w:tcW w:w="7087" w:type="dxa"/>
          </w:tcPr>
          <w:p w14:paraId="6BD68484" w14:textId="77777777" w:rsidR="008559A5" w:rsidRPr="00F93FFA" w:rsidRDefault="008559A5" w:rsidP="00DE16D0">
            <w:pPr>
              <w:widowControl w:val="0"/>
              <w:rPr>
                <w:bCs/>
                <w:color w:val="000000"/>
                <w:sz w:val="22"/>
                <w:szCs w:val="22"/>
              </w:rPr>
            </w:pPr>
            <w:r w:rsidRPr="00F93FFA">
              <w:rPr>
                <w:color w:val="000000"/>
                <w:sz w:val="22"/>
                <w:szCs w:val="22"/>
              </w:rPr>
              <w:t>Nevaskulinė nekrozė/šlaunikaulio galvutės nekrozė*, v</w:t>
            </w:r>
            <w:r w:rsidRPr="00F93FFA">
              <w:rPr>
                <w:bCs/>
                <w:color w:val="000000"/>
                <w:sz w:val="22"/>
                <w:szCs w:val="22"/>
              </w:rPr>
              <w:t>aikų augimo sulėtėjimas</w:t>
            </w:r>
            <w:r w:rsidRPr="00F93FFA">
              <w:rPr>
                <w:color w:val="000000"/>
                <w:sz w:val="22"/>
                <w:szCs w:val="22"/>
              </w:rPr>
              <w:t>*</w:t>
            </w:r>
          </w:p>
        </w:tc>
      </w:tr>
      <w:tr w:rsidR="003646A0" w:rsidRPr="00F93FFA" w14:paraId="4757B671"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59AFC64F"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Inkstų ir šlapimo takų sutrikimai</w:t>
            </w:r>
          </w:p>
        </w:tc>
      </w:tr>
      <w:tr w:rsidR="003646A0" w:rsidRPr="00F93FFA" w14:paraId="6E9514FA"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AFEDC8E"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E5FDC58"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Inkstų skausmas, hematurija, ūminis inkstų nepakankamumas, padažnėjęs šlapinimasis</w:t>
            </w:r>
          </w:p>
        </w:tc>
      </w:tr>
      <w:tr w:rsidR="00A95684" w:rsidRPr="00F93FFA" w14:paraId="77085EC1" w14:textId="77777777" w:rsidTr="00DE16D0">
        <w:trPr>
          <w:cantSplit/>
        </w:trPr>
        <w:tc>
          <w:tcPr>
            <w:tcW w:w="2235" w:type="dxa"/>
          </w:tcPr>
          <w:p w14:paraId="6852A225" w14:textId="77777777" w:rsidR="00A95684" w:rsidRPr="00F93FFA" w:rsidRDefault="00A95684" w:rsidP="00DE16D0">
            <w:pPr>
              <w:widowControl w:val="0"/>
              <w:rPr>
                <w:i/>
                <w:color w:val="000000"/>
                <w:sz w:val="22"/>
                <w:szCs w:val="22"/>
              </w:rPr>
            </w:pPr>
            <w:r w:rsidRPr="00F93FFA">
              <w:rPr>
                <w:i/>
                <w:iCs/>
                <w:color w:val="000000"/>
                <w:sz w:val="22"/>
                <w:szCs w:val="22"/>
              </w:rPr>
              <w:t>Dažnis nežinomas:</w:t>
            </w:r>
          </w:p>
        </w:tc>
        <w:tc>
          <w:tcPr>
            <w:tcW w:w="7087" w:type="dxa"/>
          </w:tcPr>
          <w:p w14:paraId="452351DD" w14:textId="77777777" w:rsidR="00A95684" w:rsidRPr="00F93FFA" w:rsidRDefault="00A95684" w:rsidP="00DE16D0">
            <w:pPr>
              <w:widowControl w:val="0"/>
              <w:rPr>
                <w:color w:val="000000"/>
                <w:sz w:val="22"/>
                <w:szCs w:val="22"/>
              </w:rPr>
            </w:pPr>
            <w:r w:rsidRPr="00F93FFA">
              <w:rPr>
                <w:color w:val="000000"/>
                <w:sz w:val="22"/>
                <w:szCs w:val="22"/>
              </w:rPr>
              <w:t>Lėtinis inkstų nepakankamumas</w:t>
            </w:r>
          </w:p>
        </w:tc>
      </w:tr>
      <w:tr w:rsidR="003646A0" w:rsidRPr="00F93FFA" w14:paraId="73936A5D"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1727F94B"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Lytinės sistemos ir krūties sutrikimai</w:t>
            </w:r>
          </w:p>
        </w:tc>
      </w:tr>
      <w:tr w:rsidR="003646A0" w:rsidRPr="00F93FFA" w14:paraId="0F7D2CDD"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96473DC"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1DBDA55A"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Ginekomastija, erekcijos sutrikimas, menoragija, menstruacijų ciklo sutrikimas, lytinė disfunkcija, spenelio skausmas, krūtų padidėjimas, kapšelio edema</w:t>
            </w:r>
          </w:p>
        </w:tc>
      </w:tr>
      <w:tr w:rsidR="003646A0" w:rsidRPr="00F93FFA" w14:paraId="4F4E2117"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502ED27B" w14:textId="77777777" w:rsidR="003646A0" w:rsidRPr="00F93FFA" w:rsidRDefault="003646A0" w:rsidP="00DE16D0">
            <w:pPr>
              <w:widowControl w:val="0"/>
              <w:tabs>
                <w:tab w:val="left" w:pos="567"/>
              </w:tabs>
              <w:rPr>
                <w:i/>
                <w:iCs/>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2F4D9B5E" w14:textId="77777777" w:rsidR="003646A0" w:rsidRPr="00F93FFA" w:rsidRDefault="003646A0" w:rsidP="00DE16D0">
            <w:pPr>
              <w:widowControl w:val="0"/>
              <w:tabs>
                <w:tab w:val="left" w:pos="567"/>
              </w:tabs>
              <w:rPr>
                <w:color w:val="000000"/>
                <w:sz w:val="22"/>
                <w:szCs w:val="22"/>
              </w:rPr>
            </w:pPr>
            <w:r w:rsidRPr="00F93FFA">
              <w:rPr>
                <w:sz w:val="22"/>
                <w:szCs w:val="22"/>
              </w:rPr>
              <w:t>Geltonkūnio hemoragija ar hemoraginė kiaušidžių cista</w:t>
            </w:r>
          </w:p>
        </w:tc>
      </w:tr>
      <w:tr w:rsidR="003646A0" w:rsidRPr="00F93FFA" w14:paraId="6EC8C024"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03585530"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t>Bendrieji sutrikimai ir vartojimo vietos pažeidimai</w:t>
            </w:r>
          </w:p>
        </w:tc>
      </w:tr>
      <w:tr w:rsidR="003646A0" w:rsidRPr="00F93FFA" w14:paraId="74A4A96D"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26801DA4"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1BFDDA19"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Skysčių susilaikymas ir edema, nuovargis</w:t>
            </w:r>
          </w:p>
        </w:tc>
      </w:tr>
      <w:tr w:rsidR="003646A0" w:rsidRPr="00F93FFA" w14:paraId="6A346784"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6C04AB36"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0A29371F"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Silpnumas, karščiavimas, odos vandenė, šaltkrėtis, sąstingis</w:t>
            </w:r>
          </w:p>
        </w:tc>
      </w:tr>
      <w:tr w:rsidR="003646A0" w:rsidRPr="00F93FFA" w14:paraId="12183BE6"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7742930" w14:textId="77777777" w:rsidR="003646A0" w:rsidRPr="00F93FFA" w:rsidRDefault="003646A0" w:rsidP="00DE16D0">
            <w:pPr>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3E5D0867" w14:textId="77777777" w:rsidR="003646A0" w:rsidRPr="00F93FFA" w:rsidRDefault="003646A0" w:rsidP="00DE16D0">
            <w:pPr>
              <w:widowControl w:val="0"/>
              <w:tabs>
                <w:tab w:val="left" w:pos="567"/>
              </w:tabs>
              <w:rPr>
                <w:color w:val="000000"/>
                <w:sz w:val="22"/>
                <w:szCs w:val="22"/>
              </w:rPr>
            </w:pPr>
            <w:r w:rsidRPr="00F93FFA">
              <w:rPr>
                <w:color w:val="000000"/>
                <w:sz w:val="22"/>
                <w:szCs w:val="22"/>
              </w:rPr>
              <w:t>Skausmas krūtinėje, bloga savijauta</w:t>
            </w:r>
          </w:p>
        </w:tc>
      </w:tr>
      <w:tr w:rsidR="003646A0" w:rsidRPr="00F93FFA" w14:paraId="1C7DB02C" w14:textId="77777777" w:rsidTr="00DE16D0">
        <w:trPr>
          <w:cantSplit/>
        </w:trPr>
        <w:tc>
          <w:tcPr>
            <w:tcW w:w="9322" w:type="dxa"/>
            <w:gridSpan w:val="2"/>
            <w:tcBorders>
              <w:top w:val="single" w:sz="4" w:space="0" w:color="auto"/>
              <w:left w:val="single" w:sz="4" w:space="0" w:color="auto"/>
              <w:bottom w:val="single" w:sz="4" w:space="0" w:color="auto"/>
              <w:right w:val="single" w:sz="4" w:space="0" w:color="auto"/>
            </w:tcBorders>
          </w:tcPr>
          <w:p w14:paraId="46BEB049" w14:textId="77777777" w:rsidR="003646A0" w:rsidRPr="00F93FFA" w:rsidRDefault="003646A0" w:rsidP="00DE16D0">
            <w:pPr>
              <w:keepNext/>
              <w:widowControl w:val="0"/>
              <w:tabs>
                <w:tab w:val="left" w:pos="567"/>
              </w:tabs>
              <w:rPr>
                <w:color w:val="000000"/>
                <w:sz w:val="22"/>
                <w:szCs w:val="22"/>
              </w:rPr>
            </w:pPr>
            <w:r w:rsidRPr="00F93FFA">
              <w:rPr>
                <w:b/>
                <w:bCs/>
                <w:color w:val="000000"/>
                <w:sz w:val="22"/>
                <w:szCs w:val="22"/>
              </w:rPr>
              <w:lastRenderedPageBreak/>
              <w:t>Tyrimai</w:t>
            </w:r>
          </w:p>
        </w:tc>
      </w:tr>
      <w:tr w:rsidR="003646A0" w:rsidRPr="00F93FFA" w14:paraId="478323D2"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1CDC3EAF"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485D89FA"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Padidėjęs kūno svoris</w:t>
            </w:r>
          </w:p>
        </w:tc>
      </w:tr>
      <w:tr w:rsidR="003646A0" w:rsidRPr="00F93FFA" w14:paraId="5A4AE639"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D020DA1"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22D180E7"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Sumažėjęs kūno svoris</w:t>
            </w:r>
          </w:p>
        </w:tc>
      </w:tr>
      <w:tr w:rsidR="003646A0" w:rsidRPr="00F93FFA" w14:paraId="745852F0"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066EFD6A" w14:textId="77777777" w:rsidR="003646A0" w:rsidRPr="00F93FFA" w:rsidRDefault="003646A0" w:rsidP="00DE16D0">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AFC83C7" w14:textId="77777777" w:rsidR="003646A0" w:rsidRPr="00F93FFA" w:rsidRDefault="003646A0" w:rsidP="00DE16D0">
            <w:pPr>
              <w:keepNext/>
              <w:widowControl w:val="0"/>
              <w:tabs>
                <w:tab w:val="left" w:pos="567"/>
              </w:tabs>
              <w:rPr>
                <w:color w:val="000000"/>
                <w:sz w:val="22"/>
                <w:szCs w:val="22"/>
              </w:rPr>
            </w:pPr>
            <w:r w:rsidRPr="00F93FFA">
              <w:rPr>
                <w:color w:val="000000"/>
                <w:sz w:val="22"/>
                <w:szCs w:val="22"/>
              </w:rPr>
              <w:t>Padidėjusi kreatinino koncentracija kraujyje, padidėjusi kreatinfosfokinazės koncentracija kraujyje, padidėjusi laktatdehidrogenazės koncentracija kraujyje, padidėjusi šarminės fosfatazės koncentracija kraujyje</w:t>
            </w:r>
          </w:p>
        </w:tc>
      </w:tr>
      <w:tr w:rsidR="003646A0" w:rsidRPr="00F93FFA" w14:paraId="11D4E9C7" w14:textId="77777777" w:rsidTr="00DE16D0">
        <w:trPr>
          <w:cantSplit/>
        </w:trPr>
        <w:tc>
          <w:tcPr>
            <w:tcW w:w="2235" w:type="dxa"/>
            <w:tcBorders>
              <w:top w:val="single" w:sz="4" w:space="0" w:color="auto"/>
              <w:left w:val="single" w:sz="4" w:space="0" w:color="auto"/>
              <w:bottom w:val="single" w:sz="4" w:space="0" w:color="auto"/>
              <w:right w:val="single" w:sz="4" w:space="0" w:color="auto"/>
            </w:tcBorders>
          </w:tcPr>
          <w:p w14:paraId="7B72C5E2" w14:textId="77777777" w:rsidR="003646A0" w:rsidRPr="00F93FFA" w:rsidRDefault="003646A0" w:rsidP="00DE16D0">
            <w:pPr>
              <w:keepNext/>
              <w:keepLines/>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D1E6350" w14:textId="77777777" w:rsidR="003646A0" w:rsidRPr="00F93FFA" w:rsidRDefault="003646A0" w:rsidP="00DE16D0">
            <w:pPr>
              <w:keepNext/>
              <w:keepLines/>
              <w:widowControl w:val="0"/>
              <w:tabs>
                <w:tab w:val="left" w:pos="567"/>
              </w:tabs>
              <w:rPr>
                <w:color w:val="000000"/>
                <w:sz w:val="22"/>
                <w:szCs w:val="22"/>
              </w:rPr>
            </w:pPr>
            <w:r w:rsidRPr="00F93FFA">
              <w:rPr>
                <w:color w:val="000000"/>
                <w:sz w:val="22"/>
                <w:szCs w:val="22"/>
              </w:rPr>
              <w:t>Padidėjusi amilazės koncentracija kraujyje</w:t>
            </w:r>
          </w:p>
        </w:tc>
      </w:tr>
    </w:tbl>
    <w:p w14:paraId="3019388F" w14:textId="77777777" w:rsidR="003646A0" w:rsidRPr="00F93FFA" w:rsidRDefault="003646A0" w:rsidP="00DE16D0">
      <w:pPr>
        <w:keepNext/>
        <w:keepLines/>
        <w:widowControl w:val="0"/>
        <w:tabs>
          <w:tab w:val="left" w:pos="0"/>
        </w:tabs>
        <w:rPr>
          <w:color w:val="000000"/>
          <w:sz w:val="22"/>
          <w:szCs w:val="22"/>
        </w:rPr>
      </w:pPr>
    </w:p>
    <w:p w14:paraId="529B8171" w14:textId="77777777" w:rsidR="002C3C11" w:rsidRPr="00F93FFA" w:rsidRDefault="002C3C11" w:rsidP="00DE16D0">
      <w:pPr>
        <w:keepNext/>
        <w:keepLines/>
        <w:widowControl w:val="0"/>
        <w:tabs>
          <w:tab w:val="left" w:pos="567"/>
        </w:tabs>
        <w:ind w:left="567" w:hanging="567"/>
        <w:rPr>
          <w:color w:val="000000"/>
          <w:sz w:val="22"/>
          <w:szCs w:val="22"/>
        </w:rPr>
      </w:pPr>
      <w:r w:rsidRPr="00F93FFA">
        <w:rPr>
          <w:color w:val="000000"/>
          <w:sz w:val="22"/>
          <w:szCs w:val="22"/>
        </w:rPr>
        <w:t>*</w:t>
      </w:r>
      <w:r w:rsidRPr="00F93FFA">
        <w:rPr>
          <w:color w:val="000000"/>
          <w:sz w:val="22"/>
          <w:szCs w:val="22"/>
        </w:rPr>
        <w:tab/>
        <w:t xml:space="preserve">Šių reakcijų tipai daugiausiai registruoti po Glivec pateikimo į rinką. Tai nepageidaujamos reakcijos, apie kurias pranešta spontaniniuose pranešimuose, taip pat sunkūs nepageidaujami reiškiniai, stebėti tebevykstančių tyrimų, išplėstinių gydymo programų, klinikinių farmakologinių tyrimų ir bandomųjų nepatvirtintų indikacijų tyrimų metu. Kadangi šios reakcijos registruotos neaiškaus dydžio populiacijoje, ne visuomet galima patikimai įvertinti jų dažnumą arba nustatyti priežastinį ryšį su imatinibo </w:t>
      </w:r>
      <w:r w:rsidR="00F57D59" w:rsidRPr="00F93FFA">
        <w:rPr>
          <w:color w:val="000000"/>
          <w:sz w:val="22"/>
          <w:szCs w:val="22"/>
        </w:rPr>
        <w:t>ekspozicija</w:t>
      </w:r>
      <w:r w:rsidRPr="00F93FFA">
        <w:rPr>
          <w:color w:val="000000"/>
          <w:sz w:val="22"/>
          <w:szCs w:val="22"/>
        </w:rPr>
        <w:t>.</w:t>
      </w:r>
    </w:p>
    <w:p w14:paraId="32C1AE6F"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1</w:t>
      </w:r>
      <w:r w:rsidRPr="00F93FFA">
        <w:rPr>
          <w:color w:val="000000"/>
          <w:sz w:val="22"/>
          <w:szCs w:val="22"/>
        </w:rPr>
        <w:tab/>
        <w:t>Pneumonija dažniausiai registruota pacientams, kuriems buvo transformuota LML, ir pacientams, kuriems buvo VTSN.</w:t>
      </w:r>
    </w:p>
    <w:p w14:paraId="4B4D9EC2"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2</w:t>
      </w:r>
      <w:r w:rsidRPr="00F93FFA">
        <w:rPr>
          <w:color w:val="000000"/>
          <w:sz w:val="22"/>
          <w:szCs w:val="22"/>
        </w:rPr>
        <w:tab/>
        <w:t>Galvos skausmas dažniausiai pasireiškė pacientams, kuriems buvo VTSN.</w:t>
      </w:r>
    </w:p>
    <w:p w14:paraId="7BD0486C"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3</w:t>
      </w:r>
      <w:r w:rsidRPr="00F93FFA">
        <w:rPr>
          <w:color w:val="000000"/>
          <w:sz w:val="22"/>
          <w:szCs w:val="22"/>
        </w:rPr>
        <w:tab/>
        <w:t xml:space="preserve">Vertinant pagal pacientų metus </w:t>
      </w:r>
      <w:r w:rsidRPr="00F93FFA">
        <w:rPr>
          <w:i/>
          <w:color w:val="000000"/>
          <w:sz w:val="22"/>
          <w:szCs w:val="22"/>
        </w:rPr>
        <w:t>(angl. patient-years</w:t>
      </w:r>
      <w:r w:rsidRPr="00F93FFA">
        <w:rPr>
          <w:color w:val="000000"/>
          <w:sz w:val="22"/>
          <w:szCs w:val="22"/>
        </w:rPr>
        <w:t>), kardiologiniai reiškiniai, įskaitant stazinį širdies nepakankamumą, dažniau stebėti pacientams, kuriems buvo transformuota LML, nei pacientams, sergantiems lėtine LML.</w:t>
      </w:r>
    </w:p>
    <w:p w14:paraId="0077502C"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4</w:t>
      </w:r>
      <w:r w:rsidRPr="00F93FFA">
        <w:rPr>
          <w:color w:val="000000"/>
          <w:sz w:val="22"/>
          <w:szCs w:val="22"/>
        </w:rPr>
        <w:tab/>
        <w:t>Raudonis dažniausiai pasireiškė pacientams, kuriems buvo VTSN, o kraujavimas (hematoma, hemoragija) – pacientams, kuriems buvo VTSN, ir pacientams, kuriems buvo transformuota LML (LML-AF ir LML-BK).</w:t>
      </w:r>
    </w:p>
    <w:p w14:paraId="7C4B620D"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5</w:t>
      </w:r>
      <w:r w:rsidRPr="00F93FFA">
        <w:rPr>
          <w:color w:val="000000"/>
          <w:sz w:val="22"/>
          <w:szCs w:val="22"/>
        </w:rPr>
        <w:tab/>
        <w:t>Skystis pleuros ertmėje dažniau registruotas pacientams, kuriems buvo VTSN, ir pacientams, kuriems buvo transformuota LML (LML-AF ir LML-BK), nei pacientams, sergantiems lėtine LML.</w:t>
      </w:r>
    </w:p>
    <w:p w14:paraId="72FD8428" w14:textId="77777777" w:rsidR="003646A0" w:rsidRPr="00F93FFA" w:rsidRDefault="003646A0" w:rsidP="00DE16D0">
      <w:pPr>
        <w:keepNext/>
        <w:keepLines/>
        <w:widowControl w:val="0"/>
        <w:tabs>
          <w:tab w:val="left" w:pos="567"/>
        </w:tabs>
        <w:ind w:left="567" w:hanging="567"/>
        <w:rPr>
          <w:color w:val="000000"/>
          <w:sz w:val="22"/>
          <w:szCs w:val="22"/>
        </w:rPr>
      </w:pPr>
      <w:r w:rsidRPr="00F93FFA">
        <w:rPr>
          <w:color w:val="000000"/>
          <w:sz w:val="22"/>
          <w:szCs w:val="22"/>
        </w:rPr>
        <w:t>6+7</w:t>
      </w:r>
      <w:r w:rsidRPr="00F93FFA">
        <w:rPr>
          <w:color w:val="000000"/>
          <w:sz w:val="22"/>
          <w:szCs w:val="22"/>
        </w:rPr>
        <w:tab/>
        <w:t>Pilvo skausmas ir kraujavimas iš virškinimo trakto dažniausiai stebėtas pacientams, kuriems buvo VTSN.</w:t>
      </w:r>
    </w:p>
    <w:p w14:paraId="02C3EC72" w14:textId="77777777" w:rsidR="003646A0" w:rsidRPr="00F93FFA" w:rsidRDefault="003646A0" w:rsidP="00DE16D0">
      <w:pPr>
        <w:keepNext/>
        <w:keepLines/>
        <w:widowControl w:val="0"/>
        <w:tabs>
          <w:tab w:val="left" w:pos="567"/>
        </w:tabs>
        <w:rPr>
          <w:color w:val="000000"/>
          <w:sz w:val="22"/>
          <w:szCs w:val="22"/>
        </w:rPr>
      </w:pPr>
      <w:r w:rsidRPr="00F93FFA">
        <w:rPr>
          <w:color w:val="000000"/>
          <w:sz w:val="22"/>
          <w:szCs w:val="22"/>
        </w:rPr>
        <w:t>8</w:t>
      </w:r>
      <w:r w:rsidRPr="00F93FFA">
        <w:rPr>
          <w:color w:val="000000"/>
          <w:sz w:val="22"/>
          <w:szCs w:val="22"/>
        </w:rPr>
        <w:tab/>
        <w:t>Registruoti keli mirtini kepenų nepakankamumo ir kepenų nekrozės atvejai.</w:t>
      </w:r>
    </w:p>
    <w:p w14:paraId="315272E9" w14:textId="77777777" w:rsidR="008F5C1A" w:rsidRPr="00F93FFA" w:rsidRDefault="008F5C1A" w:rsidP="00DE16D0">
      <w:pPr>
        <w:keepNext/>
        <w:keepLines/>
        <w:widowControl w:val="0"/>
        <w:tabs>
          <w:tab w:val="left" w:pos="567"/>
        </w:tabs>
        <w:ind w:left="567" w:hanging="567"/>
        <w:rPr>
          <w:color w:val="000000"/>
          <w:sz w:val="22"/>
          <w:szCs w:val="22"/>
        </w:rPr>
      </w:pPr>
      <w:r w:rsidRPr="00F93FFA">
        <w:rPr>
          <w:color w:val="000000"/>
          <w:sz w:val="22"/>
          <w:szCs w:val="22"/>
        </w:rPr>
        <w:t>9</w:t>
      </w:r>
      <w:r w:rsidRPr="00F93FFA">
        <w:rPr>
          <w:color w:val="000000"/>
          <w:sz w:val="22"/>
          <w:szCs w:val="22"/>
        </w:rPr>
        <w:tab/>
      </w:r>
      <w:r w:rsidR="00CF5050" w:rsidRPr="00F93FFA">
        <w:rPr>
          <w:color w:val="000000"/>
          <w:sz w:val="22"/>
          <w:szCs w:val="22"/>
        </w:rPr>
        <w:t xml:space="preserve">Po Glivec </w:t>
      </w:r>
      <w:r w:rsidR="0027611D" w:rsidRPr="00F93FFA">
        <w:rPr>
          <w:color w:val="000000"/>
          <w:sz w:val="22"/>
          <w:szCs w:val="22"/>
        </w:rPr>
        <w:t>registracijos</w:t>
      </w:r>
      <w:r w:rsidR="00CF5050" w:rsidRPr="00F93FFA">
        <w:rPr>
          <w:color w:val="000000"/>
          <w:sz w:val="22"/>
          <w:szCs w:val="22"/>
        </w:rPr>
        <w:t>, g</w:t>
      </w:r>
      <w:r w:rsidRPr="00F93FFA">
        <w:rPr>
          <w:color w:val="000000"/>
          <w:sz w:val="22"/>
          <w:szCs w:val="22"/>
        </w:rPr>
        <w:t>auta pranešimų apie skeleto ir raumenų skausm</w:t>
      </w:r>
      <w:r w:rsidR="00CF5050" w:rsidRPr="00F93FFA">
        <w:rPr>
          <w:color w:val="000000"/>
          <w:sz w:val="22"/>
          <w:szCs w:val="22"/>
        </w:rPr>
        <w:t>o atvejus pacientams, kurie pastebėti</w:t>
      </w:r>
      <w:r w:rsidRPr="00F93FFA">
        <w:rPr>
          <w:color w:val="000000"/>
          <w:sz w:val="22"/>
          <w:szCs w:val="22"/>
        </w:rPr>
        <w:t xml:space="preserve"> gydymo imatinibu metu arba po jo </w:t>
      </w:r>
      <w:r w:rsidR="00F056D8" w:rsidRPr="00F93FFA">
        <w:rPr>
          <w:color w:val="000000"/>
          <w:sz w:val="22"/>
          <w:szCs w:val="22"/>
        </w:rPr>
        <w:t xml:space="preserve">vartojimo </w:t>
      </w:r>
      <w:r w:rsidRPr="00F93FFA">
        <w:rPr>
          <w:color w:val="000000"/>
          <w:sz w:val="22"/>
          <w:szCs w:val="22"/>
        </w:rPr>
        <w:t>nutraukimo</w:t>
      </w:r>
      <w:r w:rsidR="00CF5050" w:rsidRPr="00F93FFA">
        <w:rPr>
          <w:color w:val="000000"/>
          <w:sz w:val="22"/>
          <w:szCs w:val="22"/>
        </w:rPr>
        <w:t>.</w:t>
      </w:r>
    </w:p>
    <w:p w14:paraId="430F0F8A" w14:textId="77777777" w:rsidR="003646A0" w:rsidRPr="00F93FFA" w:rsidRDefault="008F5C1A" w:rsidP="00DE16D0">
      <w:pPr>
        <w:keepNext/>
        <w:keepLines/>
        <w:widowControl w:val="0"/>
        <w:tabs>
          <w:tab w:val="left" w:pos="567"/>
        </w:tabs>
        <w:ind w:left="567" w:hanging="567"/>
        <w:rPr>
          <w:color w:val="000000"/>
          <w:sz w:val="22"/>
          <w:szCs w:val="22"/>
        </w:rPr>
      </w:pPr>
      <w:r w:rsidRPr="00F93FFA">
        <w:rPr>
          <w:color w:val="000000"/>
          <w:sz w:val="22"/>
          <w:szCs w:val="22"/>
        </w:rPr>
        <w:t>10</w:t>
      </w:r>
      <w:r w:rsidR="003646A0" w:rsidRPr="00F93FFA">
        <w:rPr>
          <w:color w:val="000000"/>
          <w:sz w:val="22"/>
          <w:szCs w:val="22"/>
        </w:rPr>
        <w:tab/>
        <w:t>Skeleto ir raumenų skausmas bei susiję reiškiniai dažniau stebėti pacientams, sergantiems LML, nei pacientams, kuriems buvo VTSN.</w:t>
      </w:r>
    </w:p>
    <w:p w14:paraId="33D40922" w14:textId="77777777" w:rsidR="002C3C11" w:rsidRPr="00F93FFA" w:rsidRDefault="002C3C11" w:rsidP="00DE16D0">
      <w:pPr>
        <w:keepLines/>
        <w:widowControl w:val="0"/>
        <w:tabs>
          <w:tab w:val="left" w:pos="567"/>
        </w:tabs>
        <w:ind w:left="567" w:hanging="567"/>
        <w:rPr>
          <w:color w:val="000000"/>
          <w:sz w:val="22"/>
          <w:szCs w:val="22"/>
        </w:rPr>
      </w:pPr>
      <w:r w:rsidRPr="00F93FFA">
        <w:rPr>
          <w:color w:val="000000"/>
          <w:sz w:val="22"/>
          <w:szCs w:val="22"/>
        </w:rPr>
        <w:t>1</w:t>
      </w:r>
      <w:r w:rsidR="008F5C1A" w:rsidRPr="00F93FFA">
        <w:rPr>
          <w:color w:val="000000"/>
          <w:sz w:val="22"/>
          <w:szCs w:val="22"/>
        </w:rPr>
        <w:t>1</w:t>
      </w:r>
      <w:r w:rsidRPr="00F93FFA">
        <w:rPr>
          <w:color w:val="000000"/>
          <w:sz w:val="22"/>
          <w:szCs w:val="22"/>
        </w:rPr>
        <w:tab/>
      </w:r>
      <w:r w:rsidR="00604FB5" w:rsidRPr="00F93FFA">
        <w:rPr>
          <w:color w:val="000000"/>
          <w:sz w:val="22"/>
          <w:szCs w:val="22"/>
        </w:rPr>
        <w:t xml:space="preserve">Buvo praneštas apie mirties atvejus </w:t>
      </w:r>
      <w:r w:rsidRPr="00F93FFA">
        <w:rPr>
          <w:color w:val="000000"/>
          <w:sz w:val="22"/>
          <w:szCs w:val="22"/>
        </w:rPr>
        <w:t>pacient</w:t>
      </w:r>
      <w:r w:rsidR="00604FB5" w:rsidRPr="00F93FFA">
        <w:rPr>
          <w:color w:val="000000"/>
          <w:sz w:val="22"/>
          <w:szCs w:val="22"/>
        </w:rPr>
        <w:t>ams</w:t>
      </w:r>
      <w:r w:rsidRPr="00F93FFA">
        <w:rPr>
          <w:color w:val="000000"/>
          <w:sz w:val="22"/>
          <w:szCs w:val="22"/>
        </w:rPr>
        <w:t xml:space="preserve">, </w:t>
      </w:r>
      <w:r w:rsidR="00604FB5" w:rsidRPr="00F93FFA">
        <w:rPr>
          <w:color w:val="000000"/>
          <w:sz w:val="22"/>
          <w:szCs w:val="22"/>
        </w:rPr>
        <w:t>kuriems yra</w:t>
      </w:r>
      <w:r w:rsidRPr="00F93FFA">
        <w:rPr>
          <w:color w:val="000000"/>
          <w:sz w:val="22"/>
          <w:szCs w:val="22"/>
        </w:rPr>
        <w:t xml:space="preserve"> progresavusi liga, sunki</w:t>
      </w:r>
      <w:r w:rsidR="00604FB5" w:rsidRPr="00F93FFA">
        <w:rPr>
          <w:color w:val="000000"/>
          <w:sz w:val="22"/>
          <w:szCs w:val="22"/>
        </w:rPr>
        <w:t>ų</w:t>
      </w:r>
      <w:r w:rsidRPr="00F93FFA">
        <w:rPr>
          <w:color w:val="000000"/>
          <w:sz w:val="22"/>
          <w:szCs w:val="22"/>
        </w:rPr>
        <w:t xml:space="preserve"> infekcij</w:t>
      </w:r>
      <w:r w:rsidR="00604FB5" w:rsidRPr="00F93FFA">
        <w:rPr>
          <w:color w:val="000000"/>
          <w:sz w:val="22"/>
          <w:szCs w:val="22"/>
        </w:rPr>
        <w:t>ų</w:t>
      </w:r>
      <w:r w:rsidRPr="00F93FFA">
        <w:rPr>
          <w:color w:val="000000"/>
          <w:sz w:val="22"/>
          <w:szCs w:val="22"/>
        </w:rPr>
        <w:t>, sunki neutropenija ir kit</w:t>
      </w:r>
      <w:r w:rsidR="00604FB5" w:rsidRPr="00F93FFA">
        <w:rPr>
          <w:color w:val="000000"/>
          <w:sz w:val="22"/>
          <w:szCs w:val="22"/>
        </w:rPr>
        <w:t>ų</w:t>
      </w:r>
      <w:r w:rsidRPr="00F93FFA">
        <w:rPr>
          <w:color w:val="000000"/>
          <w:sz w:val="22"/>
          <w:szCs w:val="22"/>
        </w:rPr>
        <w:t xml:space="preserve"> sunki</w:t>
      </w:r>
      <w:r w:rsidR="00604FB5" w:rsidRPr="00F93FFA">
        <w:rPr>
          <w:color w:val="000000"/>
          <w:sz w:val="22"/>
          <w:szCs w:val="22"/>
        </w:rPr>
        <w:t>ų</w:t>
      </w:r>
      <w:r w:rsidRPr="00F93FFA">
        <w:rPr>
          <w:color w:val="000000"/>
          <w:sz w:val="22"/>
          <w:szCs w:val="22"/>
        </w:rPr>
        <w:t xml:space="preserve"> gretutin</w:t>
      </w:r>
      <w:r w:rsidR="00604FB5" w:rsidRPr="00F93FFA">
        <w:rPr>
          <w:color w:val="000000"/>
          <w:sz w:val="22"/>
          <w:szCs w:val="22"/>
        </w:rPr>
        <w:t>ių ligų</w:t>
      </w:r>
      <w:r w:rsidRPr="00F93FFA">
        <w:rPr>
          <w:color w:val="000000"/>
          <w:sz w:val="22"/>
          <w:szCs w:val="22"/>
        </w:rPr>
        <w:t>.</w:t>
      </w:r>
    </w:p>
    <w:p w14:paraId="686F3BAF" w14:textId="77777777" w:rsidR="003646A0" w:rsidRPr="00F93FFA" w:rsidRDefault="003646A0" w:rsidP="00DE16D0">
      <w:pPr>
        <w:widowControl w:val="0"/>
        <w:ind w:left="567" w:hanging="567"/>
        <w:rPr>
          <w:color w:val="000000"/>
          <w:sz w:val="22"/>
          <w:szCs w:val="22"/>
        </w:rPr>
      </w:pPr>
    </w:p>
    <w:p w14:paraId="0E519CB7" w14:textId="77777777" w:rsidR="003646A0" w:rsidRPr="00F93FFA" w:rsidRDefault="003646A0" w:rsidP="00DE16D0">
      <w:pPr>
        <w:keepNext/>
        <w:widowControl w:val="0"/>
        <w:ind w:left="567" w:hanging="567"/>
        <w:rPr>
          <w:color w:val="000000"/>
          <w:sz w:val="22"/>
          <w:szCs w:val="22"/>
          <w:u w:val="single"/>
        </w:rPr>
      </w:pPr>
      <w:r w:rsidRPr="00F93FFA">
        <w:rPr>
          <w:color w:val="000000"/>
          <w:sz w:val="22"/>
          <w:szCs w:val="22"/>
          <w:u w:val="single"/>
        </w:rPr>
        <w:t>Pakitę laboratoriniai testai</w:t>
      </w:r>
    </w:p>
    <w:p w14:paraId="6BF5E0C9" w14:textId="77777777" w:rsidR="003646A0" w:rsidRPr="00F93FFA" w:rsidRDefault="003646A0" w:rsidP="00DE16D0">
      <w:pPr>
        <w:keepNext/>
        <w:widowControl w:val="0"/>
        <w:ind w:left="567" w:hanging="567"/>
        <w:rPr>
          <w:i/>
          <w:color w:val="000000"/>
          <w:sz w:val="22"/>
          <w:szCs w:val="22"/>
        </w:rPr>
      </w:pPr>
      <w:r w:rsidRPr="00F93FFA">
        <w:rPr>
          <w:i/>
          <w:color w:val="000000"/>
          <w:sz w:val="22"/>
          <w:szCs w:val="22"/>
        </w:rPr>
        <w:t>Hematologija</w:t>
      </w:r>
    </w:p>
    <w:p w14:paraId="52BD63B9" w14:textId="77777777" w:rsidR="003646A0" w:rsidRPr="00F93FFA" w:rsidRDefault="003646A0" w:rsidP="00DE16D0">
      <w:pPr>
        <w:widowControl w:val="0"/>
        <w:rPr>
          <w:color w:val="000000"/>
          <w:sz w:val="22"/>
          <w:szCs w:val="22"/>
        </w:rPr>
      </w:pPr>
      <w:r w:rsidRPr="00F93FFA">
        <w:rPr>
          <w:color w:val="000000"/>
          <w:sz w:val="22"/>
          <w:szCs w:val="22"/>
        </w:rPr>
        <w:t xml:space="preserve">Visų tyrimų metu LML sergantiems pacientams stebėta citopenija, ypač neutropenija ir trombocitopenija, dažniau vartojant dideles </w:t>
      </w:r>
      <w:r w:rsidRPr="00F93FFA">
        <w:rPr>
          <w:color w:val="000000"/>
          <w:sz w:val="22"/>
          <w:szCs w:val="22"/>
        </w:rPr>
        <w:sym w:font="Symbol" w:char="F0B3"/>
      </w:r>
      <w:r w:rsidRPr="00F93FFA">
        <w:rPr>
          <w:color w:val="000000"/>
          <w:sz w:val="22"/>
          <w:szCs w:val="22"/>
        </w:rPr>
        <w:t> 750 mg dozes (I fazės tyrimas). Tačiau citopenijos aiškiai priklauso nuo ligos stadijos, III</w:t>
      </w:r>
      <w:r w:rsidRPr="00F93FFA">
        <w:rPr>
          <w:color w:val="000000"/>
          <w:sz w:val="22"/>
          <w:szCs w:val="22"/>
        </w:rPr>
        <w:noBreakHyphen/>
        <w:t>IV laipsnio neutropenija (ANS &lt; 1,0 x 10</w:t>
      </w:r>
      <w:r w:rsidRPr="00F93FFA">
        <w:rPr>
          <w:color w:val="000000"/>
          <w:sz w:val="22"/>
          <w:szCs w:val="22"/>
          <w:vertAlign w:val="superscript"/>
        </w:rPr>
        <w:t>9</w:t>
      </w:r>
      <w:r w:rsidRPr="00F93FFA">
        <w:rPr>
          <w:color w:val="000000"/>
          <w:sz w:val="22"/>
          <w:szCs w:val="22"/>
        </w:rPr>
        <w:t>/l) ir trombocitopenija (trombocitų &lt; 50 x 10</w:t>
      </w:r>
      <w:r w:rsidRPr="00F93FFA">
        <w:rPr>
          <w:color w:val="000000"/>
          <w:sz w:val="22"/>
          <w:szCs w:val="22"/>
          <w:vertAlign w:val="superscript"/>
        </w:rPr>
        <w:t>9</w:t>
      </w:r>
      <w:r w:rsidRPr="00F93FFA">
        <w:rPr>
          <w:color w:val="000000"/>
          <w:sz w:val="22"/>
          <w:szCs w:val="22"/>
        </w:rPr>
        <w:t>/l) buvo 4–6 kartus dažniau nustatyta pacientams, kuriems buvo blastinė krizė ar akceleracijos fazė (neutropenija ir trombocitopenija atitinkamai 59–64 % ir 44–63 %), lyginant su pacientais, kuriems buvo naujai diagnozuota lėtinė LML fazė (16,7 % neutropenija ir 8,9 % trombocitopenija). Naujai diagnozuotos lėtinės LML fazės metu IV laipsnio neutropenija (ANS &lt; 0,5 x 10</w:t>
      </w:r>
      <w:r w:rsidRPr="00F93FFA">
        <w:rPr>
          <w:color w:val="000000"/>
          <w:sz w:val="22"/>
          <w:szCs w:val="22"/>
          <w:vertAlign w:val="superscript"/>
        </w:rPr>
        <w:t>9</w:t>
      </w:r>
      <w:r w:rsidRPr="00F93FFA">
        <w:rPr>
          <w:color w:val="000000"/>
          <w:sz w:val="22"/>
          <w:szCs w:val="22"/>
        </w:rPr>
        <w:t>/l) ir trombocitopenija (trombocitų &lt; 50 x 10</w:t>
      </w:r>
      <w:r w:rsidRPr="00F93FFA">
        <w:rPr>
          <w:color w:val="000000"/>
          <w:sz w:val="22"/>
          <w:szCs w:val="22"/>
          <w:vertAlign w:val="superscript"/>
        </w:rPr>
        <w:t>9</w:t>
      </w:r>
      <w:r w:rsidRPr="00F93FFA">
        <w:rPr>
          <w:color w:val="000000"/>
          <w:sz w:val="22"/>
          <w:szCs w:val="22"/>
        </w:rPr>
        <w:t>/l) stebėta atitinkamai 3,6 % ir &lt; 1 % pacientų. Vidurinė neutropenijos ir trombocitopenijos epizodų trukmė paprastai yra atitinkamai 2–3 savaitės ir 3–4 savaitės. Šiuos reiškinius dažniausiai galima kontroliuoti sumažinus Glivec dozę ar laikinai jį nutraukus, tačiau retai tenka gydymą visiškai nutraukti. Vaikų, sergančių LML, tarpe dažniausiai stebėtas nepageidaujamas poveikis buvo III-IV laipsnio citopenijos, įskaitant neutropeniją, trombocitopeniją ir anemiją. Paprastai jos pasireiškė per pirmus gydymo mėnesius.</w:t>
      </w:r>
    </w:p>
    <w:p w14:paraId="46A78ED7" w14:textId="77777777" w:rsidR="003646A0" w:rsidRPr="00F93FFA" w:rsidRDefault="003646A0" w:rsidP="00DE16D0">
      <w:pPr>
        <w:widowControl w:val="0"/>
        <w:rPr>
          <w:color w:val="000000"/>
          <w:sz w:val="22"/>
          <w:szCs w:val="22"/>
        </w:rPr>
      </w:pPr>
    </w:p>
    <w:p w14:paraId="251FB7C2" w14:textId="77777777" w:rsidR="003646A0" w:rsidRPr="00F93FFA" w:rsidRDefault="003646A0" w:rsidP="00DE16D0">
      <w:pPr>
        <w:widowControl w:val="0"/>
        <w:rPr>
          <w:color w:val="000000"/>
          <w:sz w:val="22"/>
          <w:szCs w:val="22"/>
        </w:rPr>
      </w:pPr>
      <w:r w:rsidRPr="00F93FFA">
        <w:rPr>
          <w:color w:val="000000"/>
          <w:sz w:val="22"/>
          <w:szCs w:val="22"/>
        </w:rPr>
        <w:t xml:space="preserve">Atlikto klinikinio tyrimo duomenimis, jame dalyvavusiems pacientams, kuriems buvo nerezekuotinas ir (ar) metastazavęs VTSN, III–IV laipsnio anemija pasitaikė atitinkamai 5,4 % ir 0,7 %. Ji gali būti susijusi su virškinimo trakto ir vidunavikiniu kraujavimu, bent jau kai kuriems pacientams. III–IV laipsnio neutropenija stebėta atitinkamai 7,5 % ir 2,7 % pacientų, o III laipsnio trombocitopenija – 0,7 % pacientų. Nė vienam pacientui nepasireiškė IV laipsnio trombocitopenija. Leukocitų (baltųjų </w:t>
      </w:r>
      <w:r w:rsidRPr="00F93FFA">
        <w:rPr>
          <w:color w:val="000000"/>
          <w:sz w:val="22"/>
          <w:szCs w:val="22"/>
        </w:rPr>
        <w:lastRenderedPageBreak/>
        <w:t>kraujo kūnelių, BKK) ir neutrofilų daugiausia sumažėjo per pirmąsias šešias gydymo savaites, paskui jų kiekis santykinai nekito.</w:t>
      </w:r>
    </w:p>
    <w:p w14:paraId="4CD9454C" w14:textId="77777777" w:rsidR="003646A0" w:rsidRPr="00F93FFA" w:rsidRDefault="003646A0" w:rsidP="00DE16D0">
      <w:pPr>
        <w:widowControl w:val="0"/>
        <w:rPr>
          <w:color w:val="000000"/>
          <w:sz w:val="22"/>
          <w:szCs w:val="22"/>
        </w:rPr>
      </w:pPr>
    </w:p>
    <w:p w14:paraId="46445AD0" w14:textId="77777777" w:rsidR="003646A0" w:rsidRPr="00F93FFA" w:rsidRDefault="003646A0" w:rsidP="00DE16D0">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Biochemija</w:t>
      </w:r>
    </w:p>
    <w:p w14:paraId="475CAE1C" w14:textId="77777777" w:rsidR="003646A0" w:rsidRPr="00F93FFA" w:rsidRDefault="003646A0" w:rsidP="00DE16D0">
      <w:pPr>
        <w:pStyle w:val="Text"/>
        <w:widowControl w:val="0"/>
        <w:spacing w:before="0"/>
        <w:jc w:val="left"/>
        <w:rPr>
          <w:rFonts w:eastAsia="MS Mincho"/>
          <w:color w:val="000000"/>
          <w:sz w:val="22"/>
          <w:szCs w:val="22"/>
          <w:lang w:val="lt-LT"/>
        </w:rPr>
      </w:pPr>
      <w:r w:rsidRPr="00F93FFA">
        <w:rPr>
          <w:color w:val="000000"/>
          <w:sz w:val="22"/>
          <w:szCs w:val="22"/>
          <w:lang w:val="lt-LT"/>
        </w:rPr>
        <w:t>LML sergantiems pacientams stebėta labai padidėjusi transaminazių (&lt; 5 %) ar bilirubino (&lt; 1 %) koncentracija, kuri paprastai sumažėdavo sumažinus dozę ar laikinai nutraukus gydymą (šių epizodų trukmės mediana buvo maždaug viena savaitė). Dėl pakitusių kepenų funkcijos laboratorinių rodiklių gydymą visiškai reikėjo nutraukti mažiau kaip 1 % LML sirgusių pacientų. 6,8 % VTSN sergančių pacientų (tyrimas B2222) buvo stebėtas 3 ar 4 laipsnio ALT (alanino aminotransferazių</w:t>
      </w:r>
      <w:r w:rsidRPr="00F93FFA">
        <w:rPr>
          <w:rFonts w:eastAsia="MS Mincho"/>
          <w:color w:val="000000"/>
          <w:sz w:val="22"/>
          <w:szCs w:val="22"/>
          <w:lang w:val="lt-LT"/>
        </w:rPr>
        <w:t>)</w:t>
      </w:r>
      <w:r w:rsidRPr="00F93FFA">
        <w:rPr>
          <w:rFonts w:eastAsia="MS Mincho"/>
          <w:b/>
          <w:bCs/>
          <w:color w:val="000000"/>
          <w:sz w:val="22"/>
          <w:szCs w:val="22"/>
          <w:lang w:val="lt-LT" w:eastAsia="ja-JP"/>
        </w:rPr>
        <w:t xml:space="preserve"> </w:t>
      </w:r>
      <w:r w:rsidRPr="00F93FFA">
        <w:rPr>
          <w:color w:val="000000"/>
          <w:sz w:val="22"/>
          <w:szCs w:val="22"/>
          <w:lang w:val="lt-LT"/>
        </w:rPr>
        <w:t>koncentracijos padidėjimas ir 4,8 % - 3 ar 4 laipsnio AST (aspartataminotransferazių</w:t>
      </w:r>
      <w:r w:rsidRPr="00F93FFA">
        <w:rPr>
          <w:rFonts w:eastAsia="MS Mincho"/>
          <w:color w:val="000000"/>
          <w:sz w:val="22"/>
          <w:szCs w:val="22"/>
          <w:lang w:val="lt-LT"/>
        </w:rPr>
        <w:t xml:space="preserve">) </w:t>
      </w:r>
      <w:r w:rsidRPr="00F93FFA">
        <w:rPr>
          <w:color w:val="000000"/>
          <w:sz w:val="22"/>
          <w:szCs w:val="22"/>
          <w:lang w:val="lt-LT"/>
        </w:rPr>
        <w:t>padidėjimas. Bilirubino koncentracija didėjo mažiau kaip 3 %.</w:t>
      </w:r>
    </w:p>
    <w:p w14:paraId="49904C20" w14:textId="77777777" w:rsidR="003646A0" w:rsidRPr="00F93FFA" w:rsidRDefault="003646A0" w:rsidP="00DE16D0">
      <w:pPr>
        <w:widowControl w:val="0"/>
        <w:rPr>
          <w:color w:val="000000"/>
          <w:sz w:val="22"/>
          <w:szCs w:val="22"/>
        </w:rPr>
      </w:pPr>
    </w:p>
    <w:p w14:paraId="3FC54D4E" w14:textId="77777777" w:rsidR="003646A0" w:rsidRPr="00F93FFA" w:rsidRDefault="003646A0" w:rsidP="00DE16D0">
      <w:pPr>
        <w:widowControl w:val="0"/>
        <w:rPr>
          <w:color w:val="000000"/>
          <w:sz w:val="22"/>
          <w:szCs w:val="22"/>
        </w:rPr>
      </w:pPr>
      <w:r w:rsidRPr="00F93FFA">
        <w:rPr>
          <w:color w:val="000000"/>
          <w:sz w:val="22"/>
          <w:szCs w:val="22"/>
        </w:rPr>
        <w:t>Pasitaikė citolizinio bei cholestazinio hepatito ir kepenų nepakankamumo atvejų, kai kurie iš jų baigėsi mirtimi (vienam pacientui – vartojusiam didelę paracetamolio dozę).</w:t>
      </w:r>
    </w:p>
    <w:p w14:paraId="0F336F79" w14:textId="77777777" w:rsidR="003646A0" w:rsidRPr="00F93FFA" w:rsidRDefault="003646A0" w:rsidP="00DE16D0">
      <w:pPr>
        <w:widowControl w:val="0"/>
        <w:ind w:left="567" w:hanging="567"/>
        <w:rPr>
          <w:color w:val="000000"/>
          <w:sz w:val="22"/>
          <w:szCs w:val="22"/>
        </w:rPr>
      </w:pPr>
    </w:p>
    <w:p w14:paraId="43482908" w14:textId="77777777" w:rsidR="00A01420" w:rsidRPr="00F93FFA" w:rsidRDefault="00A01420" w:rsidP="00DE16D0">
      <w:pPr>
        <w:keepNext/>
        <w:widowControl w:val="0"/>
        <w:rPr>
          <w:color w:val="222222"/>
          <w:sz w:val="22"/>
          <w:szCs w:val="20"/>
          <w:u w:val="single"/>
        </w:rPr>
      </w:pPr>
      <w:r w:rsidRPr="00F93FFA">
        <w:rPr>
          <w:color w:val="222222"/>
          <w:sz w:val="22"/>
          <w:szCs w:val="20"/>
          <w:u w:val="single"/>
        </w:rPr>
        <w:t>Atrinktų nepageidaujamų reakcijų apibūdinimas</w:t>
      </w:r>
    </w:p>
    <w:p w14:paraId="425AFAF6" w14:textId="77777777" w:rsidR="00A01420" w:rsidRPr="00F93FFA" w:rsidRDefault="00A01420" w:rsidP="00DE16D0">
      <w:pPr>
        <w:keepNext/>
        <w:widowControl w:val="0"/>
        <w:rPr>
          <w:i/>
          <w:color w:val="222222"/>
          <w:sz w:val="22"/>
          <w:szCs w:val="20"/>
          <w:u w:val="single"/>
        </w:rPr>
      </w:pPr>
      <w:r w:rsidRPr="00F93FFA">
        <w:rPr>
          <w:i/>
          <w:color w:val="222222"/>
          <w:sz w:val="22"/>
          <w:szCs w:val="20"/>
          <w:u w:val="single"/>
        </w:rPr>
        <w:t>Hepatito B reaktyvacija</w:t>
      </w:r>
    </w:p>
    <w:p w14:paraId="375A8E27" w14:textId="77777777" w:rsidR="00A01420" w:rsidRPr="00F93FFA" w:rsidRDefault="00A01420" w:rsidP="00DE16D0">
      <w:pPr>
        <w:widowControl w:val="0"/>
        <w:rPr>
          <w:color w:val="222222"/>
          <w:sz w:val="22"/>
          <w:szCs w:val="20"/>
        </w:rPr>
      </w:pPr>
      <w:r w:rsidRPr="00F93FFA">
        <w:rPr>
          <w:color w:val="222222"/>
          <w:sz w:val="22"/>
          <w:szCs w:val="20"/>
        </w:rPr>
        <w:t>Pranešta kad hepatito B reaktyvacijos atvejai buvo susiję su BCR-ABL tirozinkinazės inhibitorių (TKI) vartojimu. Kai kuriais atvejais tai sukėlė ūminį kepenų nepakankamumą arba žaibinį hepatitą, dėl kurio pacientui teko persodinti kepenis arba pacientas mirė (žr. 4.4 skyrių).</w:t>
      </w:r>
    </w:p>
    <w:p w14:paraId="280C3F64" w14:textId="77777777" w:rsidR="00A01420" w:rsidRPr="00F93FFA" w:rsidRDefault="00A01420" w:rsidP="00DE16D0">
      <w:pPr>
        <w:widowControl w:val="0"/>
        <w:ind w:left="567" w:hanging="567"/>
        <w:rPr>
          <w:color w:val="000000"/>
          <w:sz w:val="22"/>
          <w:szCs w:val="22"/>
        </w:rPr>
      </w:pPr>
    </w:p>
    <w:p w14:paraId="78E8B545" w14:textId="77777777" w:rsidR="003646A0" w:rsidRPr="00F93FFA" w:rsidRDefault="003646A0" w:rsidP="00DE16D0">
      <w:pPr>
        <w:keepNext/>
        <w:widowControl w:val="0"/>
        <w:autoSpaceDE w:val="0"/>
        <w:autoSpaceDN w:val="0"/>
        <w:adjustRightInd w:val="0"/>
        <w:rPr>
          <w:sz w:val="22"/>
          <w:szCs w:val="22"/>
          <w:u w:val="single"/>
        </w:rPr>
      </w:pPr>
      <w:r w:rsidRPr="00F93FFA">
        <w:rPr>
          <w:noProof/>
          <w:sz w:val="22"/>
          <w:szCs w:val="22"/>
          <w:u w:val="single"/>
        </w:rPr>
        <w:t>Pranešimas apie įtariamas nepageidaujamas reakcijas</w:t>
      </w:r>
    </w:p>
    <w:p w14:paraId="127EFF05" w14:textId="77777777" w:rsidR="003646A0" w:rsidRPr="00F93FFA" w:rsidRDefault="003646A0" w:rsidP="00DE16D0">
      <w:pPr>
        <w:widowControl w:val="0"/>
        <w:autoSpaceDE w:val="0"/>
        <w:autoSpaceDN w:val="0"/>
        <w:adjustRightInd w:val="0"/>
        <w:rPr>
          <w:noProof/>
          <w:sz w:val="22"/>
          <w:szCs w:val="22"/>
        </w:rPr>
      </w:pPr>
      <w:r w:rsidRPr="00F93FFA">
        <w:rPr>
          <w:noProof/>
          <w:sz w:val="22"/>
          <w:szCs w:val="22"/>
        </w:rPr>
        <w:t>Svarbu pranešti apie įtariamas nepageidaujamas reakcijas po vaistinio preparato registracijos, nes tai leidžia nuolat stebėti vaistinio preparato naudos ir rizikos santykį.</w:t>
      </w:r>
      <w:r w:rsidRPr="00F93FFA">
        <w:rPr>
          <w:sz w:val="22"/>
          <w:szCs w:val="22"/>
        </w:rPr>
        <w:t xml:space="preserve"> </w:t>
      </w:r>
      <w:r w:rsidRPr="00F93FFA">
        <w:rPr>
          <w:noProof/>
          <w:sz w:val="22"/>
          <w:szCs w:val="22"/>
        </w:rPr>
        <w:t xml:space="preserve">Sveikatos priežiūros specialistai turi pranešti apie bet kokias įtariamas nepageidaujamas reakcijas </w:t>
      </w:r>
      <w:r w:rsidRPr="00F93FFA">
        <w:rPr>
          <w:noProof/>
          <w:sz w:val="22"/>
          <w:szCs w:val="22"/>
          <w:shd w:val="clear" w:color="auto" w:fill="D9D9D9"/>
        </w:rPr>
        <w:t xml:space="preserve">naudodamiesi </w:t>
      </w:r>
      <w:hyperlink r:id="rId11" w:history="1">
        <w:r w:rsidRPr="00F93FFA">
          <w:rPr>
            <w:rStyle w:val="Hyperlink"/>
            <w:sz w:val="22"/>
            <w:szCs w:val="22"/>
            <w:shd w:val="clear" w:color="auto" w:fill="D9D9D9"/>
          </w:rPr>
          <w:t>V priede</w:t>
        </w:r>
      </w:hyperlink>
      <w:r w:rsidRPr="00F93FFA">
        <w:rPr>
          <w:noProof/>
          <w:color w:val="00B050"/>
          <w:sz w:val="22"/>
          <w:szCs w:val="22"/>
          <w:shd w:val="clear" w:color="auto" w:fill="D9D9D9"/>
        </w:rPr>
        <w:t xml:space="preserve"> </w:t>
      </w:r>
      <w:r w:rsidRPr="00F93FFA">
        <w:rPr>
          <w:noProof/>
          <w:sz w:val="22"/>
          <w:szCs w:val="22"/>
          <w:shd w:val="clear" w:color="auto" w:fill="D9D9D9"/>
        </w:rPr>
        <w:t>nurodyta nacionaline pranešimo</w:t>
      </w:r>
      <w:r w:rsidRPr="00F93FFA">
        <w:rPr>
          <w:noProof/>
          <w:color w:val="00B050"/>
          <w:sz w:val="22"/>
          <w:szCs w:val="22"/>
          <w:shd w:val="clear" w:color="auto" w:fill="D9D9D9"/>
        </w:rPr>
        <w:t xml:space="preserve"> </w:t>
      </w:r>
      <w:r w:rsidRPr="00F93FFA">
        <w:rPr>
          <w:noProof/>
          <w:sz w:val="22"/>
          <w:szCs w:val="22"/>
          <w:shd w:val="clear" w:color="auto" w:fill="D9D9D9"/>
        </w:rPr>
        <w:t>sistema.</w:t>
      </w:r>
    </w:p>
    <w:p w14:paraId="2D0A2C79" w14:textId="77777777" w:rsidR="003646A0" w:rsidRPr="00F93FFA" w:rsidRDefault="003646A0" w:rsidP="00DE16D0">
      <w:pPr>
        <w:widowControl w:val="0"/>
        <w:ind w:left="567" w:hanging="567"/>
        <w:rPr>
          <w:color w:val="000000"/>
          <w:sz w:val="22"/>
          <w:szCs w:val="22"/>
        </w:rPr>
      </w:pPr>
    </w:p>
    <w:p w14:paraId="7A58E6A2"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4.9</w:t>
      </w:r>
      <w:r w:rsidRPr="00F93FFA">
        <w:rPr>
          <w:b/>
          <w:color w:val="000000"/>
          <w:sz w:val="22"/>
          <w:szCs w:val="22"/>
        </w:rPr>
        <w:tab/>
        <w:t>Perdozavimas</w:t>
      </w:r>
    </w:p>
    <w:p w14:paraId="3F94DC66" w14:textId="77777777" w:rsidR="003646A0" w:rsidRPr="00F93FFA" w:rsidRDefault="003646A0" w:rsidP="00DE16D0">
      <w:pPr>
        <w:keepNext/>
        <w:widowControl w:val="0"/>
        <w:ind w:left="567" w:hanging="567"/>
        <w:rPr>
          <w:color w:val="000000"/>
          <w:sz w:val="22"/>
          <w:szCs w:val="22"/>
        </w:rPr>
      </w:pPr>
    </w:p>
    <w:p w14:paraId="4CD7FF29"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Didesnės dozės nei rekomenduojama terapinė dozė vartojimo patirties yra nedaug. Pavienių pranešimų metu ir literatūros šaltiniuose registruoti pavieniai Glivec perdozavimo atvejai. P</w:t>
      </w:r>
      <w:r w:rsidRPr="00F93FFA">
        <w:rPr>
          <w:rFonts w:eastAsia="MS Mincho"/>
          <w:color w:val="000000"/>
          <w:szCs w:val="22"/>
        </w:rPr>
        <w:t xml:space="preserve">erdozavusį </w:t>
      </w:r>
      <w:r w:rsidR="00A70D12" w:rsidRPr="00F93FFA">
        <w:rPr>
          <w:rFonts w:eastAsia="MS Mincho"/>
          <w:color w:val="000000"/>
          <w:szCs w:val="22"/>
          <w:lang w:val="lt-LT"/>
        </w:rPr>
        <w:t xml:space="preserve">vaistinio preparato </w:t>
      </w:r>
      <w:r w:rsidRPr="00F93FFA">
        <w:rPr>
          <w:rFonts w:eastAsia="MS Mincho"/>
          <w:color w:val="000000"/>
          <w:szCs w:val="22"/>
        </w:rPr>
        <w:t xml:space="preserve">pacientą reikia stebėti ir taikyti atitinkamas simptominio gydymo priemones. Paprastai praneštais atvejais pacientų būklė </w:t>
      </w:r>
      <w:r w:rsidRPr="00F93FFA">
        <w:rPr>
          <w:color w:val="000000"/>
          <w:szCs w:val="22"/>
        </w:rPr>
        <w:t>“</w:t>
      </w:r>
      <w:r w:rsidRPr="00F93FFA">
        <w:rPr>
          <w:rFonts w:eastAsia="MS Mincho"/>
          <w:color w:val="000000"/>
          <w:szCs w:val="22"/>
        </w:rPr>
        <w:t>pagerėjo</w:t>
      </w:r>
      <w:r w:rsidRPr="00F93FFA">
        <w:rPr>
          <w:color w:val="000000"/>
          <w:szCs w:val="22"/>
        </w:rPr>
        <w:t>”</w:t>
      </w:r>
      <w:r w:rsidRPr="00F93FFA">
        <w:rPr>
          <w:rFonts w:eastAsia="MS Mincho"/>
          <w:color w:val="000000"/>
          <w:szCs w:val="22"/>
        </w:rPr>
        <w:t xml:space="preserve"> arba jie </w:t>
      </w:r>
      <w:r w:rsidRPr="00F93FFA">
        <w:rPr>
          <w:color w:val="000000"/>
          <w:szCs w:val="22"/>
        </w:rPr>
        <w:t>“</w:t>
      </w:r>
      <w:r w:rsidRPr="00F93FFA">
        <w:rPr>
          <w:rFonts w:eastAsia="MS Mincho"/>
          <w:color w:val="000000"/>
          <w:szCs w:val="22"/>
        </w:rPr>
        <w:t>pasveiko</w:t>
      </w:r>
      <w:r w:rsidRPr="00F93FFA">
        <w:rPr>
          <w:color w:val="000000"/>
          <w:szCs w:val="22"/>
        </w:rPr>
        <w:t>”</w:t>
      </w:r>
      <w:r w:rsidRPr="00F93FFA">
        <w:rPr>
          <w:rFonts w:eastAsia="MS Mincho"/>
          <w:color w:val="000000"/>
          <w:szCs w:val="22"/>
        </w:rPr>
        <w:t xml:space="preserve">. Perdozavus skirtingų </w:t>
      </w:r>
      <w:r w:rsidR="00A70D12" w:rsidRPr="00F93FFA">
        <w:rPr>
          <w:rFonts w:eastAsia="MS Mincho"/>
          <w:color w:val="000000"/>
          <w:szCs w:val="22"/>
          <w:lang w:val="lt-LT"/>
        </w:rPr>
        <w:t xml:space="preserve">vaistinio preparato </w:t>
      </w:r>
      <w:r w:rsidRPr="00F93FFA">
        <w:rPr>
          <w:rFonts w:eastAsia="MS Mincho"/>
          <w:color w:val="000000"/>
          <w:szCs w:val="22"/>
        </w:rPr>
        <w:t>dozių, pranešta apie pasireiškusius toliau išvardytus reiškinius.</w:t>
      </w:r>
    </w:p>
    <w:p w14:paraId="15649406" w14:textId="77777777" w:rsidR="003646A0" w:rsidRPr="00F93FFA" w:rsidRDefault="003646A0" w:rsidP="00DE16D0">
      <w:pPr>
        <w:widowControl w:val="0"/>
        <w:rPr>
          <w:color w:val="000000"/>
          <w:sz w:val="22"/>
          <w:szCs w:val="22"/>
        </w:rPr>
      </w:pPr>
    </w:p>
    <w:p w14:paraId="4E8F72A3" w14:textId="77777777" w:rsidR="003646A0" w:rsidRPr="00F93FFA" w:rsidRDefault="003646A0" w:rsidP="00DE16D0">
      <w:pPr>
        <w:keepNext/>
        <w:widowControl w:val="0"/>
        <w:rPr>
          <w:i/>
          <w:iCs/>
          <w:color w:val="000000"/>
          <w:sz w:val="22"/>
          <w:szCs w:val="22"/>
        </w:rPr>
      </w:pPr>
      <w:r w:rsidRPr="00F93FFA">
        <w:rPr>
          <w:i/>
          <w:iCs/>
          <w:color w:val="000000"/>
          <w:sz w:val="22"/>
          <w:szCs w:val="22"/>
        </w:rPr>
        <w:t>Suaugusiųjų populiacija</w:t>
      </w:r>
    </w:p>
    <w:p w14:paraId="702DA37D"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Išgėrus 1200</w:t>
      </w:r>
      <w:r w:rsidRPr="00F93FFA">
        <w:rPr>
          <w:sz w:val="22"/>
          <w:szCs w:val="22"/>
          <w:lang w:val="lt-LT"/>
        </w:rPr>
        <w:noBreakHyphen/>
        <w:t>1600 mg dozę (vartojimo trukmė buvo nuo 1 iki 10 dienų), pasireiškė pykinimas, vėmimas, viduriavimas, bėrimas, eritema, edema, patinimas, nuovargis, raumenų spazmai, trombocitopenija, pancitopenija, pilvo skausmas, galvos skausmas, sumažėjęs apetitas.</w:t>
      </w:r>
    </w:p>
    <w:p w14:paraId="21E5EF2B"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Išgėrus 1800</w:t>
      </w:r>
      <w:r w:rsidRPr="00F93FFA">
        <w:rPr>
          <w:sz w:val="22"/>
          <w:szCs w:val="22"/>
          <w:lang w:val="lt-LT"/>
        </w:rPr>
        <w:noBreakHyphen/>
        <w:t xml:space="preserve">3200 mg dozę (daugiausia po 3200 mg per parą 6 dienas), pasireiškė silpnumas, raumenų skausmas, padidėjusi </w:t>
      </w:r>
      <w:r w:rsidRPr="00F93FFA">
        <w:rPr>
          <w:color w:val="000000"/>
          <w:sz w:val="22"/>
          <w:szCs w:val="22"/>
          <w:lang w:val="lt-LT"/>
        </w:rPr>
        <w:t>kreatinfosfokinazės koncentracija</w:t>
      </w:r>
      <w:r w:rsidRPr="00F93FFA">
        <w:rPr>
          <w:sz w:val="22"/>
          <w:szCs w:val="22"/>
          <w:lang w:val="lt-LT"/>
        </w:rPr>
        <w:t xml:space="preserve">, padidėjusi </w:t>
      </w:r>
      <w:r w:rsidRPr="00F93FFA">
        <w:rPr>
          <w:color w:val="000000"/>
          <w:sz w:val="22"/>
          <w:szCs w:val="22"/>
          <w:lang w:val="lt-LT"/>
        </w:rPr>
        <w:t>bilirubino koncentracija</w:t>
      </w:r>
      <w:r w:rsidRPr="00F93FFA">
        <w:rPr>
          <w:sz w:val="22"/>
          <w:szCs w:val="22"/>
          <w:lang w:val="lt-LT"/>
        </w:rPr>
        <w:t>, virškinimo trakto skausmas.</w:t>
      </w:r>
    </w:p>
    <w:p w14:paraId="0D1508BC"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Išgėrus 6400 mg (vienkartinę dozę): literatūros šaltiniuose pranešta apie vieną tokį atvejį, kai vienam pacientui pasireiškė pykinimas, vėmimas, pilvo skausmas, karščiavimas, veido patinimas, sumažėjęs neutrofilų skaičius kraujyje, padidėjusi transaminazių koncentracija.</w:t>
      </w:r>
    </w:p>
    <w:p w14:paraId="7AFCCC0A"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Išgėrus 8</w:t>
      </w:r>
      <w:r w:rsidRPr="00F93FFA">
        <w:rPr>
          <w:sz w:val="22"/>
          <w:szCs w:val="22"/>
          <w:lang w:val="lt-LT"/>
        </w:rPr>
        <w:noBreakHyphen/>
        <w:t>10 g (vienkartinę dozę), pranešta apie pasireiškusį vėmimą ir virškinimo trakto skausmą.</w:t>
      </w:r>
    </w:p>
    <w:p w14:paraId="4F2CA13B" w14:textId="77777777" w:rsidR="003646A0" w:rsidRPr="00F93FFA" w:rsidRDefault="003646A0" w:rsidP="00DE16D0">
      <w:pPr>
        <w:widowControl w:val="0"/>
        <w:rPr>
          <w:color w:val="000000"/>
          <w:sz w:val="22"/>
          <w:szCs w:val="22"/>
        </w:rPr>
      </w:pPr>
    </w:p>
    <w:p w14:paraId="7E32292D" w14:textId="77777777" w:rsidR="003646A0" w:rsidRPr="00F93FFA" w:rsidRDefault="003646A0" w:rsidP="00DE16D0">
      <w:pPr>
        <w:keepNext/>
        <w:widowControl w:val="0"/>
        <w:rPr>
          <w:i/>
          <w:iCs/>
          <w:color w:val="000000"/>
          <w:sz w:val="22"/>
          <w:szCs w:val="22"/>
        </w:rPr>
      </w:pPr>
      <w:r w:rsidRPr="00F93FFA">
        <w:rPr>
          <w:i/>
          <w:iCs/>
          <w:color w:val="000000"/>
          <w:sz w:val="22"/>
          <w:szCs w:val="22"/>
        </w:rPr>
        <w:t>Vaikų populiacija</w:t>
      </w:r>
    </w:p>
    <w:p w14:paraId="65628DE5"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Vienam 3 metų berniukui, kuris išgėrė vienkartinę 400 mg dozę, pasireiškė vėmimas, viduriavimas ir anoreksija, o kitam 3 metų berniukui, kuris išgėrė vienkartinę 980 mg dozę, sumažėjo leukocitų skaičius kraujyje ir pasireiškė viduriavimas.</w:t>
      </w:r>
    </w:p>
    <w:p w14:paraId="10EA6F6C" w14:textId="77777777" w:rsidR="003646A0" w:rsidRPr="00F93FFA" w:rsidRDefault="003646A0" w:rsidP="00DE16D0">
      <w:pPr>
        <w:widowControl w:val="0"/>
        <w:rPr>
          <w:color w:val="000000"/>
          <w:sz w:val="22"/>
          <w:szCs w:val="22"/>
        </w:rPr>
      </w:pPr>
    </w:p>
    <w:p w14:paraId="0CC144ED" w14:textId="77777777" w:rsidR="003646A0" w:rsidRPr="00F93FFA" w:rsidRDefault="003646A0" w:rsidP="00DE16D0">
      <w:pPr>
        <w:widowControl w:val="0"/>
        <w:rPr>
          <w:color w:val="000000"/>
          <w:sz w:val="22"/>
          <w:szCs w:val="22"/>
        </w:rPr>
      </w:pPr>
      <w:r w:rsidRPr="00F93FFA">
        <w:rPr>
          <w:rFonts w:eastAsia="MS Mincho"/>
          <w:color w:val="000000"/>
          <w:sz w:val="22"/>
          <w:szCs w:val="22"/>
        </w:rPr>
        <w:t xml:space="preserve">Pacientą, perdozavusį </w:t>
      </w:r>
      <w:r w:rsidR="00A70D12" w:rsidRPr="00F93FFA">
        <w:rPr>
          <w:rFonts w:eastAsia="MS Mincho"/>
          <w:color w:val="000000"/>
          <w:sz w:val="22"/>
          <w:szCs w:val="22"/>
        </w:rPr>
        <w:t>vaistinio preparato</w:t>
      </w:r>
      <w:r w:rsidRPr="00F93FFA">
        <w:rPr>
          <w:rFonts w:eastAsia="MS Mincho"/>
          <w:color w:val="000000"/>
          <w:sz w:val="22"/>
          <w:szCs w:val="22"/>
        </w:rPr>
        <w:t>, reikia stebėti ir taikyti atitinkamas pagalbinio gydymo priemones.</w:t>
      </w:r>
    </w:p>
    <w:p w14:paraId="6D7DDE89" w14:textId="77777777" w:rsidR="003646A0" w:rsidRPr="00F93FFA" w:rsidRDefault="003646A0" w:rsidP="00DE16D0">
      <w:pPr>
        <w:widowControl w:val="0"/>
        <w:rPr>
          <w:color w:val="000000"/>
          <w:sz w:val="22"/>
          <w:szCs w:val="22"/>
        </w:rPr>
      </w:pPr>
    </w:p>
    <w:p w14:paraId="10CF0E95" w14:textId="77777777" w:rsidR="003646A0" w:rsidRPr="00F93FFA" w:rsidRDefault="003646A0" w:rsidP="00DE16D0">
      <w:pPr>
        <w:widowControl w:val="0"/>
        <w:ind w:left="567" w:hanging="567"/>
        <w:rPr>
          <w:color w:val="000000"/>
          <w:sz w:val="22"/>
          <w:szCs w:val="22"/>
        </w:rPr>
      </w:pPr>
    </w:p>
    <w:p w14:paraId="726F1150" w14:textId="77777777" w:rsidR="003646A0" w:rsidRPr="00F93FFA" w:rsidRDefault="003646A0" w:rsidP="00DE16D0">
      <w:pPr>
        <w:keepNext/>
        <w:widowControl w:val="0"/>
        <w:ind w:left="567" w:hanging="567"/>
        <w:rPr>
          <w:b/>
          <w:caps/>
          <w:color w:val="000000"/>
          <w:sz w:val="22"/>
          <w:szCs w:val="22"/>
        </w:rPr>
      </w:pPr>
      <w:r w:rsidRPr="00F93FFA">
        <w:rPr>
          <w:b/>
          <w:caps/>
          <w:color w:val="000000"/>
          <w:sz w:val="22"/>
          <w:szCs w:val="22"/>
        </w:rPr>
        <w:lastRenderedPageBreak/>
        <w:t>5.</w:t>
      </w:r>
      <w:r w:rsidRPr="00F93FFA">
        <w:rPr>
          <w:b/>
          <w:caps/>
          <w:color w:val="000000"/>
          <w:sz w:val="22"/>
          <w:szCs w:val="22"/>
        </w:rPr>
        <w:tab/>
      </w:r>
      <w:r w:rsidRPr="00F93FFA">
        <w:rPr>
          <w:b/>
          <w:color w:val="000000"/>
          <w:sz w:val="22"/>
          <w:szCs w:val="22"/>
        </w:rPr>
        <w:t xml:space="preserve">FARMAKOLOGINĖS </w:t>
      </w:r>
      <w:r w:rsidRPr="00F93FFA">
        <w:rPr>
          <w:b/>
          <w:caps/>
          <w:color w:val="000000"/>
          <w:sz w:val="22"/>
          <w:szCs w:val="22"/>
        </w:rPr>
        <w:t>savybės</w:t>
      </w:r>
    </w:p>
    <w:p w14:paraId="29F82A31" w14:textId="77777777" w:rsidR="003646A0" w:rsidRPr="00F93FFA" w:rsidRDefault="003646A0" w:rsidP="00DE16D0">
      <w:pPr>
        <w:keepNext/>
        <w:widowControl w:val="0"/>
        <w:ind w:left="567" w:hanging="567"/>
        <w:rPr>
          <w:color w:val="000000"/>
          <w:sz w:val="22"/>
          <w:szCs w:val="22"/>
        </w:rPr>
      </w:pPr>
    </w:p>
    <w:p w14:paraId="307764A8"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5.1</w:t>
      </w:r>
      <w:r w:rsidRPr="00F93FFA">
        <w:rPr>
          <w:b/>
          <w:color w:val="000000"/>
          <w:sz w:val="22"/>
          <w:szCs w:val="22"/>
        </w:rPr>
        <w:tab/>
        <w:t>Farmakodinaminės savybės</w:t>
      </w:r>
    </w:p>
    <w:p w14:paraId="6F5D461D" w14:textId="77777777" w:rsidR="003646A0" w:rsidRPr="005205BF" w:rsidRDefault="003646A0" w:rsidP="00DE16D0">
      <w:pPr>
        <w:keepNext/>
        <w:widowControl w:val="0"/>
        <w:ind w:left="567" w:hanging="567"/>
        <w:rPr>
          <w:sz w:val="22"/>
          <w:szCs w:val="22"/>
        </w:rPr>
      </w:pPr>
    </w:p>
    <w:p w14:paraId="6857B281" w14:textId="77777777" w:rsidR="003646A0" w:rsidRPr="005205BF" w:rsidRDefault="003646A0" w:rsidP="00DE16D0">
      <w:pPr>
        <w:keepNext/>
        <w:widowControl w:val="0"/>
        <w:ind w:left="567" w:hanging="567"/>
        <w:rPr>
          <w:sz w:val="22"/>
          <w:szCs w:val="22"/>
        </w:rPr>
      </w:pPr>
      <w:r w:rsidRPr="005205BF">
        <w:rPr>
          <w:sz w:val="22"/>
          <w:szCs w:val="22"/>
        </w:rPr>
        <w:t>Farmakoterapinė grupė – baltymo tirozino kinazės inhibitorius, ATC kodas – L01XE01</w:t>
      </w:r>
    </w:p>
    <w:p w14:paraId="0767F554" w14:textId="77777777" w:rsidR="003646A0" w:rsidRPr="005205BF" w:rsidRDefault="003646A0" w:rsidP="00DE16D0">
      <w:pPr>
        <w:pStyle w:val="EndnoteText"/>
        <w:keepNext/>
        <w:widowControl w:val="0"/>
        <w:tabs>
          <w:tab w:val="clear" w:pos="567"/>
        </w:tabs>
        <w:rPr>
          <w:szCs w:val="22"/>
          <w:u w:val="single"/>
          <w:lang w:val="lt-LT"/>
        </w:rPr>
      </w:pPr>
    </w:p>
    <w:p w14:paraId="3A3B51A9" w14:textId="77777777" w:rsidR="003646A0" w:rsidRPr="005205BF" w:rsidRDefault="003646A0" w:rsidP="00DE16D0">
      <w:pPr>
        <w:pStyle w:val="EndnoteText"/>
        <w:keepNext/>
        <w:widowControl w:val="0"/>
        <w:tabs>
          <w:tab w:val="clear" w:pos="567"/>
        </w:tabs>
        <w:rPr>
          <w:szCs w:val="22"/>
          <w:u w:val="single"/>
          <w:lang w:val="lt-LT"/>
        </w:rPr>
      </w:pPr>
      <w:r w:rsidRPr="005205BF">
        <w:rPr>
          <w:szCs w:val="22"/>
          <w:u w:val="single"/>
          <w:lang w:val="lt-LT"/>
        </w:rPr>
        <w:t>Veikimo mechanizmas</w:t>
      </w:r>
    </w:p>
    <w:p w14:paraId="10B89870" w14:textId="77777777" w:rsidR="003646A0" w:rsidRPr="005205BF" w:rsidRDefault="003646A0" w:rsidP="00DE16D0">
      <w:pPr>
        <w:pStyle w:val="EndnoteText"/>
        <w:widowControl w:val="0"/>
        <w:tabs>
          <w:tab w:val="clear" w:pos="567"/>
        </w:tabs>
        <w:rPr>
          <w:szCs w:val="22"/>
          <w:lang w:val="lt-LT"/>
        </w:rPr>
      </w:pPr>
      <w:r w:rsidRPr="00F93FFA">
        <w:rPr>
          <w:szCs w:val="22"/>
          <w:lang w:val="lt-LT"/>
        </w:rPr>
        <w:t xml:space="preserve">Imatinibas yra nedidelė </w:t>
      </w:r>
      <w:r w:rsidRPr="005205BF">
        <w:rPr>
          <w:szCs w:val="22"/>
          <w:lang w:val="lt-LT"/>
        </w:rPr>
        <w:t>baltymo tirozino kinazės inhibitoriaus</w:t>
      </w:r>
      <w:r w:rsidRPr="00F93FFA">
        <w:rPr>
          <w:szCs w:val="22"/>
          <w:lang w:val="lt-LT"/>
        </w:rPr>
        <w:t xml:space="preserve"> molekulė, kuri stipriai slopina Bcr-Abl </w:t>
      </w:r>
      <w:r w:rsidRPr="005205BF">
        <w:rPr>
          <w:szCs w:val="22"/>
          <w:lang w:val="lt-LT"/>
        </w:rPr>
        <w:t xml:space="preserve">tirozino kinazės </w:t>
      </w:r>
      <w:r w:rsidRPr="00F93FFA">
        <w:rPr>
          <w:szCs w:val="22"/>
          <w:lang w:val="lt-LT"/>
        </w:rPr>
        <w:t xml:space="preserve">(TK) aktyvumą, taip pat keleto TK receptorių aktyvumą: Kit, c-Kit proto-onkogeną koduojančio kamieninių ląstelių faktoriaus (angl. </w:t>
      </w:r>
      <w:r w:rsidRPr="00F93FFA">
        <w:rPr>
          <w:i/>
          <w:szCs w:val="22"/>
          <w:lang w:val="lt-LT"/>
        </w:rPr>
        <w:t>stem cell factor – SCF</w:t>
      </w:r>
      <w:r w:rsidRPr="00F93FFA">
        <w:rPr>
          <w:szCs w:val="22"/>
          <w:lang w:val="lt-LT"/>
        </w:rPr>
        <w:t xml:space="preserve">) receptorių, diskoidino domeno receptorius (DDR1 ir DDR2), kolonijas stimuliuojančio faktoriaus receptorių (angl. </w:t>
      </w:r>
      <w:r w:rsidRPr="00F93FFA">
        <w:rPr>
          <w:i/>
          <w:szCs w:val="22"/>
          <w:lang w:val="lt-LT"/>
        </w:rPr>
        <w:t>colony stimulating factor receptor – CSF-1R</w:t>
      </w:r>
      <w:r w:rsidRPr="00F93FFA">
        <w:rPr>
          <w:szCs w:val="22"/>
          <w:lang w:val="lt-LT"/>
        </w:rPr>
        <w:t xml:space="preserve">) bei trombocituose esančius augimo faktoriaus receptorius alfa ir beta (angl. </w:t>
      </w:r>
      <w:r w:rsidRPr="00F93FFA">
        <w:rPr>
          <w:i/>
          <w:szCs w:val="22"/>
          <w:lang w:val="lt-LT"/>
        </w:rPr>
        <w:t>platelet-derived growth factor receptors – PDGFR-alpha, PDGFR-beta</w:t>
      </w:r>
      <w:r w:rsidRPr="00F93FFA">
        <w:rPr>
          <w:szCs w:val="22"/>
          <w:lang w:val="lt-LT"/>
        </w:rPr>
        <w:t>). Imatinibas taip pat gali slopinti ląstelių procesus, kuriuos skatina šių receptorių kinazių aktyvinimas.</w:t>
      </w:r>
    </w:p>
    <w:p w14:paraId="14BCC493" w14:textId="77777777" w:rsidR="003646A0" w:rsidRPr="005205BF" w:rsidRDefault="003646A0" w:rsidP="00DE16D0">
      <w:pPr>
        <w:pStyle w:val="EndnoteText"/>
        <w:widowControl w:val="0"/>
        <w:tabs>
          <w:tab w:val="clear" w:pos="567"/>
        </w:tabs>
        <w:rPr>
          <w:szCs w:val="22"/>
          <w:lang w:val="lt-LT"/>
        </w:rPr>
      </w:pPr>
    </w:p>
    <w:p w14:paraId="28CE049C" w14:textId="77777777" w:rsidR="003646A0" w:rsidRPr="005205BF" w:rsidRDefault="003646A0" w:rsidP="00DE16D0">
      <w:pPr>
        <w:pStyle w:val="EndnoteText"/>
        <w:keepNext/>
        <w:widowControl w:val="0"/>
        <w:tabs>
          <w:tab w:val="clear" w:pos="567"/>
        </w:tabs>
        <w:rPr>
          <w:szCs w:val="22"/>
        </w:rPr>
      </w:pPr>
      <w:r w:rsidRPr="005205BF">
        <w:rPr>
          <w:szCs w:val="22"/>
          <w:u w:val="single"/>
          <w:lang w:val="lt-LT"/>
        </w:rPr>
        <w:t>Farmakodinaminis poveikis</w:t>
      </w:r>
    </w:p>
    <w:p w14:paraId="029399E9" w14:textId="77777777" w:rsidR="003646A0" w:rsidRPr="005205BF" w:rsidRDefault="003646A0" w:rsidP="00DE16D0">
      <w:pPr>
        <w:pStyle w:val="EndnoteText"/>
        <w:widowControl w:val="0"/>
        <w:tabs>
          <w:tab w:val="clear" w:pos="567"/>
        </w:tabs>
        <w:rPr>
          <w:szCs w:val="22"/>
          <w:lang w:val="lt-LT"/>
        </w:rPr>
      </w:pPr>
      <w:r w:rsidRPr="005205BF">
        <w:rPr>
          <w:szCs w:val="22"/>
          <w:lang w:val="lt-LT"/>
        </w:rPr>
        <w:t xml:space="preserve">Imatinibas yra proteintirozinkinazės inhibitorius, kuris </w:t>
      </w:r>
      <w:r w:rsidRPr="005205BF">
        <w:rPr>
          <w:i/>
          <w:szCs w:val="22"/>
          <w:lang w:val="lt-LT"/>
        </w:rPr>
        <w:t>in vitro</w:t>
      </w:r>
      <w:r w:rsidRPr="005205BF">
        <w:rPr>
          <w:szCs w:val="22"/>
          <w:lang w:val="lt-LT"/>
        </w:rPr>
        <w:t xml:space="preserve">, ląstelės lygmenyje ir </w:t>
      </w:r>
      <w:r w:rsidRPr="005205BF">
        <w:rPr>
          <w:i/>
          <w:szCs w:val="22"/>
          <w:lang w:val="lt-LT"/>
        </w:rPr>
        <w:t>in vivo</w:t>
      </w:r>
      <w:r w:rsidRPr="005205BF">
        <w:rPr>
          <w:szCs w:val="22"/>
          <w:lang w:val="lt-LT"/>
        </w:rPr>
        <w:t xml:space="preserve"> stipriai slopina Bcr-Abl tirozinkinazę. Junginys selektyviai slopina proliferaciją ir indukuoja apoptozę Bcr-Abl teigiamose ląstelių eilėse, taip pat šviežiose leukeminėse ląstelėse, gautose iš </w:t>
      </w:r>
      <w:r w:rsidRPr="005205BF">
        <w:rPr>
          <w:i/>
          <w:szCs w:val="22"/>
          <w:lang w:val="lt-LT"/>
        </w:rPr>
        <w:t>Philadelphia</w:t>
      </w:r>
      <w:r w:rsidRPr="005205BF">
        <w:rPr>
          <w:szCs w:val="22"/>
          <w:lang w:val="lt-LT"/>
        </w:rPr>
        <w:t xml:space="preserve"> chromosomai teigiamų LML ir ūmine limfoblastine leukemija (ŪLL) sergančių pacientų.</w:t>
      </w:r>
    </w:p>
    <w:p w14:paraId="73842CD3" w14:textId="77777777" w:rsidR="003646A0" w:rsidRPr="005205BF" w:rsidRDefault="003646A0" w:rsidP="00DE16D0">
      <w:pPr>
        <w:widowControl w:val="0"/>
        <w:rPr>
          <w:sz w:val="22"/>
          <w:szCs w:val="22"/>
        </w:rPr>
      </w:pPr>
    </w:p>
    <w:p w14:paraId="30B888CD" w14:textId="77777777" w:rsidR="003646A0" w:rsidRPr="00F93FFA" w:rsidRDefault="003646A0" w:rsidP="00DE16D0">
      <w:pPr>
        <w:widowControl w:val="0"/>
        <w:rPr>
          <w:color w:val="000000"/>
          <w:sz w:val="22"/>
          <w:szCs w:val="22"/>
        </w:rPr>
      </w:pPr>
      <w:r w:rsidRPr="00F93FFA">
        <w:rPr>
          <w:i/>
          <w:color w:val="000000"/>
          <w:sz w:val="22"/>
          <w:szCs w:val="22"/>
        </w:rPr>
        <w:t>In vivo</w:t>
      </w:r>
      <w:r w:rsidRPr="00F93FFA">
        <w:rPr>
          <w:color w:val="000000"/>
          <w:sz w:val="22"/>
          <w:szCs w:val="22"/>
        </w:rPr>
        <w:t xml:space="preserve"> gyvūnų modelyje su Bcr</w:t>
      </w:r>
      <w:r w:rsidRPr="00F93FFA">
        <w:rPr>
          <w:color w:val="000000"/>
          <w:sz w:val="22"/>
          <w:szCs w:val="22"/>
        </w:rPr>
        <w:noBreakHyphen/>
        <w:t>Abl teigiamomis naviko ląstelėmis junginiui (monoterapijoje) būdingas antinavikinis aktyvumas.</w:t>
      </w:r>
    </w:p>
    <w:p w14:paraId="3264EB7A" w14:textId="77777777" w:rsidR="003646A0" w:rsidRPr="00F93FFA" w:rsidRDefault="003646A0" w:rsidP="00DE16D0">
      <w:pPr>
        <w:widowControl w:val="0"/>
        <w:rPr>
          <w:color w:val="000000"/>
          <w:sz w:val="22"/>
          <w:szCs w:val="22"/>
        </w:rPr>
      </w:pPr>
    </w:p>
    <w:p w14:paraId="64AA7A57" w14:textId="77777777" w:rsidR="003646A0" w:rsidRPr="00F93FFA" w:rsidRDefault="003646A0" w:rsidP="00DE16D0">
      <w:pPr>
        <w:widowControl w:val="0"/>
        <w:rPr>
          <w:color w:val="000000"/>
          <w:sz w:val="22"/>
          <w:szCs w:val="22"/>
        </w:rPr>
      </w:pPr>
      <w:r w:rsidRPr="00F93FFA">
        <w:rPr>
          <w:color w:val="000000"/>
          <w:sz w:val="22"/>
          <w:szCs w:val="22"/>
        </w:rPr>
        <w:t>Imatinibas taip pat yra trombocitų kilmės augimo faktoriaus (</w:t>
      </w:r>
      <w:r w:rsidRPr="00F93FFA">
        <w:rPr>
          <w:i/>
          <w:color w:val="000000"/>
          <w:sz w:val="22"/>
          <w:szCs w:val="22"/>
        </w:rPr>
        <w:t>platelet-derived growth factor</w:t>
      </w:r>
      <w:r w:rsidRPr="00F93FFA">
        <w:rPr>
          <w:color w:val="000000"/>
          <w:sz w:val="22"/>
          <w:szCs w:val="22"/>
        </w:rPr>
        <w:t>, PDGF) tirozinkinazių receptorių, PDGF-R, kamieninių ląstelių faktoriaus (</w:t>
      </w:r>
      <w:r w:rsidRPr="00F93FFA">
        <w:rPr>
          <w:i/>
          <w:color w:val="000000"/>
          <w:sz w:val="22"/>
          <w:szCs w:val="22"/>
        </w:rPr>
        <w:t>stem cell factor</w:t>
      </w:r>
      <w:r w:rsidRPr="00F93FFA">
        <w:rPr>
          <w:color w:val="000000"/>
          <w:sz w:val="22"/>
          <w:szCs w:val="22"/>
        </w:rPr>
        <w:t xml:space="preserve">, SCF), c-Kit inhibitorius. Jis slopina PDGF ir SCF medijuojamus ląstelių procesus. </w:t>
      </w:r>
      <w:r w:rsidRPr="00F93FFA">
        <w:rPr>
          <w:i/>
          <w:color w:val="000000"/>
          <w:sz w:val="22"/>
          <w:szCs w:val="22"/>
        </w:rPr>
        <w:t>In vitro</w:t>
      </w:r>
      <w:r w:rsidRPr="00F93FFA">
        <w:rPr>
          <w:color w:val="000000"/>
          <w:sz w:val="22"/>
          <w:szCs w:val="22"/>
        </w:rPr>
        <w:t xml:space="preserve"> imatinibas slopina proliferaciją ir indukuoja virškinimo trakto stromos naviko (VTSN) ląstelių, kurios ekspresuoja aktyvintą </w:t>
      </w:r>
      <w:r w:rsidRPr="00F93FFA">
        <w:rPr>
          <w:i/>
          <w:color w:val="000000"/>
          <w:sz w:val="22"/>
          <w:szCs w:val="22"/>
        </w:rPr>
        <w:t>kit</w:t>
      </w:r>
      <w:r w:rsidRPr="00F93FFA">
        <w:rPr>
          <w:color w:val="000000"/>
          <w:sz w:val="22"/>
          <w:szCs w:val="22"/>
        </w:rPr>
        <w:t xml:space="preserve"> mutaciją, apoptozę. MDS/MPL, HES/LEL ir DFSP patogenezėje svarbus PDGF receptorių ar Abl baltymo tirozino kinazės aktyvavymas, kurį gali skatinti jungimasis su įvairiais baltymais ar PDGF gamyba. Imatinibas slopina sutrikusio PDGFR ir Abl kinazės aktyvumo sukeltą signalo perdavimą ir ląstelių dauginimąsi.</w:t>
      </w:r>
    </w:p>
    <w:p w14:paraId="7B243F55" w14:textId="77777777" w:rsidR="003646A0" w:rsidRPr="00F93FFA" w:rsidRDefault="003646A0" w:rsidP="00DE16D0">
      <w:pPr>
        <w:widowControl w:val="0"/>
        <w:ind w:left="567" w:hanging="567"/>
        <w:rPr>
          <w:color w:val="000000"/>
          <w:sz w:val="22"/>
          <w:szCs w:val="22"/>
        </w:rPr>
      </w:pPr>
    </w:p>
    <w:p w14:paraId="389E9704" w14:textId="77777777" w:rsidR="003646A0" w:rsidRPr="00F93FFA" w:rsidRDefault="003646A0" w:rsidP="00DE16D0">
      <w:pPr>
        <w:keepNext/>
        <w:widowControl w:val="0"/>
        <w:rPr>
          <w:color w:val="000000"/>
          <w:sz w:val="22"/>
          <w:szCs w:val="22"/>
          <w:u w:val="single"/>
        </w:rPr>
      </w:pPr>
      <w:r w:rsidRPr="00F93FFA">
        <w:rPr>
          <w:color w:val="000000"/>
          <w:sz w:val="22"/>
          <w:szCs w:val="22"/>
          <w:u w:val="single"/>
        </w:rPr>
        <w:t>Klinikiniai lėtinės mieloleukemijos tyrimai</w:t>
      </w:r>
    </w:p>
    <w:p w14:paraId="3714471A" w14:textId="77777777" w:rsidR="003646A0" w:rsidRPr="00F93FFA" w:rsidRDefault="003646A0" w:rsidP="00DE16D0">
      <w:pPr>
        <w:widowControl w:val="0"/>
        <w:rPr>
          <w:color w:val="000000"/>
          <w:sz w:val="22"/>
          <w:szCs w:val="22"/>
        </w:rPr>
      </w:pPr>
      <w:r w:rsidRPr="00F93FFA">
        <w:rPr>
          <w:color w:val="000000"/>
          <w:sz w:val="22"/>
          <w:szCs w:val="22"/>
        </w:rPr>
        <w:t>Glivec veiksmingumas nustatomas bendra hematologinio ir citogenetinio atsako dalimi ir gyvenimo trukme be ligos progresavimo. Išskyrus su naujai diagnozuota lėtine LML faze susijusį tyrimą, kontroliuotų klinikinių tyrimų, įrodančių klinikinę naudą, t.</w:t>
      </w:r>
      <w:r w:rsidR="00957B98" w:rsidRPr="00F93FFA">
        <w:rPr>
          <w:color w:val="000000"/>
          <w:sz w:val="22"/>
          <w:szCs w:val="22"/>
        </w:rPr>
        <w:t> </w:t>
      </w:r>
      <w:r w:rsidRPr="00F93FFA">
        <w:rPr>
          <w:color w:val="000000"/>
          <w:sz w:val="22"/>
          <w:szCs w:val="22"/>
        </w:rPr>
        <w:t>y., nuo ligos priklausomų požymių išnykimą ar pailgėjusią gyvenimo trukmę, neatlikta.</w:t>
      </w:r>
    </w:p>
    <w:p w14:paraId="1FF87156" w14:textId="77777777" w:rsidR="003646A0" w:rsidRPr="00F93FFA" w:rsidRDefault="003646A0" w:rsidP="00DE16D0">
      <w:pPr>
        <w:widowControl w:val="0"/>
        <w:rPr>
          <w:color w:val="000000"/>
          <w:sz w:val="22"/>
          <w:szCs w:val="22"/>
        </w:rPr>
      </w:pPr>
    </w:p>
    <w:p w14:paraId="1920AF42" w14:textId="77777777" w:rsidR="003646A0" w:rsidRPr="00F93FFA" w:rsidRDefault="003646A0" w:rsidP="00DE16D0">
      <w:pPr>
        <w:widowControl w:val="0"/>
        <w:rPr>
          <w:color w:val="000000"/>
          <w:sz w:val="22"/>
          <w:szCs w:val="22"/>
        </w:rPr>
      </w:pPr>
      <w:r w:rsidRPr="00F93FFA">
        <w:rPr>
          <w:color w:val="000000"/>
          <w:sz w:val="22"/>
          <w:szCs w:val="22"/>
        </w:rPr>
        <w:t xml:space="preserve">Atlikti trys dideli tarptautiniai, atviri, nekontroliuojami II fazės tyrimai pacientams, kuriems buvo </w:t>
      </w:r>
      <w:r w:rsidRPr="00F93FFA">
        <w:rPr>
          <w:i/>
          <w:color w:val="000000"/>
          <w:sz w:val="22"/>
          <w:szCs w:val="22"/>
        </w:rPr>
        <w:t>Philadelphia</w:t>
      </w:r>
      <w:r w:rsidRPr="00F93FFA">
        <w:rPr>
          <w:color w:val="000000"/>
          <w:sz w:val="22"/>
          <w:szCs w:val="22"/>
        </w:rPr>
        <w:t xml:space="preserve"> chromosomai teigiamos (Ph+) LML progresavusi, blastinė ar akceleracijos fazė, kitos Ph+ leukemijos ar LML lėtinė fazė, bet neefektyvus ankstesnis gydymas interferonu alfa (IFN). Vienas didelis, atviras, daugiacentris, tarptautinis randomizuotas III fazės tyrimas atliktas pacientams, kuriems buvo naujai diagnozuota Ph+ LML. Be to, vaikai buvo gydomi dviejų I fazės tyrimų ir vieno II fazės tyrimo metu.</w:t>
      </w:r>
    </w:p>
    <w:p w14:paraId="15F0479A" w14:textId="77777777" w:rsidR="003646A0" w:rsidRPr="00F93FFA" w:rsidRDefault="003646A0" w:rsidP="00DE16D0">
      <w:pPr>
        <w:widowControl w:val="0"/>
        <w:rPr>
          <w:color w:val="000000"/>
          <w:sz w:val="22"/>
          <w:szCs w:val="22"/>
        </w:rPr>
      </w:pPr>
    </w:p>
    <w:p w14:paraId="3DF7A381" w14:textId="77777777" w:rsidR="003646A0" w:rsidRPr="00F93FFA" w:rsidRDefault="003646A0" w:rsidP="00DE16D0">
      <w:pPr>
        <w:widowControl w:val="0"/>
        <w:rPr>
          <w:color w:val="000000"/>
          <w:sz w:val="22"/>
          <w:szCs w:val="22"/>
        </w:rPr>
      </w:pPr>
      <w:r w:rsidRPr="00F93FFA">
        <w:rPr>
          <w:color w:val="000000"/>
          <w:sz w:val="22"/>
          <w:szCs w:val="22"/>
        </w:rPr>
        <w:t xml:space="preserve">38–40 % visuose tyrimuose dalyvavusių pacientų buvo </w:t>
      </w:r>
      <w:r w:rsidRPr="00F93FFA">
        <w:rPr>
          <w:color w:val="000000"/>
          <w:sz w:val="22"/>
          <w:szCs w:val="22"/>
        </w:rPr>
        <w:sym w:font="Symbol" w:char="F0B3"/>
      </w:r>
      <w:r w:rsidRPr="00F93FFA">
        <w:rPr>
          <w:color w:val="000000"/>
          <w:sz w:val="22"/>
          <w:szCs w:val="22"/>
        </w:rPr>
        <w:t xml:space="preserve"> 60 metų ir 10–12 % – </w:t>
      </w:r>
      <w:r w:rsidRPr="00F93FFA">
        <w:rPr>
          <w:color w:val="000000"/>
          <w:sz w:val="22"/>
          <w:szCs w:val="22"/>
        </w:rPr>
        <w:sym w:font="Symbol" w:char="F0B3"/>
      </w:r>
      <w:r w:rsidRPr="00F93FFA">
        <w:rPr>
          <w:color w:val="000000"/>
          <w:sz w:val="22"/>
          <w:szCs w:val="22"/>
        </w:rPr>
        <w:t> 70 metų.</w:t>
      </w:r>
    </w:p>
    <w:p w14:paraId="60486D6B" w14:textId="77777777" w:rsidR="003646A0" w:rsidRPr="00F93FFA" w:rsidRDefault="003646A0" w:rsidP="00DE16D0">
      <w:pPr>
        <w:widowControl w:val="0"/>
        <w:ind w:left="567" w:hanging="567"/>
        <w:rPr>
          <w:color w:val="000000"/>
          <w:sz w:val="22"/>
          <w:szCs w:val="22"/>
        </w:rPr>
      </w:pPr>
    </w:p>
    <w:p w14:paraId="559A8EBE" w14:textId="77777777" w:rsidR="003646A0" w:rsidRPr="00F93FFA" w:rsidRDefault="003646A0" w:rsidP="00DE16D0">
      <w:pPr>
        <w:widowControl w:val="0"/>
        <w:rPr>
          <w:color w:val="000000"/>
          <w:sz w:val="22"/>
          <w:szCs w:val="22"/>
        </w:rPr>
      </w:pPr>
      <w:r w:rsidRPr="00F93FFA">
        <w:rPr>
          <w:i/>
          <w:color w:val="000000"/>
          <w:sz w:val="22"/>
          <w:szCs w:val="22"/>
        </w:rPr>
        <w:t>Naujai diagnozuota lėtinė fazė</w:t>
      </w:r>
      <w:r w:rsidRPr="00F93FFA">
        <w:rPr>
          <w:color w:val="000000"/>
          <w:sz w:val="22"/>
          <w:szCs w:val="22"/>
        </w:rPr>
        <w:t xml:space="preserve">. Šio III fazės tyrimo suaugusiųjų tarpe metu buvo lygintas gydymas vienu Glivec ir gydymas interferonu alfa (IFN) su citarabinu (Ara-C). Pacientams, kuriems negauta atsako (po 6 mėnesių gydymo nebuvo visiško hematologinio atsako (VHA), po 24 mėnesių padidėjo BKK, nebuvo ryškaus citogenetinio atsako (MCyR)), atsakas išnyko (išnyko VHA ar MCyR) ar visiškai netoleravo gydymo, buvo leista keisti gydymą į alternatyvų (kitos grupės). Glivec grupės pacientai vartojo po 400 mg </w:t>
      </w:r>
      <w:r w:rsidR="00A70D12" w:rsidRPr="00F93FFA">
        <w:rPr>
          <w:color w:val="000000"/>
          <w:sz w:val="22"/>
          <w:szCs w:val="22"/>
        </w:rPr>
        <w:t xml:space="preserve">vaistinio preparato </w:t>
      </w:r>
      <w:r w:rsidRPr="00F93FFA">
        <w:rPr>
          <w:color w:val="000000"/>
          <w:sz w:val="22"/>
          <w:szCs w:val="22"/>
        </w:rPr>
        <w:t>per parą. IFN grupės tiriamieji buvo gydomi po 5 milijonus TV/m</w:t>
      </w:r>
      <w:r w:rsidRPr="00F93FFA">
        <w:rPr>
          <w:color w:val="000000"/>
          <w:sz w:val="22"/>
          <w:szCs w:val="22"/>
          <w:vertAlign w:val="superscript"/>
        </w:rPr>
        <w:t>2</w:t>
      </w:r>
      <w:r w:rsidRPr="00F93FFA">
        <w:rPr>
          <w:color w:val="000000"/>
          <w:sz w:val="22"/>
          <w:szCs w:val="22"/>
        </w:rPr>
        <w:t xml:space="preserve"> IFN per parą į poodį kartu su poodiniu Ara-C po 20 mg/m</w:t>
      </w:r>
      <w:r w:rsidRPr="00F93FFA">
        <w:rPr>
          <w:color w:val="000000"/>
          <w:sz w:val="22"/>
          <w:szCs w:val="22"/>
          <w:vertAlign w:val="superscript"/>
        </w:rPr>
        <w:t>2</w:t>
      </w:r>
      <w:r w:rsidRPr="00F93FFA">
        <w:rPr>
          <w:color w:val="000000"/>
          <w:sz w:val="22"/>
          <w:szCs w:val="22"/>
        </w:rPr>
        <w:t xml:space="preserve"> per parą 10 dienų per mėnesį.</w:t>
      </w:r>
    </w:p>
    <w:p w14:paraId="2562E5F1" w14:textId="77777777" w:rsidR="003646A0" w:rsidRPr="00F93FFA" w:rsidRDefault="003646A0" w:rsidP="00DE16D0">
      <w:pPr>
        <w:widowControl w:val="0"/>
        <w:rPr>
          <w:color w:val="000000"/>
          <w:sz w:val="22"/>
          <w:szCs w:val="22"/>
        </w:rPr>
      </w:pPr>
    </w:p>
    <w:p w14:paraId="5E1C1D00" w14:textId="77777777" w:rsidR="003646A0" w:rsidRPr="00F93FFA" w:rsidRDefault="003646A0" w:rsidP="00DE16D0">
      <w:pPr>
        <w:pStyle w:val="EndnoteText"/>
        <w:widowControl w:val="0"/>
        <w:rPr>
          <w:color w:val="000000"/>
          <w:szCs w:val="22"/>
          <w:lang w:val="lt-LT"/>
        </w:rPr>
      </w:pPr>
      <w:r w:rsidRPr="00F93FFA">
        <w:rPr>
          <w:color w:val="000000"/>
          <w:szCs w:val="22"/>
          <w:lang w:val="lt-LT"/>
        </w:rPr>
        <w:lastRenderedPageBreak/>
        <w:t xml:space="preserve">Iš viso atsitiktinai atrinkti 1 106 pacientai, po 553 kiekvienoje grupėje. Pradinės abiejų grupių pacientų savybės buvo labai panašios. Vidurinis amžius buvo 51 metai (ribos – 18–70 metų), 21,9 % pacientų –≥ 60 metų. Iš jų buvo 59 % vyrų ir 41 % moterų; 89,9 % baltosios rasės ir 4,7 % juodaodžių. Praėjus septyneriems metams po paskutinio paciento įtraukimo į tyrimą, pirmos eilės gydymo trukmės mediana buvo 82 mėnesiai Glivec grupėje ir 8 mėnesiai IFN grupėje. Antros eilės gydymo Glivec trukmės mediana buvo 64 mėnesiai. Pacientų, gavusių pirmos eilės gydymą Glivec, vidutinė paros dozė buvo </w:t>
      </w:r>
      <w:r w:rsidRPr="00F93FFA">
        <w:rPr>
          <w:color w:val="000000"/>
        </w:rPr>
        <w:t>406 </w:t>
      </w:r>
      <w:r w:rsidRPr="00F93FFA">
        <w:rPr>
          <w:color w:val="000000"/>
          <w:szCs w:val="22"/>
          <w:lang w:val="lt-LT"/>
        </w:rPr>
        <w:t xml:space="preserve">± 76 mg. Pagrindinis veiksmingumą atspindintis tyrimo rezultatas yra gyvenimo trukmė be ligos progresavimo. Progresavimas apibūdinamas bet kuriuo iš šių reiškinių: progresavimas iki akceleracijos fazės ar blastinės krizės, mirtis, išnykę VHA ar MCyR, arba pacientams, kuriems negaunama VHA, didėjantis leukocitų skaičius nepaisant tinkamo gydymo. Svarbiausi antriniai rezultatai yra didysis citogenetinis atsakas, hematologinis atsakas, molekulinis atsakas (minimalios liekamosios ligos vertinimas), laikas iki akceleracijos fazės ar blastinės krizės ir gyvenimo trukmė. Atsako duomenys pateikti </w:t>
      </w:r>
      <w:r w:rsidR="00BE4094" w:rsidRPr="00F93FFA">
        <w:rPr>
          <w:color w:val="000000"/>
          <w:szCs w:val="22"/>
          <w:lang w:val="lt-LT"/>
        </w:rPr>
        <w:t>2</w:t>
      </w:r>
      <w:r w:rsidRPr="00F93FFA">
        <w:rPr>
          <w:color w:val="000000"/>
          <w:szCs w:val="22"/>
          <w:lang w:val="lt-LT"/>
        </w:rPr>
        <w:t> lentelėje.</w:t>
      </w:r>
    </w:p>
    <w:p w14:paraId="779169A8" w14:textId="77777777" w:rsidR="003646A0" w:rsidRPr="00F93FFA" w:rsidRDefault="003646A0" w:rsidP="00DE16D0">
      <w:pPr>
        <w:pStyle w:val="EndnoteText"/>
        <w:widowControl w:val="0"/>
        <w:rPr>
          <w:color w:val="000000"/>
          <w:szCs w:val="22"/>
          <w:lang w:val="lt-LT"/>
        </w:rPr>
      </w:pPr>
    </w:p>
    <w:p w14:paraId="208F3803" w14:textId="77777777" w:rsidR="003646A0" w:rsidRPr="00F93FFA" w:rsidRDefault="00BE4094" w:rsidP="00DE16D0">
      <w:pPr>
        <w:pStyle w:val="EndnoteText"/>
        <w:keepNext/>
        <w:keepLines/>
        <w:widowControl w:val="0"/>
        <w:tabs>
          <w:tab w:val="clear" w:pos="567"/>
          <w:tab w:val="left" w:pos="1134"/>
        </w:tabs>
        <w:rPr>
          <w:color w:val="000000"/>
          <w:szCs w:val="22"/>
          <w:lang w:val="lt-LT"/>
        </w:rPr>
      </w:pPr>
      <w:r w:rsidRPr="00F93FFA">
        <w:rPr>
          <w:b/>
          <w:bCs/>
          <w:color w:val="000000"/>
          <w:szCs w:val="22"/>
          <w:lang w:val="lt-LT"/>
        </w:rPr>
        <w:t>2</w:t>
      </w:r>
      <w:r w:rsidR="003646A0" w:rsidRPr="00F93FFA">
        <w:rPr>
          <w:b/>
          <w:bCs/>
          <w:color w:val="000000"/>
          <w:szCs w:val="22"/>
          <w:lang w:val="lt-LT"/>
        </w:rPr>
        <w:t> lentelė</w:t>
      </w:r>
      <w:r w:rsidR="003646A0" w:rsidRPr="00F93FFA">
        <w:rPr>
          <w:b/>
          <w:bCs/>
          <w:color w:val="000000"/>
          <w:szCs w:val="22"/>
          <w:lang w:val="lt-LT"/>
        </w:rPr>
        <w:tab/>
        <w:t>Atsakas, gautas naujai diagnozuotos LML tyrimo metu (84 mėnesių duomenys)</w:t>
      </w:r>
    </w:p>
    <w:p w14:paraId="316486CF" w14:textId="77777777" w:rsidR="003646A0" w:rsidRPr="00F93FFA" w:rsidRDefault="003646A0" w:rsidP="00DE16D0">
      <w:pPr>
        <w:pStyle w:val="EndnoteText"/>
        <w:keepNext/>
        <w:keepLines/>
        <w:widowControl w:val="0"/>
        <w:rPr>
          <w:color w:val="000000"/>
          <w:szCs w:val="22"/>
          <w:lang w:val="lt-LT"/>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646A0" w:rsidRPr="00F93FFA" w14:paraId="6E0B649C" w14:textId="77777777" w:rsidTr="00DE16D0">
        <w:trPr>
          <w:cantSplit/>
        </w:trPr>
        <w:tc>
          <w:tcPr>
            <w:tcW w:w="3794" w:type="dxa"/>
            <w:tcBorders>
              <w:top w:val="single" w:sz="4" w:space="0" w:color="auto"/>
              <w:left w:val="single" w:sz="4" w:space="0" w:color="auto"/>
              <w:bottom w:val="nil"/>
            </w:tcBorders>
          </w:tcPr>
          <w:p w14:paraId="7894841E"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693" w:type="dxa"/>
            <w:tcBorders>
              <w:top w:val="single" w:sz="4" w:space="0" w:color="auto"/>
              <w:bottom w:val="nil"/>
            </w:tcBorders>
          </w:tcPr>
          <w:p w14:paraId="749D79B1"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b/>
                <w:bCs/>
                <w:color w:val="000000"/>
                <w:sz w:val="22"/>
                <w:szCs w:val="22"/>
                <w:lang w:val="lt-LT"/>
              </w:rPr>
              <w:t>Glivec</w:t>
            </w:r>
          </w:p>
        </w:tc>
        <w:tc>
          <w:tcPr>
            <w:tcW w:w="2718" w:type="dxa"/>
            <w:tcBorders>
              <w:top w:val="single" w:sz="4" w:space="0" w:color="auto"/>
              <w:bottom w:val="nil"/>
              <w:right w:val="single" w:sz="4" w:space="0" w:color="auto"/>
            </w:tcBorders>
          </w:tcPr>
          <w:p w14:paraId="585272CF"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b/>
                <w:bCs/>
                <w:color w:val="000000"/>
                <w:sz w:val="22"/>
                <w:szCs w:val="22"/>
                <w:lang w:val="lt-LT"/>
              </w:rPr>
              <w:t>IFN+Ara-C</w:t>
            </w:r>
          </w:p>
        </w:tc>
      </w:tr>
      <w:tr w:rsidR="003646A0" w:rsidRPr="00F93FFA" w14:paraId="7BF0616E" w14:textId="77777777" w:rsidTr="00DE16D0">
        <w:trPr>
          <w:cantSplit/>
        </w:trPr>
        <w:tc>
          <w:tcPr>
            <w:tcW w:w="3794" w:type="dxa"/>
            <w:tcBorders>
              <w:top w:val="nil"/>
              <w:left w:val="single" w:sz="4" w:space="0" w:color="auto"/>
              <w:bottom w:val="single" w:sz="4" w:space="0" w:color="auto"/>
            </w:tcBorders>
          </w:tcPr>
          <w:p w14:paraId="461FA6B6"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(Geriausio atsako dažnis)</w:t>
            </w:r>
          </w:p>
        </w:tc>
        <w:tc>
          <w:tcPr>
            <w:tcW w:w="2693" w:type="dxa"/>
            <w:tcBorders>
              <w:top w:val="nil"/>
              <w:bottom w:val="single" w:sz="4" w:space="0" w:color="auto"/>
            </w:tcBorders>
          </w:tcPr>
          <w:p w14:paraId="474B7FA4"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n</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553</w:t>
            </w:r>
          </w:p>
        </w:tc>
        <w:tc>
          <w:tcPr>
            <w:tcW w:w="2718" w:type="dxa"/>
            <w:tcBorders>
              <w:top w:val="nil"/>
              <w:bottom w:val="single" w:sz="4" w:space="0" w:color="auto"/>
              <w:right w:val="single" w:sz="4" w:space="0" w:color="auto"/>
            </w:tcBorders>
          </w:tcPr>
          <w:p w14:paraId="366C8328"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n</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553</w:t>
            </w:r>
          </w:p>
        </w:tc>
      </w:tr>
      <w:tr w:rsidR="003646A0" w:rsidRPr="00F93FFA" w14:paraId="3EF1F9C6" w14:textId="77777777" w:rsidTr="00DE16D0">
        <w:trPr>
          <w:cantSplit/>
        </w:trPr>
        <w:tc>
          <w:tcPr>
            <w:tcW w:w="3794" w:type="dxa"/>
            <w:tcBorders>
              <w:top w:val="nil"/>
              <w:left w:val="single" w:sz="4" w:space="0" w:color="auto"/>
            </w:tcBorders>
          </w:tcPr>
          <w:p w14:paraId="4FD6B93D"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Hematologinis atsakas</w:t>
            </w:r>
          </w:p>
        </w:tc>
        <w:tc>
          <w:tcPr>
            <w:tcW w:w="2693" w:type="dxa"/>
            <w:tcBorders>
              <w:top w:val="nil"/>
            </w:tcBorders>
          </w:tcPr>
          <w:p w14:paraId="7B8D31CC" w14:textId="77777777" w:rsidR="003646A0" w:rsidRPr="00F93FFA" w:rsidRDefault="003646A0" w:rsidP="00DE16D0">
            <w:pPr>
              <w:pStyle w:val="Table"/>
              <w:widowControl w:val="0"/>
              <w:spacing w:before="0" w:after="0"/>
              <w:jc w:val="center"/>
              <w:rPr>
                <w:rFonts w:ascii="Times New Roman" w:hAnsi="Times New Roman"/>
                <w:b/>
                <w:bCs/>
                <w:color w:val="000000"/>
                <w:sz w:val="22"/>
                <w:szCs w:val="22"/>
                <w:lang w:val="lt-LT"/>
              </w:rPr>
            </w:pPr>
          </w:p>
        </w:tc>
        <w:tc>
          <w:tcPr>
            <w:tcW w:w="2718" w:type="dxa"/>
            <w:tcBorders>
              <w:top w:val="nil"/>
              <w:right w:val="single" w:sz="4" w:space="0" w:color="auto"/>
            </w:tcBorders>
          </w:tcPr>
          <w:p w14:paraId="72BC5ABD" w14:textId="77777777" w:rsidR="003646A0" w:rsidRPr="00F93FFA" w:rsidRDefault="003646A0" w:rsidP="00DE16D0">
            <w:pPr>
              <w:pStyle w:val="Table"/>
              <w:widowControl w:val="0"/>
              <w:spacing w:before="0" w:after="0"/>
              <w:jc w:val="center"/>
              <w:rPr>
                <w:rFonts w:ascii="Times New Roman" w:hAnsi="Times New Roman"/>
                <w:b/>
                <w:bCs/>
                <w:color w:val="000000"/>
                <w:sz w:val="22"/>
                <w:szCs w:val="22"/>
                <w:lang w:val="lt-LT"/>
              </w:rPr>
            </w:pPr>
          </w:p>
        </w:tc>
      </w:tr>
      <w:tr w:rsidR="003646A0" w:rsidRPr="00F93FFA" w14:paraId="544EFFB7" w14:textId="77777777" w:rsidTr="00DE16D0">
        <w:trPr>
          <w:cantSplit/>
        </w:trPr>
        <w:tc>
          <w:tcPr>
            <w:tcW w:w="3794" w:type="dxa"/>
            <w:tcBorders>
              <w:top w:val="nil"/>
              <w:left w:val="single" w:sz="4" w:space="0" w:color="auto"/>
            </w:tcBorders>
          </w:tcPr>
          <w:p w14:paraId="6407F72C"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VHA dalis n (%)</w:t>
            </w:r>
          </w:p>
        </w:tc>
        <w:tc>
          <w:tcPr>
            <w:tcW w:w="2693" w:type="dxa"/>
            <w:tcBorders>
              <w:top w:val="nil"/>
            </w:tcBorders>
          </w:tcPr>
          <w:p w14:paraId="20A22F73"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534 (96,6 %)*</w:t>
            </w:r>
          </w:p>
        </w:tc>
        <w:tc>
          <w:tcPr>
            <w:tcW w:w="2718" w:type="dxa"/>
            <w:tcBorders>
              <w:top w:val="nil"/>
              <w:right w:val="single" w:sz="4" w:space="0" w:color="auto"/>
            </w:tcBorders>
          </w:tcPr>
          <w:p w14:paraId="090307CD"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313 (56,6 %)*</w:t>
            </w:r>
          </w:p>
        </w:tc>
      </w:tr>
      <w:tr w:rsidR="003646A0" w:rsidRPr="00F93FFA" w14:paraId="618FDDFF" w14:textId="77777777" w:rsidTr="00DE16D0">
        <w:trPr>
          <w:cantSplit/>
        </w:trPr>
        <w:tc>
          <w:tcPr>
            <w:tcW w:w="3794" w:type="dxa"/>
            <w:tcBorders>
              <w:left w:val="single" w:sz="4" w:space="0" w:color="auto"/>
            </w:tcBorders>
          </w:tcPr>
          <w:p w14:paraId="75B4EAD1"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[95 % PI]</w:t>
            </w:r>
          </w:p>
        </w:tc>
        <w:tc>
          <w:tcPr>
            <w:tcW w:w="2693" w:type="dxa"/>
          </w:tcPr>
          <w:p w14:paraId="38A13DE0"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[94,7 %, 97,9 %]</w:t>
            </w:r>
          </w:p>
        </w:tc>
        <w:tc>
          <w:tcPr>
            <w:tcW w:w="2718" w:type="dxa"/>
            <w:tcBorders>
              <w:right w:val="single" w:sz="4" w:space="0" w:color="auto"/>
            </w:tcBorders>
          </w:tcPr>
          <w:p w14:paraId="1CCF8E39"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[52,4 %, 60,8 %]</w:t>
            </w:r>
          </w:p>
        </w:tc>
      </w:tr>
      <w:tr w:rsidR="003646A0" w:rsidRPr="00F93FFA" w14:paraId="0ECDA769" w14:textId="77777777" w:rsidTr="00DE16D0">
        <w:trPr>
          <w:cantSplit/>
        </w:trPr>
        <w:tc>
          <w:tcPr>
            <w:tcW w:w="3794" w:type="dxa"/>
            <w:tcBorders>
              <w:left w:val="single" w:sz="4" w:space="0" w:color="auto"/>
            </w:tcBorders>
          </w:tcPr>
          <w:p w14:paraId="67446FCD"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693" w:type="dxa"/>
          </w:tcPr>
          <w:p w14:paraId="4782087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718" w:type="dxa"/>
            <w:tcBorders>
              <w:right w:val="single" w:sz="4" w:space="0" w:color="auto"/>
            </w:tcBorders>
          </w:tcPr>
          <w:p w14:paraId="628B231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r>
      <w:tr w:rsidR="003646A0" w:rsidRPr="00F93FFA" w14:paraId="11678C81" w14:textId="77777777" w:rsidTr="00DE16D0">
        <w:trPr>
          <w:cantSplit/>
        </w:trPr>
        <w:tc>
          <w:tcPr>
            <w:tcW w:w="3794" w:type="dxa"/>
            <w:tcBorders>
              <w:left w:val="single" w:sz="4" w:space="0" w:color="auto"/>
            </w:tcBorders>
          </w:tcPr>
          <w:p w14:paraId="029C254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Citogenetinis atsakas</w:t>
            </w:r>
          </w:p>
        </w:tc>
        <w:tc>
          <w:tcPr>
            <w:tcW w:w="2693" w:type="dxa"/>
          </w:tcPr>
          <w:p w14:paraId="3B4E4512" w14:textId="77777777" w:rsidR="003646A0" w:rsidRPr="00F93FFA" w:rsidRDefault="003646A0" w:rsidP="00DE16D0">
            <w:pPr>
              <w:pStyle w:val="Table"/>
              <w:widowControl w:val="0"/>
              <w:spacing w:before="0" w:after="0"/>
              <w:rPr>
                <w:rFonts w:ascii="Times New Roman" w:hAnsi="Times New Roman"/>
                <w:b/>
                <w:bCs/>
                <w:color w:val="000000"/>
                <w:sz w:val="22"/>
                <w:szCs w:val="22"/>
                <w:lang w:val="lt-LT"/>
              </w:rPr>
            </w:pPr>
          </w:p>
        </w:tc>
        <w:tc>
          <w:tcPr>
            <w:tcW w:w="2718" w:type="dxa"/>
            <w:tcBorders>
              <w:right w:val="single" w:sz="4" w:space="0" w:color="auto"/>
            </w:tcBorders>
          </w:tcPr>
          <w:p w14:paraId="44BC9331" w14:textId="77777777" w:rsidR="003646A0" w:rsidRPr="00F93FFA" w:rsidRDefault="003646A0" w:rsidP="00DE16D0">
            <w:pPr>
              <w:pStyle w:val="Table"/>
              <w:widowControl w:val="0"/>
              <w:spacing w:before="0" w:after="0"/>
              <w:rPr>
                <w:rFonts w:ascii="Times New Roman" w:hAnsi="Times New Roman"/>
                <w:b/>
                <w:bCs/>
                <w:color w:val="000000"/>
                <w:sz w:val="22"/>
                <w:szCs w:val="22"/>
                <w:lang w:val="lt-LT"/>
              </w:rPr>
            </w:pPr>
          </w:p>
        </w:tc>
      </w:tr>
      <w:tr w:rsidR="003646A0" w:rsidRPr="00F93FFA" w14:paraId="19099ED0" w14:textId="77777777" w:rsidTr="00DE16D0">
        <w:trPr>
          <w:cantSplit/>
        </w:trPr>
        <w:tc>
          <w:tcPr>
            <w:tcW w:w="3794" w:type="dxa"/>
            <w:tcBorders>
              <w:left w:val="single" w:sz="4" w:space="0" w:color="auto"/>
            </w:tcBorders>
          </w:tcPr>
          <w:p w14:paraId="4C85F233"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n (%)</w:t>
            </w:r>
          </w:p>
        </w:tc>
        <w:tc>
          <w:tcPr>
            <w:tcW w:w="2693" w:type="dxa"/>
          </w:tcPr>
          <w:p w14:paraId="49A9775A"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490 (88,6 %)*</w:t>
            </w:r>
          </w:p>
        </w:tc>
        <w:tc>
          <w:tcPr>
            <w:tcW w:w="2718" w:type="dxa"/>
            <w:tcBorders>
              <w:right w:val="single" w:sz="4" w:space="0" w:color="auto"/>
            </w:tcBorders>
          </w:tcPr>
          <w:p w14:paraId="055495F6"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129 (23,3 %)*</w:t>
            </w:r>
          </w:p>
        </w:tc>
      </w:tr>
      <w:tr w:rsidR="003646A0" w:rsidRPr="00F93FFA" w14:paraId="4B36B851" w14:textId="77777777" w:rsidTr="00DE16D0">
        <w:trPr>
          <w:cantSplit/>
        </w:trPr>
        <w:tc>
          <w:tcPr>
            <w:tcW w:w="3794" w:type="dxa"/>
            <w:tcBorders>
              <w:left w:val="single" w:sz="4" w:space="0" w:color="auto"/>
            </w:tcBorders>
          </w:tcPr>
          <w:p w14:paraId="211E5DFE"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[95 % PI]</w:t>
            </w:r>
          </w:p>
        </w:tc>
        <w:tc>
          <w:tcPr>
            <w:tcW w:w="2693" w:type="dxa"/>
          </w:tcPr>
          <w:p w14:paraId="2508973E"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[85,7 %, 91,1 %]</w:t>
            </w:r>
          </w:p>
        </w:tc>
        <w:tc>
          <w:tcPr>
            <w:tcW w:w="2718" w:type="dxa"/>
            <w:tcBorders>
              <w:right w:val="single" w:sz="4" w:space="0" w:color="auto"/>
            </w:tcBorders>
          </w:tcPr>
          <w:p w14:paraId="559EE151"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[19,9 %, 27,1 %]</w:t>
            </w:r>
          </w:p>
        </w:tc>
      </w:tr>
      <w:tr w:rsidR="003646A0" w:rsidRPr="00F93FFA" w14:paraId="2B1DDC9F" w14:textId="77777777" w:rsidTr="00DE16D0">
        <w:trPr>
          <w:cantSplit/>
        </w:trPr>
        <w:tc>
          <w:tcPr>
            <w:tcW w:w="3794" w:type="dxa"/>
            <w:tcBorders>
              <w:left w:val="single" w:sz="4" w:space="0" w:color="auto"/>
            </w:tcBorders>
          </w:tcPr>
          <w:p w14:paraId="0D49D7BE"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Visiškas CyR n (%)</w:t>
            </w:r>
          </w:p>
        </w:tc>
        <w:tc>
          <w:tcPr>
            <w:tcW w:w="2693" w:type="dxa"/>
          </w:tcPr>
          <w:p w14:paraId="64E63F1B"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en-GB"/>
              </w:rPr>
              <w:t>456 (82,5 %)*</w:t>
            </w:r>
          </w:p>
        </w:tc>
        <w:tc>
          <w:tcPr>
            <w:tcW w:w="2718" w:type="dxa"/>
            <w:tcBorders>
              <w:right w:val="single" w:sz="4" w:space="0" w:color="auto"/>
            </w:tcBorders>
          </w:tcPr>
          <w:p w14:paraId="700FD9A7"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64 (11,6 %)*</w:t>
            </w:r>
          </w:p>
        </w:tc>
      </w:tr>
      <w:tr w:rsidR="003646A0" w:rsidRPr="00F93FFA" w14:paraId="702042B9" w14:textId="77777777" w:rsidTr="00DE16D0">
        <w:trPr>
          <w:cantSplit/>
        </w:trPr>
        <w:tc>
          <w:tcPr>
            <w:tcW w:w="3794" w:type="dxa"/>
            <w:tcBorders>
              <w:left w:val="single" w:sz="4" w:space="0" w:color="auto"/>
            </w:tcBorders>
          </w:tcPr>
          <w:p w14:paraId="33A58A77"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Dalinis CyR n (%)</w:t>
            </w:r>
          </w:p>
        </w:tc>
        <w:tc>
          <w:tcPr>
            <w:tcW w:w="2693" w:type="dxa"/>
          </w:tcPr>
          <w:p w14:paraId="70BDD4BD"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en-GB"/>
              </w:rPr>
              <w:t>34 (6,1 %)</w:t>
            </w:r>
          </w:p>
        </w:tc>
        <w:tc>
          <w:tcPr>
            <w:tcW w:w="2718" w:type="dxa"/>
            <w:tcBorders>
              <w:right w:val="single" w:sz="4" w:space="0" w:color="auto"/>
            </w:tcBorders>
          </w:tcPr>
          <w:p w14:paraId="3D974AE0"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65 (11,8 %)</w:t>
            </w:r>
          </w:p>
        </w:tc>
      </w:tr>
      <w:tr w:rsidR="003646A0" w:rsidRPr="00F93FFA" w14:paraId="50BB85B9" w14:textId="77777777" w:rsidTr="00DE16D0">
        <w:trPr>
          <w:cantSplit/>
        </w:trPr>
        <w:tc>
          <w:tcPr>
            <w:tcW w:w="3794" w:type="dxa"/>
            <w:tcBorders>
              <w:left w:val="single" w:sz="4" w:space="0" w:color="auto"/>
              <w:bottom w:val="nil"/>
            </w:tcBorders>
          </w:tcPr>
          <w:p w14:paraId="20AC9AC3"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693" w:type="dxa"/>
            <w:tcBorders>
              <w:bottom w:val="nil"/>
            </w:tcBorders>
          </w:tcPr>
          <w:p w14:paraId="18B9DF8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718" w:type="dxa"/>
            <w:tcBorders>
              <w:bottom w:val="nil"/>
              <w:right w:val="single" w:sz="4" w:space="0" w:color="auto"/>
            </w:tcBorders>
          </w:tcPr>
          <w:p w14:paraId="2DC09908"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r>
      <w:tr w:rsidR="003646A0" w:rsidRPr="00F93FFA" w14:paraId="57FC90A0" w14:textId="77777777" w:rsidTr="00DE16D0">
        <w:trPr>
          <w:cantSplit/>
        </w:trPr>
        <w:tc>
          <w:tcPr>
            <w:tcW w:w="3794" w:type="dxa"/>
            <w:tcBorders>
              <w:left w:val="single" w:sz="4" w:space="0" w:color="auto"/>
              <w:bottom w:val="nil"/>
            </w:tcBorders>
          </w:tcPr>
          <w:p w14:paraId="4505DE6D"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Molekulinis atsakas</w:t>
            </w:r>
            <w:r w:rsidRPr="00F93FFA">
              <w:rPr>
                <w:rFonts w:ascii="Times New Roman" w:hAnsi="Times New Roman"/>
                <w:color w:val="000000"/>
                <w:sz w:val="22"/>
                <w:szCs w:val="22"/>
                <w:lang w:val="lt-LT"/>
              </w:rPr>
              <w:t>**</w:t>
            </w:r>
          </w:p>
        </w:tc>
        <w:tc>
          <w:tcPr>
            <w:tcW w:w="2693" w:type="dxa"/>
            <w:tcBorders>
              <w:bottom w:val="nil"/>
            </w:tcBorders>
          </w:tcPr>
          <w:p w14:paraId="0D32DBBC"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c>
          <w:tcPr>
            <w:tcW w:w="2718" w:type="dxa"/>
            <w:tcBorders>
              <w:bottom w:val="nil"/>
              <w:right w:val="single" w:sz="4" w:space="0" w:color="auto"/>
            </w:tcBorders>
          </w:tcPr>
          <w:p w14:paraId="7324707E"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p>
        </w:tc>
      </w:tr>
      <w:tr w:rsidR="003646A0" w:rsidRPr="00F93FFA" w14:paraId="4C803D6F" w14:textId="77777777" w:rsidTr="00DE16D0">
        <w:trPr>
          <w:cantSplit/>
        </w:trPr>
        <w:tc>
          <w:tcPr>
            <w:tcW w:w="3794" w:type="dxa"/>
            <w:tcBorders>
              <w:left w:val="single" w:sz="4" w:space="0" w:color="auto"/>
              <w:bottom w:val="nil"/>
            </w:tcBorders>
          </w:tcPr>
          <w:p w14:paraId="0F4537E6" w14:textId="1C39EB9A" w:rsidR="003646A0" w:rsidRPr="00F93FFA" w:rsidRDefault="003646A0" w:rsidP="00E63FCA">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12</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6D7E2A00"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153/305</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50,2 %</w:t>
            </w:r>
          </w:p>
        </w:tc>
        <w:tc>
          <w:tcPr>
            <w:tcW w:w="2718" w:type="dxa"/>
            <w:tcBorders>
              <w:bottom w:val="nil"/>
              <w:right w:val="single" w:sz="4" w:space="0" w:color="auto"/>
            </w:tcBorders>
          </w:tcPr>
          <w:p w14:paraId="1C1E2BBA"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8/83</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9,6 %</w:t>
            </w:r>
          </w:p>
        </w:tc>
      </w:tr>
      <w:tr w:rsidR="003646A0" w:rsidRPr="00F93FFA" w14:paraId="0022BE75" w14:textId="77777777" w:rsidTr="00DE16D0">
        <w:trPr>
          <w:cantSplit/>
        </w:trPr>
        <w:tc>
          <w:tcPr>
            <w:tcW w:w="3794" w:type="dxa"/>
            <w:tcBorders>
              <w:left w:val="single" w:sz="4" w:space="0" w:color="auto"/>
              <w:bottom w:val="nil"/>
            </w:tcBorders>
          </w:tcPr>
          <w:p w14:paraId="6EC1B45F" w14:textId="7510454A"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24</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183193AE"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73/104</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70,2 %</w:t>
            </w:r>
          </w:p>
        </w:tc>
        <w:tc>
          <w:tcPr>
            <w:tcW w:w="2718" w:type="dxa"/>
            <w:tcBorders>
              <w:bottom w:val="nil"/>
              <w:right w:val="single" w:sz="4" w:space="0" w:color="auto"/>
            </w:tcBorders>
          </w:tcPr>
          <w:p w14:paraId="40FB34BB"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3/12</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25 %</w:t>
            </w:r>
          </w:p>
        </w:tc>
      </w:tr>
      <w:tr w:rsidR="003646A0" w:rsidRPr="00F93FFA" w14:paraId="50C6F964" w14:textId="77777777" w:rsidTr="00DE16D0">
        <w:trPr>
          <w:cantSplit/>
        </w:trPr>
        <w:tc>
          <w:tcPr>
            <w:tcW w:w="3794" w:type="dxa"/>
            <w:tcBorders>
              <w:left w:val="single" w:sz="4" w:space="0" w:color="auto"/>
              <w:bottom w:val="nil"/>
            </w:tcBorders>
          </w:tcPr>
          <w:p w14:paraId="4FF13DC8" w14:textId="0C3F19A1"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84</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74DC1319" w14:textId="77777777" w:rsidR="003646A0" w:rsidRPr="00F93FFA" w:rsidRDefault="003646A0" w:rsidP="00DE16D0">
            <w:pPr>
              <w:pStyle w:val="Table"/>
              <w:widowControl w:val="0"/>
              <w:spacing w:before="0" w:after="0"/>
              <w:jc w:val="center"/>
              <w:rPr>
                <w:rFonts w:ascii="Times New Roman" w:hAnsi="Times New Roman"/>
                <w:sz w:val="22"/>
                <w:szCs w:val="22"/>
                <w:lang w:val="en-GB"/>
              </w:rPr>
            </w:pPr>
            <w:r w:rsidRPr="00F93FFA">
              <w:rPr>
                <w:rFonts w:ascii="Times New Roman" w:hAnsi="Times New Roman"/>
                <w:sz w:val="22"/>
                <w:szCs w:val="22"/>
                <w:lang w:val="en-GB"/>
              </w:rPr>
              <w:t>102/116</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87,9 %</w:t>
            </w:r>
          </w:p>
        </w:tc>
        <w:tc>
          <w:tcPr>
            <w:tcW w:w="2718" w:type="dxa"/>
            <w:tcBorders>
              <w:bottom w:val="nil"/>
              <w:right w:val="single" w:sz="4" w:space="0" w:color="auto"/>
            </w:tcBorders>
          </w:tcPr>
          <w:p w14:paraId="39D58E75" w14:textId="77777777" w:rsidR="003646A0" w:rsidRPr="00F93FFA" w:rsidRDefault="003646A0" w:rsidP="00DE16D0">
            <w:pPr>
              <w:pStyle w:val="Table"/>
              <w:widowControl w:val="0"/>
              <w:spacing w:before="0" w:after="0"/>
              <w:jc w:val="center"/>
              <w:rPr>
                <w:rFonts w:ascii="Times New Roman" w:hAnsi="Times New Roman"/>
                <w:sz w:val="22"/>
                <w:szCs w:val="22"/>
                <w:lang w:val="en-GB"/>
              </w:rPr>
            </w:pPr>
            <w:r w:rsidRPr="00F93FFA">
              <w:rPr>
                <w:rFonts w:ascii="Times New Roman" w:hAnsi="Times New Roman"/>
                <w:sz w:val="22"/>
                <w:szCs w:val="22"/>
                <w:lang w:val="en-GB"/>
              </w:rPr>
              <w:t>3/4</w:t>
            </w:r>
            <w:r w:rsidR="00E63FCA" w:rsidRPr="00F93FFA">
              <w:rPr>
                <w:rFonts w:ascii="Times New Roman" w:hAnsi="Times New Roman"/>
                <w:sz w:val="22"/>
                <w:szCs w:val="22"/>
                <w:lang w:val="en-GB"/>
              </w:rPr>
              <w:t> </w:t>
            </w:r>
            <w:r w:rsidRPr="00F93FFA">
              <w:rPr>
                <w:rFonts w:ascii="Times New Roman" w:hAnsi="Times New Roman"/>
                <w:sz w:val="22"/>
                <w:szCs w:val="22"/>
                <w:lang w:val="en-GB"/>
              </w:rPr>
              <w:t>=</w:t>
            </w:r>
            <w:r w:rsidR="00E63FCA" w:rsidRPr="00F93FFA">
              <w:rPr>
                <w:rFonts w:ascii="Times New Roman" w:hAnsi="Times New Roman"/>
                <w:sz w:val="22"/>
                <w:szCs w:val="22"/>
                <w:lang w:val="en-GB"/>
              </w:rPr>
              <w:t> </w:t>
            </w:r>
            <w:r w:rsidRPr="00F93FFA">
              <w:rPr>
                <w:rFonts w:ascii="Times New Roman" w:hAnsi="Times New Roman"/>
                <w:sz w:val="22"/>
                <w:szCs w:val="22"/>
                <w:lang w:val="en-GB"/>
              </w:rPr>
              <w:t>75 %</w:t>
            </w:r>
          </w:p>
        </w:tc>
      </w:tr>
      <w:tr w:rsidR="003646A0" w:rsidRPr="00F93FFA" w14:paraId="4664E0CA" w14:textId="77777777" w:rsidTr="00DE16D0">
        <w:trPr>
          <w:cantSplit/>
        </w:trPr>
        <w:tc>
          <w:tcPr>
            <w:tcW w:w="9205" w:type="dxa"/>
            <w:gridSpan w:val="3"/>
            <w:tcBorders>
              <w:top w:val="single" w:sz="4" w:space="0" w:color="auto"/>
              <w:left w:val="single" w:sz="4" w:space="0" w:color="auto"/>
              <w:bottom w:val="single" w:sz="4" w:space="0" w:color="auto"/>
              <w:right w:val="single" w:sz="4" w:space="0" w:color="auto"/>
            </w:tcBorders>
          </w:tcPr>
          <w:p w14:paraId="7C5A57D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 xml:space="preserve">* p&lt;0,001, </w:t>
            </w:r>
            <w:r w:rsidRPr="00F93FFA">
              <w:rPr>
                <w:rFonts w:ascii="Times New Roman" w:hAnsi="Times New Roman"/>
                <w:i/>
                <w:iCs/>
                <w:color w:val="000000"/>
                <w:sz w:val="22"/>
                <w:szCs w:val="22"/>
                <w:lang w:val="lt-LT"/>
              </w:rPr>
              <w:t>Fischer</w:t>
            </w:r>
            <w:r w:rsidRPr="00F93FFA">
              <w:rPr>
                <w:rFonts w:ascii="Times New Roman" w:hAnsi="Times New Roman"/>
                <w:color w:val="000000"/>
                <w:sz w:val="22"/>
                <w:szCs w:val="22"/>
                <w:lang w:val="lt-LT"/>
              </w:rPr>
              <w:t xml:space="preserve"> tikslus testas</w:t>
            </w:r>
          </w:p>
          <w:p w14:paraId="30E84C70"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 procentinė molekulinio atsako dalis paremta turimomis imtimis</w:t>
            </w:r>
          </w:p>
          <w:p w14:paraId="5AC9383B" w14:textId="77777777" w:rsidR="003646A0" w:rsidRPr="00F93FFA" w:rsidRDefault="003646A0" w:rsidP="00DE16D0">
            <w:pPr>
              <w:pStyle w:val="Table"/>
              <w:widowControl w:val="0"/>
              <w:spacing w:before="0" w:after="0"/>
              <w:rPr>
                <w:rFonts w:ascii="Times New Roman" w:hAnsi="Times New Roman"/>
                <w:b/>
                <w:bCs/>
                <w:color w:val="000000"/>
                <w:sz w:val="22"/>
                <w:szCs w:val="22"/>
                <w:lang w:val="lt-LT"/>
              </w:rPr>
            </w:pPr>
            <w:r w:rsidRPr="00F93FFA">
              <w:rPr>
                <w:rFonts w:ascii="Times New Roman" w:hAnsi="Times New Roman"/>
                <w:b/>
                <w:bCs/>
                <w:color w:val="000000"/>
                <w:sz w:val="22"/>
                <w:szCs w:val="22"/>
                <w:lang w:val="lt-LT"/>
              </w:rPr>
              <w:t xml:space="preserve">Hematologinio atsako kriterijai (bet koks atsakas turi būti patvirtintas po </w:t>
            </w:r>
            <w:r w:rsidRPr="00F93FFA">
              <w:rPr>
                <w:rFonts w:ascii="Times New Roman" w:hAnsi="Times New Roman"/>
                <w:b/>
                <w:bCs/>
                <w:color w:val="000000"/>
                <w:sz w:val="22"/>
                <w:szCs w:val="22"/>
                <w:lang w:val="lt-LT"/>
              </w:rPr>
              <w:sym w:font="Symbol" w:char="F0B3"/>
            </w:r>
            <w:r w:rsidRPr="00F93FFA">
              <w:rPr>
                <w:rFonts w:ascii="Times New Roman" w:hAnsi="Times New Roman"/>
                <w:b/>
                <w:bCs/>
                <w:color w:val="000000"/>
                <w:sz w:val="22"/>
                <w:szCs w:val="22"/>
                <w:lang w:val="lt-LT"/>
              </w:rPr>
              <w:t> 4 savaičių):</w:t>
            </w:r>
          </w:p>
          <w:p w14:paraId="747F1D93"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BKK&lt;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trombocitų &lt; 450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mielocitų+metamielocitų &lt; 5 % kraujyje, kraujyje nėra blastų ir promielocitų, bazofilų &lt; 20 %, nėra ekstramedulinių židinių.</w:t>
            </w:r>
          </w:p>
          <w:p w14:paraId="4B9E910E"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 xml:space="preserve">Citogenetinio atsako kriterijai: </w:t>
            </w:r>
            <w:r w:rsidRPr="00F93FFA">
              <w:rPr>
                <w:rFonts w:ascii="Times New Roman" w:hAnsi="Times New Roman"/>
                <w:color w:val="000000"/>
                <w:sz w:val="22"/>
                <w:szCs w:val="22"/>
                <w:lang w:val="lt-LT"/>
              </w:rPr>
              <w:t>visiškas (0 % Ph+ metafazės), dalinis (1–35 %), mažas (36–65 %) ar mažiausias (66–95 %). Didysis atsakas (0–35 %) apima visišką ir dalinį atsaką.</w:t>
            </w:r>
          </w:p>
          <w:p w14:paraId="1D2F9B48"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Didžiojo molekulinio atsako kriterijai</w:t>
            </w:r>
            <w:r w:rsidRPr="00F93FFA">
              <w:rPr>
                <w:rFonts w:ascii="Times New Roman" w:hAnsi="Times New Roman"/>
                <w:color w:val="000000"/>
                <w:sz w:val="22"/>
                <w:szCs w:val="22"/>
                <w:lang w:val="lt-LT"/>
              </w:rPr>
              <w:t>: periferiniame kraujyje Bcr-Abl transkriptų kiekio sumažėjimas ≥ 3 logaritmais (matuojama realaus laiko kiekybiniu atvirkštinės transkriptazės PGR tyrimu), lyginant su standartizuota pradine reikšme.</w:t>
            </w:r>
          </w:p>
        </w:tc>
      </w:tr>
    </w:tbl>
    <w:p w14:paraId="271071BD" w14:textId="77777777" w:rsidR="003646A0" w:rsidRPr="00F93FFA" w:rsidRDefault="003646A0" w:rsidP="00DE16D0">
      <w:pPr>
        <w:widowControl w:val="0"/>
        <w:rPr>
          <w:color w:val="000000"/>
        </w:rPr>
      </w:pPr>
    </w:p>
    <w:p w14:paraId="3CE816A8" w14:textId="77777777" w:rsidR="003646A0" w:rsidRPr="00F93FFA" w:rsidRDefault="003646A0" w:rsidP="00DE16D0">
      <w:pPr>
        <w:pStyle w:val="EndnoteText"/>
        <w:widowControl w:val="0"/>
        <w:rPr>
          <w:color w:val="000000"/>
          <w:szCs w:val="22"/>
          <w:lang w:val="lt-LT"/>
        </w:rPr>
      </w:pPr>
      <w:r w:rsidRPr="00F93FFA">
        <w:rPr>
          <w:color w:val="000000"/>
          <w:szCs w:val="22"/>
          <w:lang w:val="lt-LT"/>
        </w:rPr>
        <w:t xml:space="preserve">Skyrus pirmos eilės gydymą, visiško hematologinio atsako, didžiojo citogenetinio atsako ir visiško citogenetinio atsako dalis nustatyta naudojant Kaplan-Meier metodą, atsako nebuvimo atvejus cenzūruojant pagal paskutinės apžiūros duomenis. Naudojant šį metodą nustatyti nuo 12 iki 84 gydymo mėnesiais suminiai atsako į pirmos eilės gydymą Glivec dažniai: VHA nuo 96,4 % iki 98,4 % ir CCyR nuo 69,5 % iki </w:t>
      </w:r>
      <w:r w:rsidRPr="00F93FFA">
        <w:rPr>
          <w:color w:val="000000"/>
          <w:szCs w:val="22"/>
        </w:rPr>
        <w:t>87,2</w:t>
      </w:r>
      <w:r w:rsidRPr="00F93FFA">
        <w:rPr>
          <w:color w:val="000000"/>
          <w:szCs w:val="22"/>
          <w:lang w:val="lt-LT"/>
        </w:rPr>
        <w:t> % atitinkamai.</w:t>
      </w:r>
    </w:p>
    <w:p w14:paraId="2EBA114F" w14:textId="77777777" w:rsidR="003646A0" w:rsidRPr="00F93FFA" w:rsidRDefault="003646A0" w:rsidP="00DE16D0">
      <w:pPr>
        <w:pStyle w:val="EndnoteText"/>
        <w:widowControl w:val="0"/>
        <w:rPr>
          <w:color w:val="000000"/>
          <w:szCs w:val="22"/>
          <w:lang w:val="lt-LT"/>
        </w:rPr>
      </w:pPr>
    </w:p>
    <w:p w14:paraId="3336DB37" w14:textId="77777777" w:rsidR="003646A0" w:rsidRPr="00F93FFA" w:rsidRDefault="003646A0" w:rsidP="00DE16D0">
      <w:pPr>
        <w:pStyle w:val="EndnoteText"/>
        <w:widowControl w:val="0"/>
        <w:rPr>
          <w:color w:val="000000"/>
          <w:szCs w:val="22"/>
          <w:lang w:val="lt-LT"/>
        </w:rPr>
      </w:pPr>
      <w:r w:rsidRPr="00F93FFA">
        <w:rPr>
          <w:color w:val="000000"/>
          <w:szCs w:val="22"/>
          <w:lang w:val="lt-LT"/>
        </w:rPr>
        <w:t xml:space="preserve">Per 7 metų stebėjimo laikotarpį Glivec grupėje nustatyti </w:t>
      </w:r>
      <w:r w:rsidRPr="00F93FFA">
        <w:rPr>
          <w:color w:val="000000"/>
        </w:rPr>
        <w:t xml:space="preserve">93 </w:t>
      </w:r>
      <w:r w:rsidRPr="00F93FFA">
        <w:rPr>
          <w:color w:val="000000"/>
          <w:szCs w:val="22"/>
          <w:lang w:val="lt-LT"/>
        </w:rPr>
        <w:t>(</w:t>
      </w:r>
      <w:r w:rsidRPr="00F93FFA">
        <w:rPr>
          <w:color w:val="000000"/>
        </w:rPr>
        <w:t>16,8 </w:t>
      </w:r>
      <w:r w:rsidRPr="00F93FFA">
        <w:rPr>
          <w:color w:val="000000"/>
          <w:szCs w:val="22"/>
          <w:lang w:val="lt-LT"/>
        </w:rPr>
        <w:t xml:space="preserve">%) ligos progresavimo reiškiniai: </w:t>
      </w:r>
      <w:r w:rsidRPr="00F93FFA">
        <w:rPr>
          <w:color w:val="000000"/>
        </w:rPr>
        <w:t xml:space="preserve">37 </w:t>
      </w:r>
      <w:r w:rsidRPr="00F93FFA">
        <w:rPr>
          <w:color w:val="000000"/>
          <w:szCs w:val="22"/>
          <w:lang w:val="lt-LT"/>
        </w:rPr>
        <w:t>(</w:t>
      </w:r>
      <w:r w:rsidRPr="00F93FFA">
        <w:rPr>
          <w:color w:val="000000"/>
        </w:rPr>
        <w:t>6,7 </w:t>
      </w:r>
      <w:r w:rsidRPr="00F93FFA">
        <w:rPr>
          <w:color w:val="000000"/>
          <w:szCs w:val="22"/>
          <w:lang w:val="lt-LT"/>
        </w:rPr>
        <w:t xml:space="preserve">%) ligos progresavimo iki akceleracijos fazės ar blastinės krizės atvejai, </w:t>
      </w:r>
      <w:r w:rsidRPr="00F93FFA">
        <w:rPr>
          <w:color w:val="000000"/>
        </w:rPr>
        <w:t xml:space="preserve">31 </w:t>
      </w:r>
      <w:r w:rsidRPr="00F93FFA">
        <w:rPr>
          <w:color w:val="000000"/>
          <w:szCs w:val="22"/>
          <w:lang w:val="lt-LT"/>
        </w:rPr>
        <w:t>(</w:t>
      </w:r>
      <w:r w:rsidRPr="00F93FFA">
        <w:rPr>
          <w:color w:val="000000"/>
        </w:rPr>
        <w:t>5,6</w:t>
      </w:r>
      <w:r w:rsidRPr="00F93FFA">
        <w:rPr>
          <w:color w:val="000000"/>
          <w:szCs w:val="22"/>
          <w:lang w:val="lt-LT"/>
        </w:rPr>
        <w:t> %) MCyR išnykimo atvejai, 15 (</w:t>
      </w:r>
      <w:r w:rsidRPr="00F93FFA">
        <w:rPr>
          <w:color w:val="000000"/>
        </w:rPr>
        <w:t>2,7</w:t>
      </w:r>
      <w:r w:rsidRPr="00F93FFA">
        <w:rPr>
          <w:color w:val="000000"/>
          <w:szCs w:val="22"/>
          <w:lang w:val="lt-LT"/>
        </w:rPr>
        <w:t> %) VHA išnykimo arba BKK skaičiaus padidėjimo atvejų ir 10 (</w:t>
      </w:r>
      <w:r w:rsidRPr="00F93FFA">
        <w:rPr>
          <w:color w:val="000000"/>
        </w:rPr>
        <w:t>1,8</w:t>
      </w:r>
      <w:r w:rsidRPr="00F93FFA">
        <w:rPr>
          <w:color w:val="000000"/>
          <w:szCs w:val="22"/>
          <w:lang w:val="lt-LT"/>
        </w:rPr>
        <w:t xml:space="preserve"> %) su LML nesusijusios mirties atvejų. Tuo tarpu IFN+Ara-C grupėje nustatyti </w:t>
      </w:r>
      <w:r w:rsidRPr="00F93FFA">
        <w:rPr>
          <w:color w:val="000000"/>
        </w:rPr>
        <w:t xml:space="preserve">165 </w:t>
      </w:r>
      <w:r w:rsidRPr="00F93FFA">
        <w:rPr>
          <w:color w:val="000000"/>
          <w:szCs w:val="22"/>
          <w:lang w:val="lt-LT"/>
        </w:rPr>
        <w:t>(</w:t>
      </w:r>
      <w:r w:rsidRPr="00F93FFA">
        <w:rPr>
          <w:color w:val="000000"/>
        </w:rPr>
        <w:t>29,8</w:t>
      </w:r>
      <w:r w:rsidRPr="00F93FFA">
        <w:rPr>
          <w:color w:val="000000"/>
          <w:szCs w:val="22"/>
          <w:lang w:val="lt-LT"/>
        </w:rPr>
        <w:t xml:space="preserve"> %) reiškiniai, iš kurių </w:t>
      </w:r>
      <w:r w:rsidRPr="00F93FFA">
        <w:rPr>
          <w:color w:val="000000"/>
        </w:rPr>
        <w:t>130 </w:t>
      </w:r>
      <w:r w:rsidRPr="00F93FFA">
        <w:rPr>
          <w:color w:val="000000"/>
          <w:szCs w:val="22"/>
          <w:lang w:val="lt-LT"/>
        </w:rPr>
        <w:t>kilo pirmos eilės gydymo IFN+Ara-C metu.</w:t>
      </w:r>
    </w:p>
    <w:p w14:paraId="5A84ACD0" w14:textId="77777777" w:rsidR="003646A0" w:rsidRPr="00F93FFA" w:rsidRDefault="003646A0" w:rsidP="00DE16D0">
      <w:pPr>
        <w:pStyle w:val="EndnoteText"/>
        <w:widowControl w:val="0"/>
        <w:rPr>
          <w:color w:val="000000"/>
          <w:szCs w:val="22"/>
          <w:lang w:val="lt-LT"/>
        </w:rPr>
      </w:pPr>
    </w:p>
    <w:p w14:paraId="2EE68D9E" w14:textId="77777777" w:rsidR="003646A0" w:rsidRPr="00F93FFA" w:rsidRDefault="003646A0" w:rsidP="00DE16D0">
      <w:pPr>
        <w:pStyle w:val="EndnoteText"/>
        <w:widowControl w:val="0"/>
        <w:rPr>
          <w:color w:val="000000"/>
          <w:szCs w:val="22"/>
          <w:lang w:val="lt-LT"/>
        </w:rPr>
      </w:pPr>
      <w:r w:rsidRPr="00F93FFA">
        <w:rPr>
          <w:color w:val="000000"/>
          <w:szCs w:val="22"/>
          <w:lang w:val="lt-LT"/>
        </w:rPr>
        <w:t>Nustatyta pacientų dalis, kuriems liga neprogresavo iki akceleracijos fazės ar blastinės krizės praėjus 84 mėnesiams, buvo reikšmingai didesnė Glivec grupėje, lyginant su IFN grupe (</w:t>
      </w:r>
      <w:r w:rsidRPr="00F93FFA">
        <w:rPr>
          <w:color w:val="000000"/>
          <w:szCs w:val="22"/>
        </w:rPr>
        <w:t>92,5</w:t>
      </w:r>
      <w:r w:rsidRPr="00F93FFA">
        <w:rPr>
          <w:color w:val="000000"/>
          <w:szCs w:val="22"/>
          <w:lang w:val="lt-LT"/>
        </w:rPr>
        <w:t xml:space="preserve"> %, lyginant su </w:t>
      </w:r>
      <w:r w:rsidRPr="00F93FFA">
        <w:rPr>
          <w:color w:val="000000"/>
          <w:szCs w:val="22"/>
        </w:rPr>
        <w:lastRenderedPageBreak/>
        <w:t>85,1</w:t>
      </w:r>
      <w:r w:rsidRPr="00F93FFA">
        <w:rPr>
          <w:color w:val="000000"/>
          <w:szCs w:val="22"/>
          <w:lang w:val="lt-LT"/>
        </w:rPr>
        <w:t xml:space="preserve"> %, p&lt;0,001). Gydymo laikui ilgėjant, kasmet nustatomas ligos progresavimo iki akceleracijos fazės arba blastų krizės dažnis mažėjo ir buvo mažesnis kaip 1 % kasmet ketvirtaisiais ir penktaisiais metais. Praėjus </w:t>
      </w:r>
      <w:r w:rsidRPr="00F93FFA">
        <w:rPr>
          <w:color w:val="000000"/>
          <w:szCs w:val="22"/>
        </w:rPr>
        <w:t>84 </w:t>
      </w:r>
      <w:r w:rsidRPr="00F93FFA">
        <w:rPr>
          <w:color w:val="000000"/>
          <w:szCs w:val="22"/>
          <w:lang w:val="lt-LT"/>
        </w:rPr>
        <w:t xml:space="preserve">mėnesiams, išgyvenusiųjų be ligos progresavimo dalis buvo tokia: </w:t>
      </w:r>
      <w:r w:rsidRPr="00F93FFA">
        <w:rPr>
          <w:color w:val="000000"/>
          <w:szCs w:val="22"/>
        </w:rPr>
        <w:t>81,2</w:t>
      </w:r>
      <w:r w:rsidRPr="00F93FFA">
        <w:rPr>
          <w:color w:val="000000"/>
          <w:szCs w:val="22"/>
          <w:lang w:val="lt-LT"/>
        </w:rPr>
        <w:t xml:space="preserve"> % Glivec grupėje ir </w:t>
      </w:r>
      <w:r w:rsidRPr="00F93FFA">
        <w:rPr>
          <w:color w:val="000000"/>
          <w:szCs w:val="22"/>
        </w:rPr>
        <w:t>60,6</w:t>
      </w:r>
      <w:r w:rsidRPr="00F93FFA">
        <w:rPr>
          <w:color w:val="000000"/>
          <w:szCs w:val="22"/>
          <w:lang w:val="lt-LT"/>
        </w:rPr>
        <w:t> % kontrolinėje grupėje (p&lt;0,001).</w:t>
      </w:r>
      <w:r w:rsidRPr="00F93FFA">
        <w:rPr>
          <w:rStyle w:val="Char0"/>
          <w:color w:val="000000"/>
          <w:sz w:val="22"/>
          <w:szCs w:val="22"/>
          <w:lang w:val="lt-LT"/>
        </w:rPr>
        <w:t xml:space="preserve"> Ligos bet kokio progresavimo dažnis Glivec grupėje taip pat mažėjo visą laiką.</w:t>
      </w:r>
    </w:p>
    <w:p w14:paraId="5DD3A902" w14:textId="77777777" w:rsidR="003646A0" w:rsidRPr="00F93FFA" w:rsidRDefault="003646A0" w:rsidP="00DE16D0">
      <w:pPr>
        <w:pStyle w:val="EndnoteText"/>
        <w:widowControl w:val="0"/>
        <w:rPr>
          <w:color w:val="000000"/>
          <w:szCs w:val="22"/>
          <w:lang w:val="lt-LT"/>
        </w:rPr>
      </w:pPr>
    </w:p>
    <w:p w14:paraId="1C079DED" w14:textId="77777777" w:rsidR="003646A0" w:rsidRPr="00F93FFA" w:rsidRDefault="003646A0" w:rsidP="00DE16D0">
      <w:pPr>
        <w:pStyle w:val="EndnoteText"/>
        <w:widowControl w:val="0"/>
        <w:rPr>
          <w:color w:val="000000"/>
          <w:szCs w:val="22"/>
          <w:lang w:val="lt-LT"/>
        </w:rPr>
      </w:pPr>
      <w:r w:rsidRPr="00F93FFA">
        <w:rPr>
          <w:color w:val="000000"/>
          <w:szCs w:val="22"/>
          <w:lang w:val="lt-LT"/>
        </w:rPr>
        <w:t xml:space="preserve">Iš viso Glivec ir IFN-Ara-C grupėse mirė atitinkamai </w:t>
      </w:r>
      <w:r w:rsidRPr="00F93FFA">
        <w:rPr>
          <w:color w:val="000000"/>
        </w:rPr>
        <w:t xml:space="preserve">71 </w:t>
      </w:r>
      <w:r w:rsidRPr="00F93FFA">
        <w:rPr>
          <w:color w:val="000000"/>
          <w:szCs w:val="22"/>
          <w:lang w:val="lt-LT"/>
        </w:rPr>
        <w:t>(</w:t>
      </w:r>
      <w:r w:rsidRPr="00F93FFA">
        <w:rPr>
          <w:color w:val="000000"/>
        </w:rPr>
        <w:t>12,8</w:t>
      </w:r>
      <w:r w:rsidRPr="00F93FFA">
        <w:rPr>
          <w:color w:val="000000"/>
          <w:szCs w:val="22"/>
          <w:lang w:val="lt-LT"/>
        </w:rPr>
        <w:t xml:space="preserve"> %) ir </w:t>
      </w:r>
      <w:r w:rsidRPr="00F93FFA">
        <w:rPr>
          <w:color w:val="000000"/>
        </w:rPr>
        <w:t xml:space="preserve">85 </w:t>
      </w:r>
      <w:r w:rsidRPr="00F93FFA">
        <w:rPr>
          <w:color w:val="000000"/>
          <w:szCs w:val="22"/>
          <w:lang w:val="lt-LT"/>
        </w:rPr>
        <w:t>(</w:t>
      </w:r>
      <w:r w:rsidRPr="00F93FFA">
        <w:rPr>
          <w:color w:val="000000"/>
        </w:rPr>
        <w:t>15,4</w:t>
      </w:r>
      <w:r w:rsidRPr="00F93FFA">
        <w:rPr>
          <w:color w:val="000000"/>
          <w:szCs w:val="22"/>
          <w:lang w:val="lt-LT"/>
        </w:rPr>
        <w:t xml:space="preserve"> %) pacientai. Praėjus </w:t>
      </w:r>
      <w:r w:rsidRPr="00F93FFA">
        <w:rPr>
          <w:color w:val="000000"/>
        </w:rPr>
        <w:t>84 </w:t>
      </w:r>
      <w:r w:rsidRPr="00F93FFA">
        <w:rPr>
          <w:color w:val="000000"/>
          <w:szCs w:val="22"/>
          <w:lang w:val="lt-LT"/>
        </w:rPr>
        <w:t xml:space="preserve">mėnesiams, nustatytas toks bendrasis išgyvenamumas: </w:t>
      </w:r>
      <w:r w:rsidRPr="00F93FFA">
        <w:rPr>
          <w:color w:val="000000"/>
        </w:rPr>
        <w:t>86,4</w:t>
      </w:r>
      <w:r w:rsidRPr="00F93FFA">
        <w:rPr>
          <w:color w:val="000000"/>
          <w:szCs w:val="22"/>
          <w:lang w:val="lt-LT"/>
        </w:rPr>
        <w:t> % (</w:t>
      </w:r>
      <w:r w:rsidRPr="00F93FFA">
        <w:rPr>
          <w:color w:val="000000"/>
        </w:rPr>
        <w:t>83</w:t>
      </w:r>
      <w:r w:rsidRPr="00F93FFA">
        <w:rPr>
          <w:color w:val="000000"/>
          <w:szCs w:val="22"/>
          <w:lang w:val="lt-LT"/>
        </w:rPr>
        <w:t xml:space="preserve">, </w:t>
      </w:r>
      <w:r w:rsidRPr="00F93FFA">
        <w:rPr>
          <w:color w:val="000000"/>
        </w:rPr>
        <w:t>90</w:t>
      </w:r>
      <w:r w:rsidRPr="00F93FFA">
        <w:rPr>
          <w:color w:val="000000"/>
          <w:szCs w:val="22"/>
          <w:lang w:val="lt-LT"/>
        </w:rPr>
        <w:t xml:space="preserve">) Glivec grupėje ir </w:t>
      </w:r>
      <w:r w:rsidRPr="00F93FFA">
        <w:rPr>
          <w:color w:val="000000"/>
        </w:rPr>
        <w:t>83,3</w:t>
      </w:r>
      <w:r w:rsidRPr="00F93FFA">
        <w:rPr>
          <w:color w:val="000000"/>
          <w:szCs w:val="22"/>
          <w:lang w:val="lt-LT"/>
        </w:rPr>
        <w:t> % (</w:t>
      </w:r>
      <w:r w:rsidRPr="00F93FFA">
        <w:rPr>
          <w:color w:val="000000"/>
        </w:rPr>
        <w:t>80</w:t>
      </w:r>
      <w:r w:rsidRPr="00F93FFA">
        <w:rPr>
          <w:color w:val="000000"/>
          <w:szCs w:val="22"/>
          <w:lang w:val="lt-LT"/>
        </w:rPr>
        <w:t xml:space="preserve">, </w:t>
      </w:r>
      <w:r w:rsidRPr="00F93FFA">
        <w:rPr>
          <w:color w:val="000000"/>
        </w:rPr>
        <w:t>87</w:t>
      </w:r>
      <w:r w:rsidRPr="00F93FFA">
        <w:rPr>
          <w:color w:val="000000"/>
          <w:szCs w:val="22"/>
          <w:lang w:val="lt-LT"/>
        </w:rPr>
        <w:t>) IFN+Ara-C grupėje, (p</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0,0</w:t>
      </w:r>
      <w:r w:rsidRPr="00F93FFA">
        <w:rPr>
          <w:color w:val="000000"/>
        </w:rPr>
        <w:t>73</w:t>
      </w:r>
      <w:r w:rsidRPr="00F93FFA">
        <w:rPr>
          <w:color w:val="000000"/>
          <w:szCs w:val="22"/>
          <w:lang w:val="lt-LT"/>
        </w:rPr>
        <w:t xml:space="preserve">, logaritminio rango kriterijus). Šį </w:t>
      </w:r>
      <w:r w:rsidRPr="00F93FFA">
        <w:t>“</w:t>
      </w:r>
      <w:r w:rsidRPr="00F93FFA">
        <w:rPr>
          <w:color w:val="000000"/>
          <w:szCs w:val="22"/>
          <w:lang w:val="lt-LT"/>
        </w:rPr>
        <w:t>laiko iki reiškinio</w:t>
      </w:r>
      <w:r w:rsidRPr="00F93FFA">
        <w:rPr>
          <w:color w:val="000000"/>
          <w:szCs w:val="22"/>
        </w:rPr>
        <w:t>”</w:t>
      </w:r>
      <w:r w:rsidRPr="00F93FFA">
        <w:rPr>
          <w:color w:val="000000"/>
          <w:szCs w:val="22"/>
          <w:lang w:val="lt-LT"/>
        </w:rPr>
        <w:t xml:space="preserve"> tyrimo tikslą smarkiai veikė didelis gydymo IFN+Ara-C keitimo gydymu Glivec dažnis. Toliau tiriant naujai diagnozuotos lėtinės LML fazės gydymo Glivec poveikį gyvenimo trukmei, atlikta aukščiau minėtų duomenų apie Glivec vartojimą ir kito III fazės tyrimo, kuriame naudojamas tokia pat tvarka skiriamas IFN-Ara-C (n</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325), pirminių duomenų retrospektyvioji analizė. Atlikus šią retrospektyviąją analizę, įrodytas Glivec pranašumas, lyginant su IFN-Ara-C, bendrojo išgyvenamumo atžvilgiu (p&lt;0,001); per 42 mėnesius mirė 47 (8,5 %) Glivec vartoję pacientai ir 63 (19,4 %) IFN+Ara-C vartoję pacientai.</w:t>
      </w:r>
    </w:p>
    <w:p w14:paraId="6B424BA9" w14:textId="77777777" w:rsidR="003646A0" w:rsidRPr="00F93FFA" w:rsidRDefault="003646A0" w:rsidP="00DE16D0">
      <w:pPr>
        <w:pStyle w:val="EndnoteText"/>
        <w:widowControl w:val="0"/>
        <w:rPr>
          <w:color w:val="000000"/>
          <w:szCs w:val="22"/>
          <w:lang w:val="lt-LT"/>
        </w:rPr>
      </w:pPr>
    </w:p>
    <w:p w14:paraId="695D85EF" w14:textId="77777777" w:rsidR="003646A0" w:rsidRPr="00F93FFA" w:rsidRDefault="003646A0" w:rsidP="00DE16D0">
      <w:pPr>
        <w:pStyle w:val="EndnoteText"/>
        <w:widowControl w:val="0"/>
        <w:rPr>
          <w:color w:val="000000"/>
          <w:szCs w:val="22"/>
        </w:rPr>
      </w:pPr>
      <w:r w:rsidRPr="00F93FFA">
        <w:rPr>
          <w:color w:val="000000"/>
          <w:szCs w:val="22"/>
          <w:lang w:val="lt-LT"/>
        </w:rPr>
        <w:t xml:space="preserve">Nustatyta, kad citogenetinio ir molekulinio atsako laipsnis turi akivaizdų poveikį ilgalaikiams gydymo Glivec rezultatams. Nors nustatyta, kad </w:t>
      </w:r>
      <w:r w:rsidRPr="00F93FFA">
        <w:rPr>
          <w:color w:val="000000"/>
        </w:rPr>
        <w:t>96</w:t>
      </w:r>
      <w:r w:rsidRPr="00F93FFA">
        <w:rPr>
          <w:color w:val="000000"/>
          <w:szCs w:val="22"/>
          <w:lang w:val="lt-LT"/>
        </w:rPr>
        <w:t xml:space="preserve">% (93 %) pacientų, kuriems po 12 mėnesių buvo stebimas CCyR (PCyR), liga neprogresavo iki akceleracijos fazės ar blastinės krizės praėjus </w:t>
      </w:r>
      <w:r w:rsidRPr="00F93FFA">
        <w:rPr>
          <w:color w:val="000000"/>
        </w:rPr>
        <w:t>84 </w:t>
      </w:r>
      <w:r w:rsidRPr="00F93FFA">
        <w:rPr>
          <w:color w:val="000000"/>
          <w:szCs w:val="22"/>
          <w:lang w:val="lt-LT"/>
        </w:rPr>
        <w:t xml:space="preserve">mėnesiams, tik 81 % pacientų, kuriems po 12 mėnesių nebuvo stebima MCyR, liga neprogresavo iki išplitusios LML praėjus </w:t>
      </w:r>
      <w:r w:rsidRPr="00F93FFA">
        <w:rPr>
          <w:color w:val="000000"/>
        </w:rPr>
        <w:t>84 </w:t>
      </w:r>
      <w:r w:rsidRPr="00F93FFA">
        <w:rPr>
          <w:color w:val="000000"/>
          <w:szCs w:val="22"/>
          <w:lang w:val="lt-LT"/>
        </w:rPr>
        <w:t>mėnesiams (bendrasis p&lt;0,001, tarp CCyR ir PCyR p</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 xml:space="preserve">0,25). Pacientams su Bcr-Abl transkriptų sumažėjimu mažiausiai 3 logaritmais per 12 mėnesių tikimybė išlikti be ligos progresijos iki akceleracijos fazės/blastinės krizės buvo </w:t>
      </w:r>
      <w:r w:rsidRPr="00F93FFA">
        <w:rPr>
          <w:color w:val="000000"/>
          <w:szCs w:val="22"/>
        </w:rPr>
        <w:t>99</w:t>
      </w:r>
      <w:r w:rsidRPr="00F93FFA">
        <w:rPr>
          <w:color w:val="000000"/>
          <w:szCs w:val="22"/>
          <w:lang w:val="lt-LT"/>
        </w:rPr>
        <w:t xml:space="preserve">% per </w:t>
      </w:r>
      <w:r w:rsidRPr="00F93FFA">
        <w:rPr>
          <w:color w:val="000000"/>
          <w:szCs w:val="22"/>
        </w:rPr>
        <w:t>84 </w:t>
      </w:r>
      <w:r w:rsidRPr="00F93FFA">
        <w:rPr>
          <w:color w:val="000000"/>
          <w:szCs w:val="22"/>
          <w:lang w:val="lt-LT"/>
        </w:rPr>
        <w:t>mėnesius. Panašūs rezultatai gauti, remiantis per 18 mėnesių laikotarpį gautų duomenų analize.</w:t>
      </w:r>
    </w:p>
    <w:p w14:paraId="43E7FF43" w14:textId="77777777" w:rsidR="003646A0" w:rsidRPr="00F93FFA" w:rsidRDefault="003646A0" w:rsidP="00DE16D0">
      <w:pPr>
        <w:widowControl w:val="0"/>
        <w:rPr>
          <w:color w:val="000000"/>
        </w:rPr>
      </w:pPr>
    </w:p>
    <w:p w14:paraId="36387439" w14:textId="77777777" w:rsidR="003646A0" w:rsidRPr="00F93FFA" w:rsidRDefault="003646A0" w:rsidP="00DE16D0">
      <w:pPr>
        <w:pStyle w:val="EndnoteText"/>
        <w:widowControl w:val="0"/>
        <w:rPr>
          <w:color w:val="000000"/>
          <w:szCs w:val="22"/>
          <w:lang w:val="lt-LT"/>
        </w:rPr>
      </w:pPr>
      <w:r w:rsidRPr="00F93FFA">
        <w:rPr>
          <w:color w:val="000000"/>
          <w:szCs w:val="22"/>
          <w:lang w:val="lt-LT"/>
        </w:rPr>
        <w:t>Šio tyrimo metu dozę buvo galima didinti nuo 400 mg per parą iki 600 mg per parą, po to nuo 600 mg per parą iki 800 mg per parą. Per 42 mėnesių stebėjimo laikotarpį 11 pacientų buvo registruotas citogenetinio atsako netekimas (per 4 savaites). Iš šių 11 pacientų 4 pacientams dozė buvo padidinta iki 800 mg per parą, iš jų dviem buvo vėl gautas citogenetinis atsakas (vienam – dalinis ir kitam - visiškas, vėliau pastarajam buvo gautas ir molekulinis atsakas), tuo tarpu iš 7 pacientų, kuriems dozė nebuvo didinta, tik vienam vėl buvo gautas visiškas citogenetinis atsakas. Kai kurių nepageidaujamų reakcijų procentas buvo didesnis tarp 40 pacientų, kuriems dozė buvo padidinta iki 800 mg per parą, lyginant su pacientų populiacija iki dozės didinimo (n = 551). Dažnesnės buvo šios nepageidaujamos reakcijos: kraujavimas į virškinimo traktą, konjunktyvitas bei transaminazių ar bilirubino koncentracijos padidėjimas. Kitos nepageidaujamos reakcijos registruotos tuo pačiu dažniu ar rečiau.</w:t>
      </w:r>
    </w:p>
    <w:p w14:paraId="2ECF821B" w14:textId="77777777" w:rsidR="003646A0" w:rsidRPr="00F93FFA" w:rsidRDefault="003646A0" w:rsidP="00DE16D0">
      <w:pPr>
        <w:pStyle w:val="EndnoteText"/>
        <w:widowControl w:val="0"/>
        <w:rPr>
          <w:color w:val="000000"/>
          <w:szCs w:val="22"/>
          <w:lang w:val="lt-LT"/>
        </w:rPr>
      </w:pPr>
    </w:p>
    <w:p w14:paraId="69BEFFA7" w14:textId="77777777" w:rsidR="003646A0" w:rsidRPr="00F93FFA" w:rsidRDefault="003646A0" w:rsidP="00DE16D0">
      <w:pPr>
        <w:widowControl w:val="0"/>
        <w:rPr>
          <w:color w:val="000000"/>
          <w:sz w:val="22"/>
          <w:szCs w:val="22"/>
        </w:rPr>
      </w:pPr>
      <w:r w:rsidRPr="00F93FFA">
        <w:rPr>
          <w:i/>
          <w:color w:val="000000"/>
          <w:sz w:val="22"/>
          <w:szCs w:val="22"/>
        </w:rPr>
        <w:t>Lėtinė fazė, nesėkmingas gydymas interferonu</w:t>
      </w:r>
      <w:r w:rsidRPr="00F93FFA">
        <w:rPr>
          <w:color w:val="000000"/>
          <w:sz w:val="22"/>
          <w:szCs w:val="22"/>
        </w:rPr>
        <w:t xml:space="preserve">. 532 suaugusieji pacientai buvo gydomi pradine 400 mg doze. Jie buvo suskirstyti į tris pagrindines kategorijas: hematologinės nesėkmės (29 %), citogenetinės nesėkmės (35 %) ar interferono netoleravimo (36 %). Prieš tai pacientai buvo gydyti interferono doze </w:t>
      </w:r>
      <w:r w:rsidRPr="00F93FFA">
        <w:rPr>
          <w:color w:val="000000"/>
          <w:sz w:val="22"/>
          <w:szCs w:val="22"/>
        </w:rPr>
        <w:sym w:font="Symbol" w:char="F0B3"/>
      </w:r>
      <w:r w:rsidRPr="00F93FFA">
        <w:rPr>
          <w:color w:val="000000"/>
          <w:sz w:val="22"/>
          <w:szCs w:val="22"/>
        </w:rPr>
        <w:t> 25 x 10</w:t>
      </w:r>
      <w:r w:rsidRPr="00F93FFA">
        <w:rPr>
          <w:color w:val="000000"/>
          <w:sz w:val="22"/>
          <w:szCs w:val="22"/>
          <w:vertAlign w:val="superscript"/>
        </w:rPr>
        <w:t>6</w:t>
      </w:r>
      <w:r w:rsidRPr="00F93FFA">
        <w:rPr>
          <w:color w:val="000000"/>
          <w:sz w:val="22"/>
          <w:szCs w:val="22"/>
        </w:rPr>
        <w:t> TV per savaitę (vidurinė gydymo trukmė 14 mėnesių), visiems jiems buvo vėlyvoji lėtinė ligos fazė, vidutinė ligos trukmė nuo diagnozės patvirtinimo – 32 mėnesiai. Svarbiausias tyrimo efektyvumo kintamasis buvo didžiojo citogenetinio atsako (visiško ir dalinio astako, 0–35 % Ph+ metafazių kaulų čiulpuose) dažnis.</w:t>
      </w:r>
    </w:p>
    <w:p w14:paraId="5F628C32" w14:textId="77777777" w:rsidR="003646A0" w:rsidRPr="00F93FFA" w:rsidRDefault="003646A0" w:rsidP="00DE16D0">
      <w:pPr>
        <w:widowControl w:val="0"/>
        <w:rPr>
          <w:color w:val="000000"/>
          <w:sz w:val="22"/>
          <w:szCs w:val="22"/>
        </w:rPr>
      </w:pPr>
    </w:p>
    <w:p w14:paraId="62A954E5" w14:textId="77777777" w:rsidR="003646A0" w:rsidRPr="00F93FFA" w:rsidRDefault="003646A0" w:rsidP="00DE16D0">
      <w:pPr>
        <w:widowControl w:val="0"/>
        <w:rPr>
          <w:color w:val="000000"/>
          <w:sz w:val="22"/>
          <w:szCs w:val="22"/>
        </w:rPr>
      </w:pPr>
      <w:r w:rsidRPr="00F93FFA">
        <w:rPr>
          <w:color w:val="000000"/>
          <w:sz w:val="22"/>
          <w:szCs w:val="22"/>
        </w:rPr>
        <w:t>Šio tyrimo metu 65 % pacientų gautas didysis citogenetinis atsakas: visiškas – 53 % (patvirtintas 43 %) pacientų (</w:t>
      </w:r>
      <w:r w:rsidR="00BE4094" w:rsidRPr="00F93FFA">
        <w:rPr>
          <w:color w:val="000000"/>
          <w:sz w:val="22"/>
          <w:szCs w:val="22"/>
        </w:rPr>
        <w:t>3</w:t>
      </w:r>
      <w:r w:rsidRPr="00F93FFA">
        <w:rPr>
          <w:color w:val="000000"/>
          <w:sz w:val="22"/>
          <w:szCs w:val="22"/>
        </w:rPr>
        <w:t> lentelė). Visiškas hematologinis atsakas gautas 95 % pacientų.</w:t>
      </w:r>
    </w:p>
    <w:p w14:paraId="152AC344" w14:textId="77777777" w:rsidR="003646A0" w:rsidRPr="00F93FFA" w:rsidRDefault="003646A0" w:rsidP="00DE16D0">
      <w:pPr>
        <w:widowControl w:val="0"/>
        <w:rPr>
          <w:color w:val="000000"/>
          <w:sz w:val="22"/>
          <w:szCs w:val="22"/>
        </w:rPr>
      </w:pPr>
    </w:p>
    <w:p w14:paraId="2491B4A9" w14:textId="77777777" w:rsidR="003646A0" w:rsidRPr="00F93FFA" w:rsidRDefault="003646A0" w:rsidP="00DE16D0">
      <w:pPr>
        <w:widowControl w:val="0"/>
        <w:rPr>
          <w:color w:val="000000"/>
          <w:sz w:val="22"/>
          <w:szCs w:val="22"/>
        </w:rPr>
      </w:pPr>
      <w:r w:rsidRPr="00F93FFA">
        <w:rPr>
          <w:i/>
          <w:color w:val="000000"/>
          <w:sz w:val="22"/>
          <w:szCs w:val="22"/>
        </w:rPr>
        <w:t>Akceleracijos fazė</w:t>
      </w:r>
      <w:r w:rsidRPr="00F93FFA">
        <w:rPr>
          <w:color w:val="000000"/>
          <w:sz w:val="22"/>
          <w:szCs w:val="22"/>
        </w:rPr>
        <w:t>. Tyrime dalyvavo 235 suaugusieji pacientai, kuriems buvo ligos akceleracijos fazė. Pirmieji 77 pacientai buvo pradėti gydyti 400 mg doze, paskui protokolas buvo papildytas, ir kitiems 158 pacientams leista vartoti pradinę 600 mg dozę.</w:t>
      </w:r>
    </w:p>
    <w:p w14:paraId="04CC90A3" w14:textId="77777777" w:rsidR="003646A0" w:rsidRPr="00F93FFA" w:rsidRDefault="003646A0" w:rsidP="00DE16D0">
      <w:pPr>
        <w:widowControl w:val="0"/>
        <w:rPr>
          <w:color w:val="000000"/>
          <w:sz w:val="22"/>
          <w:szCs w:val="22"/>
        </w:rPr>
      </w:pPr>
    </w:p>
    <w:p w14:paraId="36D57D81" w14:textId="77777777" w:rsidR="003646A0" w:rsidRPr="00F93FFA" w:rsidRDefault="003646A0" w:rsidP="00DE16D0">
      <w:pPr>
        <w:widowControl w:val="0"/>
        <w:rPr>
          <w:color w:val="000000"/>
          <w:sz w:val="22"/>
          <w:szCs w:val="22"/>
        </w:rPr>
      </w:pPr>
      <w:r w:rsidRPr="00F93FFA">
        <w:rPr>
          <w:color w:val="000000"/>
          <w:sz w:val="22"/>
          <w:szCs w:val="22"/>
        </w:rPr>
        <w:t>Svarbiausias veiksmingumo kintamasis buvo hematologinio atsako, apibūdinamo visišku hematologiniu atsaku, išnykusiais leukemijos požymiais (t.</w:t>
      </w:r>
      <w:r w:rsidR="00957B98" w:rsidRPr="00F93FFA">
        <w:rPr>
          <w:color w:val="000000"/>
          <w:sz w:val="22"/>
          <w:szCs w:val="22"/>
        </w:rPr>
        <w:t> </w:t>
      </w:r>
      <w:r w:rsidRPr="00F93FFA">
        <w:rPr>
          <w:color w:val="000000"/>
          <w:sz w:val="22"/>
          <w:szCs w:val="22"/>
        </w:rPr>
        <w:t>y. išnykusiais blastais iš kaulų čiulpų ir kraujo, bet nevisiškai atsigavusiam periferiniam kraujui kaip esant visiškam atsakui) ar grįžimu į lėtinę LML fazę, dažnis. Visiškas hematologinis atsakas patvirtintas 71,5 % pacientų (</w:t>
      </w:r>
      <w:r w:rsidR="00BE4094" w:rsidRPr="00F93FFA">
        <w:rPr>
          <w:color w:val="000000"/>
          <w:sz w:val="22"/>
          <w:szCs w:val="22"/>
        </w:rPr>
        <w:t>3</w:t>
      </w:r>
      <w:r w:rsidRPr="00F93FFA">
        <w:rPr>
          <w:color w:val="000000"/>
          <w:sz w:val="22"/>
          <w:szCs w:val="22"/>
        </w:rPr>
        <w:t xml:space="preserve"> lentelė). Svarbu tai, kad 27,7 % tiriamųjų gautas didysis citogenetinis atsakas, kuris visiškas buvo 20,4 % (patvirtintas 16 %). Pacientams, gydytiems 600 mg doze, nustatyta išgyvenamumo be ligos progresavimo ir bendro </w:t>
      </w:r>
      <w:r w:rsidRPr="00F93FFA">
        <w:rPr>
          <w:color w:val="000000"/>
          <w:sz w:val="22"/>
          <w:szCs w:val="22"/>
        </w:rPr>
        <w:lastRenderedPageBreak/>
        <w:t>išgyvenamumo mediana buvo atitinkamai 22,9 ir 42,5 mėnesių.</w:t>
      </w:r>
    </w:p>
    <w:p w14:paraId="373C91DC" w14:textId="77777777" w:rsidR="003646A0" w:rsidRPr="00F93FFA" w:rsidRDefault="003646A0" w:rsidP="00DE16D0">
      <w:pPr>
        <w:widowControl w:val="0"/>
        <w:rPr>
          <w:color w:val="000000"/>
          <w:sz w:val="22"/>
          <w:szCs w:val="22"/>
        </w:rPr>
      </w:pPr>
    </w:p>
    <w:p w14:paraId="29B47027" w14:textId="77777777" w:rsidR="003646A0" w:rsidRPr="00F93FFA" w:rsidRDefault="003646A0" w:rsidP="00DE16D0">
      <w:pPr>
        <w:widowControl w:val="0"/>
        <w:rPr>
          <w:color w:val="000000"/>
          <w:sz w:val="22"/>
          <w:szCs w:val="22"/>
        </w:rPr>
      </w:pPr>
      <w:r w:rsidRPr="00F93FFA">
        <w:rPr>
          <w:i/>
          <w:color w:val="000000"/>
          <w:sz w:val="22"/>
          <w:szCs w:val="22"/>
        </w:rPr>
        <w:t>Mieloblastinė krizė</w:t>
      </w:r>
      <w:r w:rsidRPr="00F93FFA">
        <w:rPr>
          <w:color w:val="000000"/>
          <w:sz w:val="22"/>
          <w:szCs w:val="22"/>
        </w:rPr>
        <w:t>. Tyrime dalyvavo 260 pacientų, kuriems buvo mieloblastinė krizė. 95 (37 %) pacientai anksčiau gavo chemoterapiją dėl akceleracijos fazės ar blastinės krizės (“anksčiau gydyti pacientai”) ir 165 (63 %) negydyti (“negydyti pacientai”). Pirmieji 37 pacientai pradėti gydyti 400 mg doze. Paskui protokolas buvo papildytas, kad galima būtų skirti didesnę dozę, taigi kiti 223 pacientai buvo pradėti gydyti 600 mg doze.</w:t>
      </w:r>
    </w:p>
    <w:p w14:paraId="0A3F49BC" w14:textId="77777777" w:rsidR="003646A0" w:rsidRPr="00F93FFA" w:rsidRDefault="003646A0" w:rsidP="00DE16D0">
      <w:pPr>
        <w:widowControl w:val="0"/>
        <w:rPr>
          <w:color w:val="000000"/>
          <w:sz w:val="22"/>
          <w:szCs w:val="22"/>
        </w:rPr>
      </w:pPr>
    </w:p>
    <w:p w14:paraId="38FC624D" w14:textId="77777777" w:rsidR="003646A0" w:rsidRPr="00F93FFA" w:rsidRDefault="003646A0" w:rsidP="00DE16D0">
      <w:pPr>
        <w:widowControl w:val="0"/>
        <w:rPr>
          <w:color w:val="000000"/>
          <w:sz w:val="22"/>
          <w:szCs w:val="22"/>
        </w:rPr>
      </w:pPr>
      <w:r w:rsidRPr="00F93FFA">
        <w:rPr>
          <w:color w:val="000000"/>
          <w:sz w:val="22"/>
          <w:szCs w:val="22"/>
        </w:rPr>
        <w:t>Svarbiausias veiksmingumo kintamasis buvo hematologinio atsako, apibūdinamo visišku hematologiniu atsaku, išnykusia leukemija ar grįžimu į lėtinę LML fazę, vertinant pagal tuos pačius kriterijus kaip ir akceleracijos fazės tyrimo metu, dažnis. Šio tyrimo metu hematologinis atsakas gautas 31 % pacientų (36 % – anksčiau negydytiems ir 22 % – anksčiau gydytiems). Atsako dažnis taip pat buvo didesnis pacientams, gydytiems 600 mg doze (33 %), lyginant su gydytais 400 mg doze (16 %, p</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0,0220). Nustatyta vidutinė anksčiau negydytų ir anksčiau gydytų pacientų išgyvenamumo trukmė buvo atitinkamai 7,7 mėn. ir 4,7 mėn.</w:t>
      </w:r>
    </w:p>
    <w:p w14:paraId="4553F5DF" w14:textId="77777777" w:rsidR="003646A0" w:rsidRPr="00F93FFA" w:rsidRDefault="003646A0" w:rsidP="00DE16D0">
      <w:pPr>
        <w:widowControl w:val="0"/>
        <w:rPr>
          <w:color w:val="000000"/>
          <w:sz w:val="22"/>
          <w:szCs w:val="22"/>
        </w:rPr>
      </w:pPr>
    </w:p>
    <w:p w14:paraId="410C33F1" w14:textId="77777777" w:rsidR="003646A0" w:rsidRPr="00F93FFA" w:rsidRDefault="003646A0" w:rsidP="00DE16D0">
      <w:pPr>
        <w:widowControl w:val="0"/>
        <w:rPr>
          <w:color w:val="000000"/>
          <w:sz w:val="22"/>
          <w:szCs w:val="22"/>
        </w:rPr>
      </w:pPr>
      <w:r w:rsidRPr="00F93FFA">
        <w:rPr>
          <w:i/>
          <w:color w:val="000000"/>
          <w:sz w:val="22"/>
          <w:szCs w:val="22"/>
        </w:rPr>
        <w:t>Limfoblastinė krizė</w:t>
      </w:r>
      <w:r w:rsidRPr="00F93FFA">
        <w:rPr>
          <w:color w:val="000000"/>
          <w:sz w:val="22"/>
          <w:szCs w:val="22"/>
        </w:rPr>
        <w:t>. Nedaug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10) pacientų buvo įtraukta į I fazės tyrimą. Hematologinio atsako dažnis buvo 70 %, jo trukmė – 2–3 mėnesiai.</w:t>
      </w:r>
    </w:p>
    <w:p w14:paraId="0C318CC8" w14:textId="77777777" w:rsidR="003646A0" w:rsidRPr="00F93FFA" w:rsidRDefault="003646A0" w:rsidP="00DE16D0">
      <w:pPr>
        <w:widowControl w:val="0"/>
        <w:rPr>
          <w:color w:val="000000"/>
          <w:sz w:val="22"/>
          <w:szCs w:val="22"/>
        </w:rPr>
      </w:pPr>
    </w:p>
    <w:p w14:paraId="63F27B2B" w14:textId="77777777" w:rsidR="003646A0" w:rsidRPr="00F93FFA" w:rsidRDefault="00BE4094" w:rsidP="00DE16D0">
      <w:pPr>
        <w:keepNext/>
        <w:keepLines/>
        <w:widowControl w:val="0"/>
        <w:tabs>
          <w:tab w:val="left" w:pos="1080"/>
        </w:tabs>
        <w:rPr>
          <w:b/>
          <w:color w:val="000000"/>
          <w:sz w:val="22"/>
          <w:szCs w:val="22"/>
        </w:rPr>
      </w:pPr>
      <w:r w:rsidRPr="00F93FFA">
        <w:rPr>
          <w:b/>
          <w:color w:val="000000"/>
          <w:sz w:val="22"/>
          <w:szCs w:val="22"/>
        </w:rPr>
        <w:t>3</w:t>
      </w:r>
      <w:r w:rsidR="003646A0" w:rsidRPr="00F93FFA">
        <w:rPr>
          <w:b/>
          <w:color w:val="000000"/>
          <w:sz w:val="22"/>
          <w:szCs w:val="22"/>
        </w:rPr>
        <w:t> lentelė</w:t>
      </w:r>
      <w:r w:rsidR="003646A0" w:rsidRPr="00F93FFA">
        <w:rPr>
          <w:b/>
          <w:color w:val="000000"/>
          <w:sz w:val="22"/>
          <w:szCs w:val="22"/>
        </w:rPr>
        <w:tab/>
        <w:t>LML tyrimų suaugusiųjų tarpe atsakas</w:t>
      </w:r>
    </w:p>
    <w:p w14:paraId="686C0865" w14:textId="77777777" w:rsidR="003646A0" w:rsidRPr="00F93FFA" w:rsidRDefault="003646A0" w:rsidP="00DE16D0">
      <w:pPr>
        <w:keepNext/>
        <w:keepLines/>
        <w:widowControl w:val="0"/>
        <w:rPr>
          <w:color w:val="000000"/>
          <w:sz w:val="22"/>
          <w:szCs w:val="22"/>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9"/>
        <w:gridCol w:w="2101"/>
        <w:gridCol w:w="1980"/>
        <w:gridCol w:w="1980"/>
      </w:tblGrid>
      <w:tr w:rsidR="003646A0" w:rsidRPr="00F93FFA" w14:paraId="04D7827D" w14:textId="77777777" w:rsidTr="00DE16D0">
        <w:trPr>
          <w:cantSplit/>
        </w:trPr>
        <w:tc>
          <w:tcPr>
            <w:tcW w:w="3299" w:type="dxa"/>
            <w:tcBorders>
              <w:bottom w:val="nil"/>
            </w:tcBorders>
          </w:tcPr>
          <w:p w14:paraId="138AFA7D" w14:textId="77777777" w:rsidR="003646A0" w:rsidRPr="00F93FFA" w:rsidRDefault="003646A0" w:rsidP="00DE16D0">
            <w:pPr>
              <w:pStyle w:val="EndnoteText"/>
              <w:keepNext/>
              <w:keepLines/>
              <w:widowControl w:val="0"/>
              <w:tabs>
                <w:tab w:val="clear" w:pos="567"/>
              </w:tabs>
              <w:rPr>
                <w:color w:val="000000"/>
                <w:szCs w:val="22"/>
                <w:lang w:val="lt-LT"/>
              </w:rPr>
            </w:pPr>
          </w:p>
        </w:tc>
        <w:tc>
          <w:tcPr>
            <w:tcW w:w="2101" w:type="dxa"/>
            <w:tcBorders>
              <w:bottom w:val="nil"/>
            </w:tcBorders>
          </w:tcPr>
          <w:p w14:paraId="55B8412F"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Tyrimas 0110</w:t>
            </w:r>
          </w:p>
          <w:p w14:paraId="18A9959F" w14:textId="77777777" w:rsidR="003646A0" w:rsidRPr="00F93FFA" w:rsidRDefault="003646A0" w:rsidP="00DE16D0">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37 mėnesių duomenys</w:t>
            </w:r>
          </w:p>
          <w:p w14:paraId="3CDDBDAB"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Lėtinė fazė, nesėkmingas gydymas IFN</w:t>
            </w:r>
          </w:p>
          <w:p w14:paraId="21C218D9"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532)</w:t>
            </w:r>
          </w:p>
        </w:tc>
        <w:tc>
          <w:tcPr>
            <w:tcW w:w="1980" w:type="dxa"/>
            <w:tcBorders>
              <w:bottom w:val="nil"/>
            </w:tcBorders>
          </w:tcPr>
          <w:p w14:paraId="2E3FFA80"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Tyrimas 0109</w:t>
            </w:r>
          </w:p>
          <w:p w14:paraId="6779C6C8"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40,5 mėnesių duomenys</w:t>
            </w:r>
          </w:p>
          <w:p w14:paraId="45CBCF08"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Akceleracijos fazė</w:t>
            </w:r>
          </w:p>
          <w:p w14:paraId="36D240B8"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235)</w:t>
            </w:r>
          </w:p>
        </w:tc>
        <w:tc>
          <w:tcPr>
            <w:tcW w:w="1980" w:type="dxa"/>
            <w:tcBorders>
              <w:bottom w:val="nil"/>
            </w:tcBorders>
          </w:tcPr>
          <w:p w14:paraId="3B09B261"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Tyrimas 0102</w:t>
            </w:r>
          </w:p>
          <w:p w14:paraId="7E0CFD6A"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38 mėnesių duomenys</w:t>
            </w:r>
          </w:p>
          <w:p w14:paraId="5362C4F7"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Mieloblastinė krizė</w:t>
            </w:r>
          </w:p>
          <w:p w14:paraId="0F2B2282"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260)</w:t>
            </w:r>
          </w:p>
        </w:tc>
      </w:tr>
      <w:tr w:rsidR="003646A0" w:rsidRPr="00F93FFA" w14:paraId="5BCD8649" w14:textId="77777777" w:rsidTr="00DE16D0">
        <w:trPr>
          <w:cantSplit/>
        </w:trPr>
        <w:tc>
          <w:tcPr>
            <w:tcW w:w="3299" w:type="dxa"/>
            <w:tcBorders>
              <w:bottom w:val="nil"/>
            </w:tcBorders>
          </w:tcPr>
          <w:p w14:paraId="5AB59DCC" w14:textId="77777777" w:rsidR="003646A0" w:rsidRPr="00F93FFA" w:rsidRDefault="003646A0" w:rsidP="00DE16D0">
            <w:pPr>
              <w:pStyle w:val="EndnoteText"/>
              <w:keepNext/>
              <w:keepLines/>
              <w:widowControl w:val="0"/>
              <w:tabs>
                <w:tab w:val="clear" w:pos="567"/>
              </w:tabs>
              <w:rPr>
                <w:color w:val="000000"/>
                <w:szCs w:val="22"/>
                <w:lang w:val="lt-LT"/>
              </w:rPr>
            </w:pPr>
          </w:p>
        </w:tc>
        <w:tc>
          <w:tcPr>
            <w:tcW w:w="6061" w:type="dxa"/>
            <w:gridSpan w:val="3"/>
            <w:tcBorders>
              <w:bottom w:val="nil"/>
            </w:tcBorders>
          </w:tcPr>
          <w:p w14:paraId="04737148"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 pacientų (PI</w:t>
            </w:r>
            <w:r w:rsidRPr="00F93FFA">
              <w:rPr>
                <w:color w:val="000000"/>
                <w:szCs w:val="22"/>
                <w:vertAlign w:val="subscript"/>
                <w:lang w:val="lt-LT"/>
              </w:rPr>
              <w:t>95 %</w:t>
            </w:r>
            <w:r w:rsidRPr="00F93FFA">
              <w:rPr>
                <w:color w:val="000000"/>
                <w:szCs w:val="22"/>
                <w:lang w:val="lt-LT"/>
              </w:rPr>
              <w:t>)</w:t>
            </w:r>
          </w:p>
        </w:tc>
      </w:tr>
      <w:tr w:rsidR="003646A0" w:rsidRPr="00F93FFA" w14:paraId="2FAB864D" w14:textId="77777777" w:rsidTr="00DE16D0">
        <w:trPr>
          <w:cantSplit/>
        </w:trPr>
        <w:tc>
          <w:tcPr>
            <w:tcW w:w="3299" w:type="dxa"/>
            <w:tcBorders>
              <w:bottom w:val="nil"/>
            </w:tcBorders>
          </w:tcPr>
          <w:p w14:paraId="76A58205"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Hematologinis atsakas</w:t>
            </w:r>
          </w:p>
        </w:tc>
        <w:tc>
          <w:tcPr>
            <w:tcW w:w="2101" w:type="dxa"/>
            <w:tcBorders>
              <w:bottom w:val="nil"/>
            </w:tcBorders>
          </w:tcPr>
          <w:p w14:paraId="467A0269"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95 % (92,3–96,3)</w:t>
            </w:r>
          </w:p>
        </w:tc>
        <w:tc>
          <w:tcPr>
            <w:tcW w:w="1980" w:type="dxa"/>
            <w:tcBorders>
              <w:bottom w:val="nil"/>
            </w:tcBorders>
          </w:tcPr>
          <w:p w14:paraId="51BB5514"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71 % (65,3–77,2)</w:t>
            </w:r>
          </w:p>
        </w:tc>
        <w:tc>
          <w:tcPr>
            <w:tcW w:w="1980" w:type="dxa"/>
            <w:tcBorders>
              <w:bottom w:val="nil"/>
            </w:tcBorders>
          </w:tcPr>
          <w:p w14:paraId="1ABBBF6D"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31 % (25,2–36,8)</w:t>
            </w:r>
          </w:p>
        </w:tc>
      </w:tr>
      <w:tr w:rsidR="003646A0" w:rsidRPr="00F93FFA" w14:paraId="26266FDA" w14:textId="77777777" w:rsidTr="00DE16D0">
        <w:trPr>
          <w:cantSplit/>
        </w:trPr>
        <w:tc>
          <w:tcPr>
            <w:tcW w:w="3299" w:type="dxa"/>
            <w:tcBorders>
              <w:top w:val="nil"/>
              <w:bottom w:val="nil"/>
            </w:tcBorders>
          </w:tcPr>
          <w:p w14:paraId="624BF94F" w14:textId="77777777" w:rsidR="003646A0" w:rsidRPr="00F93FFA" w:rsidRDefault="003646A0" w:rsidP="00DE16D0">
            <w:pPr>
              <w:pStyle w:val="EndnoteText"/>
              <w:keepNext/>
              <w:keepLines/>
              <w:widowControl w:val="0"/>
              <w:tabs>
                <w:tab w:val="clear" w:pos="567"/>
              </w:tabs>
              <w:ind w:left="284"/>
              <w:rPr>
                <w:color w:val="000000"/>
                <w:szCs w:val="22"/>
                <w:lang w:val="lt-LT"/>
              </w:rPr>
            </w:pPr>
            <w:r w:rsidRPr="00F93FFA">
              <w:rPr>
                <w:color w:val="000000"/>
                <w:szCs w:val="22"/>
                <w:lang w:val="lt-LT"/>
              </w:rPr>
              <w:t>Visiškas hematologinis atsakas (VHA)</w:t>
            </w:r>
          </w:p>
        </w:tc>
        <w:tc>
          <w:tcPr>
            <w:tcW w:w="2101" w:type="dxa"/>
            <w:tcBorders>
              <w:top w:val="nil"/>
              <w:bottom w:val="nil"/>
            </w:tcBorders>
          </w:tcPr>
          <w:p w14:paraId="17A83487"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95 %</w:t>
            </w:r>
          </w:p>
        </w:tc>
        <w:tc>
          <w:tcPr>
            <w:tcW w:w="1980" w:type="dxa"/>
            <w:tcBorders>
              <w:top w:val="nil"/>
              <w:bottom w:val="nil"/>
            </w:tcBorders>
          </w:tcPr>
          <w:p w14:paraId="2AF3D6F1"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42 %</w:t>
            </w:r>
          </w:p>
        </w:tc>
        <w:tc>
          <w:tcPr>
            <w:tcW w:w="1980" w:type="dxa"/>
            <w:tcBorders>
              <w:top w:val="nil"/>
              <w:bottom w:val="nil"/>
            </w:tcBorders>
          </w:tcPr>
          <w:p w14:paraId="6789A25B"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8 %</w:t>
            </w:r>
          </w:p>
        </w:tc>
      </w:tr>
      <w:tr w:rsidR="003646A0" w:rsidRPr="00F93FFA" w14:paraId="7A0457C7" w14:textId="77777777" w:rsidTr="00DE16D0">
        <w:trPr>
          <w:cantSplit/>
        </w:trPr>
        <w:tc>
          <w:tcPr>
            <w:tcW w:w="3299" w:type="dxa"/>
            <w:tcBorders>
              <w:top w:val="nil"/>
              <w:bottom w:val="nil"/>
            </w:tcBorders>
          </w:tcPr>
          <w:p w14:paraId="2B9DBC2A" w14:textId="77777777" w:rsidR="003646A0" w:rsidRPr="00F93FFA" w:rsidRDefault="003646A0" w:rsidP="00DE16D0">
            <w:pPr>
              <w:pStyle w:val="EndnoteText"/>
              <w:keepNext/>
              <w:keepLines/>
              <w:widowControl w:val="0"/>
              <w:tabs>
                <w:tab w:val="clear" w:pos="567"/>
              </w:tabs>
              <w:ind w:left="284"/>
              <w:rPr>
                <w:color w:val="000000"/>
                <w:szCs w:val="22"/>
                <w:lang w:val="lt-LT"/>
              </w:rPr>
            </w:pPr>
            <w:r w:rsidRPr="00F93FFA">
              <w:rPr>
                <w:color w:val="000000"/>
                <w:szCs w:val="22"/>
                <w:lang w:val="lt-LT"/>
              </w:rPr>
              <w:t>Išnykusi leukemija (NEL)</w:t>
            </w:r>
          </w:p>
        </w:tc>
        <w:tc>
          <w:tcPr>
            <w:tcW w:w="2101" w:type="dxa"/>
            <w:tcBorders>
              <w:top w:val="nil"/>
              <w:bottom w:val="nil"/>
            </w:tcBorders>
          </w:tcPr>
          <w:p w14:paraId="5D48530D"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Nepateikiama</w:t>
            </w:r>
          </w:p>
        </w:tc>
        <w:tc>
          <w:tcPr>
            <w:tcW w:w="1980" w:type="dxa"/>
            <w:tcBorders>
              <w:top w:val="nil"/>
              <w:bottom w:val="nil"/>
            </w:tcBorders>
          </w:tcPr>
          <w:p w14:paraId="3AA6F19D"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12 %</w:t>
            </w:r>
          </w:p>
        </w:tc>
        <w:tc>
          <w:tcPr>
            <w:tcW w:w="1980" w:type="dxa"/>
            <w:tcBorders>
              <w:top w:val="nil"/>
              <w:bottom w:val="nil"/>
            </w:tcBorders>
          </w:tcPr>
          <w:p w14:paraId="318FF059"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5 %</w:t>
            </w:r>
          </w:p>
        </w:tc>
      </w:tr>
      <w:tr w:rsidR="003646A0" w:rsidRPr="00F93FFA" w14:paraId="6DCCA89F" w14:textId="77777777" w:rsidTr="00DE16D0">
        <w:trPr>
          <w:cantSplit/>
        </w:trPr>
        <w:tc>
          <w:tcPr>
            <w:tcW w:w="3299" w:type="dxa"/>
            <w:tcBorders>
              <w:top w:val="nil"/>
              <w:bottom w:val="nil"/>
            </w:tcBorders>
          </w:tcPr>
          <w:p w14:paraId="13A85825" w14:textId="77777777" w:rsidR="003646A0" w:rsidRPr="00F93FFA" w:rsidRDefault="003646A0" w:rsidP="00DE16D0">
            <w:pPr>
              <w:pStyle w:val="EndnoteText"/>
              <w:keepNext/>
              <w:keepLines/>
              <w:widowControl w:val="0"/>
              <w:tabs>
                <w:tab w:val="clear" w:pos="567"/>
              </w:tabs>
              <w:ind w:left="284"/>
              <w:rPr>
                <w:color w:val="000000"/>
                <w:szCs w:val="22"/>
                <w:lang w:val="lt-LT"/>
              </w:rPr>
            </w:pPr>
            <w:r w:rsidRPr="00F93FFA">
              <w:rPr>
                <w:color w:val="000000"/>
                <w:szCs w:val="22"/>
                <w:lang w:val="lt-LT"/>
              </w:rPr>
              <w:t>Grįžimas į lėtinę fazę (GLF)</w:t>
            </w:r>
          </w:p>
        </w:tc>
        <w:tc>
          <w:tcPr>
            <w:tcW w:w="2101" w:type="dxa"/>
            <w:tcBorders>
              <w:top w:val="nil"/>
              <w:bottom w:val="nil"/>
            </w:tcBorders>
          </w:tcPr>
          <w:p w14:paraId="3C4A37D1"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Nepateikiama</w:t>
            </w:r>
          </w:p>
        </w:tc>
        <w:tc>
          <w:tcPr>
            <w:tcW w:w="1980" w:type="dxa"/>
            <w:tcBorders>
              <w:top w:val="nil"/>
              <w:bottom w:val="nil"/>
            </w:tcBorders>
          </w:tcPr>
          <w:p w14:paraId="064C257F"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17 %</w:t>
            </w:r>
          </w:p>
        </w:tc>
        <w:tc>
          <w:tcPr>
            <w:tcW w:w="1980" w:type="dxa"/>
            <w:tcBorders>
              <w:top w:val="nil"/>
              <w:bottom w:val="nil"/>
            </w:tcBorders>
          </w:tcPr>
          <w:p w14:paraId="32472113"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18 %</w:t>
            </w:r>
          </w:p>
        </w:tc>
      </w:tr>
      <w:tr w:rsidR="003646A0" w:rsidRPr="00F93FFA" w14:paraId="2B67AC12" w14:textId="77777777" w:rsidTr="00DE16D0">
        <w:trPr>
          <w:cantSplit/>
        </w:trPr>
        <w:tc>
          <w:tcPr>
            <w:tcW w:w="3299" w:type="dxa"/>
            <w:tcBorders>
              <w:bottom w:val="nil"/>
            </w:tcBorders>
          </w:tcPr>
          <w:p w14:paraId="5F6DC9FB"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Didysis citogenetinis atsakas</w:t>
            </w:r>
            <w:r w:rsidRPr="00F93FFA">
              <w:rPr>
                <w:color w:val="000000"/>
                <w:szCs w:val="22"/>
                <w:vertAlign w:val="superscript"/>
                <w:lang w:val="lt-LT"/>
              </w:rPr>
              <w:t>2</w:t>
            </w:r>
          </w:p>
        </w:tc>
        <w:tc>
          <w:tcPr>
            <w:tcW w:w="2101" w:type="dxa"/>
            <w:tcBorders>
              <w:bottom w:val="nil"/>
            </w:tcBorders>
          </w:tcPr>
          <w:p w14:paraId="11EA8385"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65 % (61,2–69,5)</w:t>
            </w:r>
          </w:p>
        </w:tc>
        <w:tc>
          <w:tcPr>
            <w:tcW w:w="1980" w:type="dxa"/>
            <w:tcBorders>
              <w:bottom w:val="nil"/>
            </w:tcBorders>
          </w:tcPr>
          <w:p w14:paraId="6CC436EB"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28 % (22,0–33,9)</w:t>
            </w:r>
          </w:p>
        </w:tc>
        <w:tc>
          <w:tcPr>
            <w:tcW w:w="1980" w:type="dxa"/>
            <w:tcBorders>
              <w:bottom w:val="nil"/>
            </w:tcBorders>
          </w:tcPr>
          <w:p w14:paraId="3E7BB8A7"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15 % (11,2–20,4)</w:t>
            </w:r>
          </w:p>
        </w:tc>
      </w:tr>
      <w:tr w:rsidR="003646A0" w:rsidRPr="00F93FFA" w14:paraId="2FEDDAE3" w14:textId="77777777" w:rsidTr="00DE16D0">
        <w:trPr>
          <w:cantSplit/>
        </w:trPr>
        <w:tc>
          <w:tcPr>
            <w:tcW w:w="3299" w:type="dxa"/>
            <w:tcBorders>
              <w:top w:val="nil"/>
              <w:bottom w:val="nil"/>
            </w:tcBorders>
          </w:tcPr>
          <w:p w14:paraId="4340FA5E" w14:textId="77777777" w:rsidR="003646A0" w:rsidRPr="00F93FFA" w:rsidRDefault="003646A0" w:rsidP="00DE16D0">
            <w:pPr>
              <w:pStyle w:val="EndnoteText"/>
              <w:keepNext/>
              <w:keepLines/>
              <w:widowControl w:val="0"/>
              <w:tabs>
                <w:tab w:val="clear" w:pos="567"/>
              </w:tabs>
              <w:ind w:left="284"/>
              <w:rPr>
                <w:color w:val="000000"/>
                <w:szCs w:val="22"/>
                <w:lang w:val="lt-LT"/>
              </w:rPr>
            </w:pPr>
            <w:r w:rsidRPr="00F93FFA">
              <w:rPr>
                <w:color w:val="000000"/>
                <w:szCs w:val="22"/>
                <w:lang w:val="lt-LT"/>
              </w:rPr>
              <w:t>Visiškas</w:t>
            </w:r>
          </w:p>
        </w:tc>
        <w:tc>
          <w:tcPr>
            <w:tcW w:w="2101" w:type="dxa"/>
            <w:tcBorders>
              <w:top w:val="nil"/>
              <w:bottom w:val="nil"/>
            </w:tcBorders>
          </w:tcPr>
          <w:p w14:paraId="2ED1BB18"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53 %</w:t>
            </w:r>
          </w:p>
        </w:tc>
        <w:tc>
          <w:tcPr>
            <w:tcW w:w="1980" w:type="dxa"/>
            <w:tcBorders>
              <w:top w:val="nil"/>
              <w:bottom w:val="nil"/>
            </w:tcBorders>
          </w:tcPr>
          <w:p w14:paraId="3F03647B"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20 %</w:t>
            </w:r>
          </w:p>
        </w:tc>
        <w:tc>
          <w:tcPr>
            <w:tcW w:w="1980" w:type="dxa"/>
            <w:tcBorders>
              <w:top w:val="nil"/>
              <w:bottom w:val="nil"/>
            </w:tcBorders>
          </w:tcPr>
          <w:p w14:paraId="00329795"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7 %</w:t>
            </w:r>
          </w:p>
        </w:tc>
      </w:tr>
      <w:tr w:rsidR="003646A0" w:rsidRPr="00F93FFA" w14:paraId="2771CE12" w14:textId="77777777" w:rsidTr="00DE16D0">
        <w:trPr>
          <w:cantSplit/>
        </w:trPr>
        <w:tc>
          <w:tcPr>
            <w:tcW w:w="3299" w:type="dxa"/>
            <w:tcBorders>
              <w:top w:val="nil"/>
              <w:bottom w:val="nil"/>
            </w:tcBorders>
          </w:tcPr>
          <w:p w14:paraId="52F3134D" w14:textId="77777777" w:rsidR="003646A0" w:rsidRPr="00F93FFA" w:rsidRDefault="003646A0" w:rsidP="00DE16D0">
            <w:pPr>
              <w:pStyle w:val="BodyTextIndent2"/>
              <w:keepNext/>
              <w:keepLines/>
              <w:widowControl w:val="0"/>
              <w:tabs>
                <w:tab w:val="clear" w:pos="567"/>
              </w:tabs>
              <w:spacing w:line="240" w:lineRule="auto"/>
              <w:ind w:left="284" w:firstLine="0"/>
              <w:rPr>
                <w:b w:val="0"/>
                <w:color w:val="000000"/>
                <w:szCs w:val="22"/>
                <w:lang w:val="lt-LT"/>
              </w:rPr>
            </w:pPr>
            <w:r w:rsidRPr="00F93FFA">
              <w:rPr>
                <w:b w:val="0"/>
                <w:color w:val="000000"/>
                <w:szCs w:val="22"/>
                <w:lang w:val="lt-LT"/>
              </w:rPr>
              <w:t>(Patvirtintas</w:t>
            </w:r>
            <w:r w:rsidRPr="00F93FFA">
              <w:rPr>
                <w:b w:val="0"/>
                <w:color w:val="000000"/>
                <w:szCs w:val="22"/>
                <w:vertAlign w:val="superscript"/>
                <w:lang w:val="lt-LT"/>
              </w:rPr>
              <w:t>3</w:t>
            </w:r>
            <w:r w:rsidRPr="00F93FFA">
              <w:rPr>
                <w:b w:val="0"/>
                <w:color w:val="000000"/>
                <w:szCs w:val="22"/>
                <w:lang w:val="lt-LT"/>
              </w:rPr>
              <w:t>) [95 % PI]</w:t>
            </w:r>
          </w:p>
        </w:tc>
        <w:tc>
          <w:tcPr>
            <w:tcW w:w="2101" w:type="dxa"/>
            <w:tcBorders>
              <w:top w:val="nil"/>
              <w:bottom w:val="nil"/>
            </w:tcBorders>
          </w:tcPr>
          <w:p w14:paraId="52385B38" w14:textId="77777777" w:rsidR="003646A0" w:rsidRPr="00F93FFA" w:rsidRDefault="003646A0" w:rsidP="00DE16D0">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(43 %) [38,6–47,2]</w:t>
            </w:r>
          </w:p>
        </w:tc>
        <w:tc>
          <w:tcPr>
            <w:tcW w:w="1980" w:type="dxa"/>
            <w:tcBorders>
              <w:top w:val="nil"/>
              <w:bottom w:val="nil"/>
            </w:tcBorders>
          </w:tcPr>
          <w:p w14:paraId="571062E9" w14:textId="77777777" w:rsidR="003646A0" w:rsidRPr="00F93FFA" w:rsidRDefault="003646A0" w:rsidP="00DE16D0">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(16 %) [11,3–21,0]</w:t>
            </w:r>
          </w:p>
        </w:tc>
        <w:tc>
          <w:tcPr>
            <w:tcW w:w="1980" w:type="dxa"/>
            <w:tcBorders>
              <w:top w:val="nil"/>
              <w:bottom w:val="nil"/>
            </w:tcBorders>
          </w:tcPr>
          <w:p w14:paraId="2AAF703E" w14:textId="77777777" w:rsidR="003646A0" w:rsidRPr="00F93FFA" w:rsidRDefault="003646A0" w:rsidP="00DE16D0">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(2 %) [0,6–4,4]</w:t>
            </w:r>
          </w:p>
        </w:tc>
      </w:tr>
      <w:tr w:rsidR="003646A0" w:rsidRPr="00F93FFA" w14:paraId="2C59E6F6" w14:textId="77777777" w:rsidTr="00DE16D0">
        <w:trPr>
          <w:cantSplit/>
        </w:trPr>
        <w:tc>
          <w:tcPr>
            <w:tcW w:w="3299" w:type="dxa"/>
            <w:tcBorders>
              <w:top w:val="nil"/>
              <w:bottom w:val="nil"/>
            </w:tcBorders>
          </w:tcPr>
          <w:p w14:paraId="53FB5052" w14:textId="77777777" w:rsidR="003646A0" w:rsidRPr="00F93FFA" w:rsidRDefault="003646A0" w:rsidP="00DE16D0">
            <w:pPr>
              <w:pStyle w:val="EndnoteText"/>
              <w:keepNext/>
              <w:keepLines/>
              <w:widowControl w:val="0"/>
              <w:tabs>
                <w:tab w:val="clear" w:pos="567"/>
              </w:tabs>
              <w:ind w:left="284"/>
              <w:rPr>
                <w:color w:val="000000"/>
                <w:szCs w:val="22"/>
                <w:lang w:val="lt-LT"/>
              </w:rPr>
            </w:pPr>
            <w:r w:rsidRPr="00F93FFA">
              <w:rPr>
                <w:color w:val="000000"/>
                <w:szCs w:val="22"/>
                <w:lang w:val="lt-LT"/>
              </w:rPr>
              <w:t>Dalinis</w:t>
            </w:r>
          </w:p>
        </w:tc>
        <w:tc>
          <w:tcPr>
            <w:tcW w:w="2101" w:type="dxa"/>
            <w:tcBorders>
              <w:top w:val="nil"/>
              <w:bottom w:val="nil"/>
            </w:tcBorders>
          </w:tcPr>
          <w:p w14:paraId="6B453413"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12 %</w:t>
            </w:r>
          </w:p>
        </w:tc>
        <w:tc>
          <w:tcPr>
            <w:tcW w:w="1980" w:type="dxa"/>
            <w:tcBorders>
              <w:top w:val="nil"/>
              <w:bottom w:val="nil"/>
            </w:tcBorders>
          </w:tcPr>
          <w:p w14:paraId="58EBB862"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7 %</w:t>
            </w:r>
          </w:p>
        </w:tc>
        <w:tc>
          <w:tcPr>
            <w:tcW w:w="1980" w:type="dxa"/>
            <w:tcBorders>
              <w:top w:val="nil"/>
              <w:bottom w:val="nil"/>
            </w:tcBorders>
          </w:tcPr>
          <w:p w14:paraId="660D6EA0"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8 %</w:t>
            </w:r>
          </w:p>
        </w:tc>
      </w:tr>
      <w:tr w:rsidR="003646A0" w:rsidRPr="00F93FFA" w14:paraId="0103B645" w14:textId="77777777" w:rsidTr="00DE16D0">
        <w:trPr>
          <w:cantSplit/>
        </w:trPr>
        <w:tc>
          <w:tcPr>
            <w:tcW w:w="9360" w:type="dxa"/>
            <w:gridSpan w:val="4"/>
            <w:tcBorders>
              <w:top w:val="single" w:sz="4" w:space="0" w:color="auto"/>
              <w:bottom w:val="single" w:sz="4" w:space="0" w:color="auto"/>
            </w:tcBorders>
          </w:tcPr>
          <w:p w14:paraId="0FFE485B" w14:textId="77777777" w:rsidR="003646A0" w:rsidRPr="00F93FFA" w:rsidRDefault="003646A0" w:rsidP="00DE16D0">
            <w:pPr>
              <w:pStyle w:val="Table"/>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vertAlign w:val="superscript"/>
                <w:lang w:val="lt-LT"/>
              </w:rPr>
              <w:t xml:space="preserve">1 </w:t>
            </w:r>
            <w:r w:rsidRPr="00F93FFA">
              <w:rPr>
                <w:rFonts w:ascii="Times New Roman" w:hAnsi="Times New Roman"/>
                <w:b/>
                <w:color w:val="000000"/>
                <w:sz w:val="22"/>
                <w:szCs w:val="22"/>
                <w:lang w:val="lt-LT"/>
              </w:rPr>
              <w:t xml:space="preserve">Hematologinio atsako kriterijai (visi atsakai turi būti patvirtinti po </w:t>
            </w:r>
            <w:r w:rsidRPr="00F93FFA">
              <w:rPr>
                <w:rFonts w:ascii="Times New Roman" w:hAnsi="Times New Roman"/>
                <w:b/>
                <w:color w:val="000000"/>
                <w:sz w:val="22"/>
                <w:szCs w:val="22"/>
                <w:lang w:val="lt-LT"/>
              </w:rPr>
              <w:sym w:font="Symbol" w:char="F0B3"/>
            </w:r>
            <w:r w:rsidRPr="00F93FFA">
              <w:rPr>
                <w:rFonts w:ascii="Times New Roman" w:hAnsi="Times New Roman"/>
                <w:b/>
                <w:color w:val="000000"/>
                <w:sz w:val="22"/>
                <w:szCs w:val="22"/>
                <w:lang w:val="lt-LT"/>
              </w:rPr>
              <w:t> 4 savaičių):</w:t>
            </w:r>
          </w:p>
          <w:p w14:paraId="292A8E7F" w14:textId="77777777" w:rsidR="003646A0" w:rsidRPr="00F93FFA" w:rsidRDefault="003646A0" w:rsidP="00DE16D0">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VHA</w:t>
            </w:r>
            <w:r w:rsidRPr="00F93FFA">
              <w:rPr>
                <w:rFonts w:ascii="Times New Roman" w:hAnsi="Times New Roman"/>
                <w:color w:val="000000"/>
                <w:sz w:val="22"/>
                <w:szCs w:val="22"/>
                <w:lang w:val="lt-LT"/>
              </w:rPr>
              <w:tab/>
              <w:t>Tyrimas 0110 [BKK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trombocitų &lt; 450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mielocitų+metamielocitų &lt; 5 % kraujyje, nėra blastų ir promielocitų kraujyje, bazofilų &lt; 20 %, nėra ekstramedulinių židinių] ir tyrimuose 0102 bei 0109 [ANS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100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nėra blastų kraujyje, blastų &lt; 5 % kaulų čiulpuose, nėra ekstramedulinės ligos]</w:t>
            </w:r>
          </w:p>
          <w:p w14:paraId="60A963E5" w14:textId="77777777" w:rsidR="003646A0" w:rsidRPr="00F93FFA" w:rsidRDefault="003646A0" w:rsidP="00DE16D0">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NEL</w:t>
            </w:r>
            <w:r w:rsidRPr="00F93FFA">
              <w:rPr>
                <w:rFonts w:ascii="Times New Roman" w:hAnsi="Times New Roman"/>
                <w:color w:val="000000"/>
                <w:sz w:val="22"/>
                <w:szCs w:val="22"/>
                <w:lang w:val="lt-LT"/>
              </w:rPr>
              <w:tab/>
              <w:t xml:space="preserve">Tokie pat kriterijai kaip VHA bet ANS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20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(tik 0102 ir 0109)</w:t>
            </w:r>
          </w:p>
          <w:p w14:paraId="5D6A2626" w14:textId="77777777" w:rsidR="003646A0" w:rsidRPr="00F93FFA" w:rsidRDefault="003646A0" w:rsidP="00DE16D0">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GLF</w:t>
            </w:r>
            <w:r w:rsidRPr="00F93FFA">
              <w:rPr>
                <w:rFonts w:ascii="Times New Roman" w:hAnsi="Times New Roman"/>
                <w:color w:val="000000"/>
                <w:sz w:val="22"/>
                <w:szCs w:val="22"/>
                <w:lang w:val="lt-LT"/>
              </w:rPr>
              <w:tab/>
              <w:t>&lt; 15 % blastų KČ ir PK, &lt; 30 % blastų+promielocitų KČ ir PK, &lt; 20 % bazofilų PK, nėra kitos, išskyrus blužnies ir kepenų, ekstramedulinės ligos (tik 0102 ir 0109).</w:t>
            </w:r>
          </w:p>
          <w:p w14:paraId="4C467777" w14:textId="2E20E497" w:rsidR="003646A0" w:rsidRPr="00F93FFA" w:rsidRDefault="003646A0" w:rsidP="00DE16D0">
            <w:pPr>
              <w:pStyle w:val="Table"/>
              <w:widowControl w:val="0"/>
              <w:tabs>
                <w:tab w:val="clear" w:pos="284"/>
              </w:tabs>
              <w:spacing w:before="0" w:after="0"/>
              <w:ind w:left="567" w:hanging="567"/>
              <w:rPr>
                <w:rFonts w:ascii="Times New Roman" w:hAnsi="Times New Roman"/>
                <w:color w:val="000000"/>
                <w:sz w:val="22"/>
                <w:szCs w:val="22"/>
                <w:lang w:val="lt-LT"/>
              </w:rPr>
            </w:pPr>
            <w:r w:rsidRPr="00F93FFA">
              <w:rPr>
                <w:rFonts w:ascii="Times New Roman" w:hAnsi="Times New Roman"/>
                <w:color w:val="000000"/>
                <w:sz w:val="22"/>
                <w:szCs w:val="22"/>
                <w:lang w:val="lt-LT"/>
              </w:rPr>
              <w:t>KČ</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kaulų čiulpai, PK</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E63FCA"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periferinis kraujas</w:t>
            </w:r>
          </w:p>
          <w:p w14:paraId="4661ED24" w14:textId="77777777" w:rsidR="003646A0" w:rsidRPr="00F93FFA" w:rsidRDefault="003646A0" w:rsidP="00DE16D0">
            <w:pPr>
              <w:pStyle w:val="Table"/>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vertAlign w:val="superscript"/>
                <w:lang w:val="lt-LT"/>
              </w:rPr>
              <w:t xml:space="preserve">2 </w:t>
            </w:r>
            <w:r w:rsidRPr="00F93FFA">
              <w:rPr>
                <w:rFonts w:ascii="Times New Roman" w:hAnsi="Times New Roman"/>
                <w:b/>
                <w:color w:val="000000"/>
                <w:sz w:val="22"/>
                <w:szCs w:val="22"/>
                <w:lang w:val="lt-LT"/>
              </w:rPr>
              <w:t>Citogenetinio atsako kriterijai:</w:t>
            </w:r>
          </w:p>
          <w:p w14:paraId="35D360E9"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Didįjį atsaką sudaro visiškas ir dalinis atsakas: visiškas (0 % Ph+ metafazių), dalinis (1–35 %)</w:t>
            </w:r>
          </w:p>
          <w:p w14:paraId="09399487"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vertAlign w:val="superscript"/>
                <w:lang w:val="lt-LT"/>
              </w:rPr>
              <w:t>3</w:t>
            </w:r>
            <w:r w:rsidRPr="00F93FFA">
              <w:rPr>
                <w:color w:val="000000"/>
                <w:szCs w:val="22"/>
                <w:lang w:val="lt-LT"/>
              </w:rPr>
              <w:t xml:space="preserve"> Visiškas citogenetinis atsakas patvirtinamas antrą kartą citogenetiškai vertinant kaulų čiulpus praėjus mažiausiai vienam mėnesiui po pirminio kaulų čiulpų tyrimo.</w:t>
            </w:r>
          </w:p>
        </w:tc>
      </w:tr>
    </w:tbl>
    <w:p w14:paraId="06742387" w14:textId="77777777" w:rsidR="003646A0" w:rsidRPr="00F93FFA" w:rsidRDefault="003646A0" w:rsidP="00DE16D0">
      <w:pPr>
        <w:widowControl w:val="0"/>
        <w:rPr>
          <w:color w:val="000000"/>
          <w:sz w:val="22"/>
          <w:szCs w:val="22"/>
        </w:rPr>
      </w:pPr>
    </w:p>
    <w:p w14:paraId="308396D6" w14:textId="77777777" w:rsidR="003646A0" w:rsidRPr="00F93FFA" w:rsidRDefault="003646A0" w:rsidP="00DE16D0">
      <w:pPr>
        <w:widowControl w:val="0"/>
        <w:rPr>
          <w:color w:val="000000"/>
          <w:sz w:val="22"/>
          <w:szCs w:val="22"/>
        </w:rPr>
      </w:pPr>
      <w:r w:rsidRPr="00F93FFA">
        <w:rPr>
          <w:i/>
          <w:color w:val="000000"/>
          <w:sz w:val="22"/>
          <w:szCs w:val="22"/>
        </w:rPr>
        <w:t>Vaikai ir paaugliai</w:t>
      </w:r>
      <w:r w:rsidRPr="00F93FFA">
        <w:rPr>
          <w:color w:val="000000"/>
          <w:sz w:val="22"/>
          <w:szCs w:val="22"/>
        </w:rPr>
        <w:t>. Iš viso 26 jaunesni kaip 18 metų vaikai, kuriems buvo lėtinė LML fazė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11) ar LML blastinė krizė, ar Ph+ ūminė leukemiija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 xml:space="preserve">15), buvo įtraukti į dozės didinimo I fazės tyrimą. Tai buvo intensyviai gydyti vaikai: 46 % – buvo transplantuoti kaulų čiulpai, 73 % – buvo gavę kelių </w:t>
      </w:r>
      <w:r w:rsidR="00A70D12" w:rsidRPr="00F93FFA">
        <w:rPr>
          <w:color w:val="000000"/>
          <w:sz w:val="22"/>
          <w:szCs w:val="22"/>
        </w:rPr>
        <w:t xml:space="preserve">vaistinių preparatų </w:t>
      </w:r>
      <w:r w:rsidRPr="00F93FFA">
        <w:rPr>
          <w:color w:val="000000"/>
          <w:sz w:val="22"/>
          <w:szCs w:val="22"/>
        </w:rPr>
        <w:t>chemoterapiją. Pacientams buvo skirta Glivec po 260 mg/m</w:t>
      </w:r>
      <w:r w:rsidRPr="00F93FFA">
        <w:rPr>
          <w:color w:val="000000"/>
          <w:sz w:val="22"/>
          <w:szCs w:val="22"/>
          <w:vertAlign w:val="superscript"/>
        </w:rPr>
        <w:t>2</w:t>
      </w:r>
      <w:r w:rsidRPr="00F93FFA">
        <w:rPr>
          <w:color w:val="000000"/>
          <w:sz w:val="22"/>
          <w:szCs w:val="22"/>
        </w:rPr>
        <w:t xml:space="preserve"> per parą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5), 340 mg/m</w:t>
      </w:r>
      <w:r w:rsidRPr="00F93FFA">
        <w:rPr>
          <w:color w:val="000000"/>
          <w:sz w:val="22"/>
          <w:szCs w:val="22"/>
          <w:vertAlign w:val="superscript"/>
        </w:rPr>
        <w:t>2</w:t>
      </w:r>
      <w:r w:rsidRPr="00F93FFA">
        <w:rPr>
          <w:color w:val="000000"/>
          <w:sz w:val="22"/>
          <w:szCs w:val="22"/>
        </w:rPr>
        <w:t xml:space="preserve"> per parą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9), 440 mg/m</w:t>
      </w:r>
      <w:r w:rsidRPr="00F93FFA">
        <w:rPr>
          <w:color w:val="000000"/>
          <w:sz w:val="22"/>
          <w:szCs w:val="22"/>
          <w:vertAlign w:val="superscript"/>
        </w:rPr>
        <w:t>2</w:t>
      </w:r>
      <w:r w:rsidRPr="00F93FFA">
        <w:rPr>
          <w:color w:val="000000"/>
          <w:sz w:val="22"/>
          <w:szCs w:val="22"/>
        </w:rPr>
        <w:t xml:space="preserve"> per parą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7), 570 mg/m</w:t>
      </w:r>
      <w:r w:rsidRPr="00F93FFA">
        <w:rPr>
          <w:color w:val="000000"/>
          <w:sz w:val="22"/>
          <w:szCs w:val="22"/>
          <w:vertAlign w:val="superscript"/>
        </w:rPr>
        <w:t>2</w:t>
      </w:r>
      <w:r w:rsidRPr="00F93FFA">
        <w:rPr>
          <w:color w:val="000000"/>
          <w:sz w:val="22"/>
          <w:szCs w:val="22"/>
        </w:rPr>
        <w:t xml:space="preserve"> per parą (n</w:t>
      </w:r>
      <w:r w:rsidR="00E63FCA" w:rsidRPr="00F93FFA">
        <w:rPr>
          <w:color w:val="000000"/>
          <w:sz w:val="22"/>
          <w:szCs w:val="22"/>
        </w:rPr>
        <w:t> </w:t>
      </w:r>
      <w:r w:rsidRPr="00F93FFA">
        <w:rPr>
          <w:color w:val="000000"/>
          <w:sz w:val="22"/>
          <w:szCs w:val="22"/>
        </w:rPr>
        <w:t>=</w:t>
      </w:r>
      <w:r w:rsidR="00E63FCA" w:rsidRPr="00F93FFA">
        <w:rPr>
          <w:color w:val="000000"/>
          <w:sz w:val="22"/>
          <w:szCs w:val="22"/>
        </w:rPr>
        <w:t> </w:t>
      </w:r>
      <w:r w:rsidRPr="00F93FFA">
        <w:rPr>
          <w:color w:val="000000"/>
          <w:sz w:val="22"/>
          <w:szCs w:val="22"/>
        </w:rPr>
        <w:t xml:space="preserve">5). Iš 9 pacientų, </w:t>
      </w:r>
      <w:r w:rsidRPr="00F93FFA">
        <w:rPr>
          <w:color w:val="000000"/>
          <w:sz w:val="22"/>
          <w:szCs w:val="22"/>
        </w:rPr>
        <w:lastRenderedPageBreak/>
        <w:t>kuriems buvo lėtinė LML fazė ir prieinami citogenetiniai rodikliai, 4 (44 %) ir 3 (33 %) buvo gautas atitinkamai visiškas ir dalinis citogenetinis atsakas, MCyR dažnis – 77 %.</w:t>
      </w:r>
    </w:p>
    <w:p w14:paraId="433E55D5" w14:textId="77777777" w:rsidR="003646A0" w:rsidRPr="00F93FFA" w:rsidRDefault="003646A0" w:rsidP="00DE16D0">
      <w:pPr>
        <w:widowControl w:val="0"/>
        <w:ind w:left="567" w:hanging="567"/>
        <w:rPr>
          <w:color w:val="000000"/>
          <w:sz w:val="22"/>
          <w:szCs w:val="22"/>
        </w:rPr>
      </w:pPr>
    </w:p>
    <w:p w14:paraId="496FAEDF" w14:textId="77777777" w:rsidR="003646A0" w:rsidRPr="00F93FFA" w:rsidRDefault="003646A0" w:rsidP="00DE16D0">
      <w:pPr>
        <w:widowControl w:val="0"/>
        <w:rPr>
          <w:color w:val="000000"/>
          <w:sz w:val="22"/>
          <w:szCs w:val="22"/>
        </w:rPr>
      </w:pPr>
      <w:r w:rsidRPr="00F93FFA">
        <w:rPr>
          <w:color w:val="000000"/>
          <w:sz w:val="22"/>
          <w:szCs w:val="22"/>
        </w:rPr>
        <w:t>II fazės atvirame, daugiacentriame, vienos grupės tyrime dalyvavo 51 vaikas, sergantis naujai diagnozuota ir negydyta lėtinės fazės LML. Pacientai buvo gydomi Glivec 340 mg/m</w:t>
      </w:r>
      <w:r w:rsidRPr="00F93FFA">
        <w:rPr>
          <w:color w:val="000000"/>
          <w:sz w:val="22"/>
          <w:szCs w:val="22"/>
          <w:vertAlign w:val="superscript"/>
        </w:rPr>
        <w:t>2</w:t>
      </w:r>
      <w:r w:rsidRPr="00F93FFA">
        <w:rPr>
          <w:color w:val="000000"/>
          <w:sz w:val="22"/>
          <w:szCs w:val="22"/>
        </w:rPr>
        <w:t xml:space="preserve"> doze be pertraukų, nes nebuvo dozės ribojančio nepageidaujamo poveikio. Gydymas Glivec sukėlė greitą atsaką vaikų, sergančių naujai diagnozuota LML su 78 % VHA, tarpe po 8 gydymo savaičių. Aukštas VHA lygis yra susijęs su išsivysčiusiu 65 % visišku citogenetiniu atsaku (CCyR), kuris lygintinas su duomenimis suagusiųjų tarpe. Be to, buvo stebimas 16 % dalinis citogenetinis atsakas (PCyR), kai MCyR dažnis – 81 %. Daugumai pacientų, pasiekusių CCyR, tarp 3 ir 10 mėnesių išsivystė CCyR su atsako trukmės mediana, remiantis Kaplan-Meier 5,6 mėnesių išgyvenamumo rodikliu.</w:t>
      </w:r>
    </w:p>
    <w:p w14:paraId="5C94851D" w14:textId="77777777" w:rsidR="003646A0" w:rsidRPr="00F93FFA" w:rsidRDefault="003646A0" w:rsidP="00DE16D0">
      <w:pPr>
        <w:pStyle w:val="EndnoteText"/>
        <w:widowControl w:val="0"/>
        <w:rPr>
          <w:color w:val="000000"/>
          <w:szCs w:val="22"/>
          <w:u w:val="single"/>
          <w:lang w:val="lt-LT"/>
        </w:rPr>
      </w:pPr>
    </w:p>
    <w:p w14:paraId="48C39D26" w14:textId="3EEE4AF3" w:rsidR="003646A0" w:rsidRPr="00F93FFA" w:rsidRDefault="003646A0" w:rsidP="00DE16D0">
      <w:pPr>
        <w:widowControl w:val="0"/>
        <w:rPr>
          <w:sz w:val="22"/>
          <w:szCs w:val="22"/>
        </w:rPr>
      </w:pPr>
      <w:r w:rsidRPr="00F93FFA">
        <w:rPr>
          <w:sz w:val="22"/>
          <w:szCs w:val="22"/>
        </w:rPr>
        <w:t xml:space="preserve">Europos vaistų agentūra atleido nuo įsipareigojimo pateikti Glivec tyrimų su visais vaikų populiacijos pogrupiais duomenis, sergantiesiems </w:t>
      </w:r>
      <w:r w:rsidRPr="00F93FFA">
        <w:rPr>
          <w:i/>
          <w:color w:val="000000"/>
          <w:sz w:val="22"/>
          <w:szCs w:val="22"/>
        </w:rPr>
        <w:t>Philadelphia</w:t>
      </w:r>
      <w:r w:rsidRPr="00F93FFA">
        <w:rPr>
          <w:color w:val="000000"/>
          <w:sz w:val="22"/>
          <w:szCs w:val="22"/>
        </w:rPr>
        <w:t xml:space="preserve"> chromosomai (bcr-abl</w:t>
      </w:r>
      <w:r w:rsidRPr="00F93FFA">
        <w:rPr>
          <w:rFonts w:cs="TimesNewRomanPSMT"/>
          <w:sz w:val="22"/>
          <w:szCs w:val="22"/>
          <w:lang w:bidi="th-TH"/>
        </w:rPr>
        <w:t xml:space="preserve"> translokacija</w:t>
      </w:r>
      <w:r w:rsidRPr="00F93FFA">
        <w:rPr>
          <w:color w:val="000000"/>
          <w:sz w:val="22"/>
          <w:szCs w:val="22"/>
        </w:rPr>
        <w:t>) teigiama lėtine mieloleukemija</w:t>
      </w:r>
      <w:r w:rsidRPr="00F93FFA">
        <w:rPr>
          <w:sz w:val="22"/>
          <w:szCs w:val="22"/>
        </w:rPr>
        <w:t xml:space="preserve"> (vartojimo vaikams informacija pateikiama 4.2</w:t>
      </w:r>
      <w:r w:rsidR="00BF7B5C" w:rsidRPr="00F93FFA">
        <w:rPr>
          <w:sz w:val="22"/>
          <w:szCs w:val="22"/>
        </w:rPr>
        <w:t> </w:t>
      </w:r>
      <w:r w:rsidRPr="00F93FFA">
        <w:rPr>
          <w:sz w:val="22"/>
          <w:szCs w:val="22"/>
        </w:rPr>
        <w:t>skyriuje).</w:t>
      </w:r>
    </w:p>
    <w:p w14:paraId="13709F10" w14:textId="77777777" w:rsidR="003646A0" w:rsidRPr="00F93FFA" w:rsidRDefault="003646A0" w:rsidP="00DE16D0">
      <w:pPr>
        <w:widowControl w:val="0"/>
        <w:rPr>
          <w:sz w:val="22"/>
          <w:szCs w:val="22"/>
        </w:rPr>
      </w:pPr>
    </w:p>
    <w:p w14:paraId="6292DDA3" w14:textId="77777777" w:rsidR="003646A0" w:rsidRPr="00F93FFA" w:rsidRDefault="003646A0" w:rsidP="00DE16D0">
      <w:pPr>
        <w:pStyle w:val="EndnoteText"/>
        <w:keepNext/>
        <w:widowControl w:val="0"/>
        <w:rPr>
          <w:color w:val="000000"/>
          <w:szCs w:val="22"/>
          <w:u w:val="single"/>
          <w:lang w:val="lt-LT"/>
        </w:rPr>
      </w:pPr>
      <w:r w:rsidRPr="00F93FFA">
        <w:rPr>
          <w:color w:val="000000"/>
          <w:szCs w:val="22"/>
          <w:u w:val="single"/>
          <w:lang w:val="lt-LT"/>
        </w:rPr>
        <w:t>Klinikiniai Ph+ ŪLL tyrimai</w:t>
      </w:r>
    </w:p>
    <w:p w14:paraId="374D923A" w14:textId="77777777" w:rsidR="003646A0" w:rsidRPr="00F93FFA" w:rsidRDefault="003646A0" w:rsidP="00DE16D0">
      <w:pPr>
        <w:pStyle w:val="Text"/>
        <w:widowControl w:val="0"/>
        <w:spacing w:before="0"/>
        <w:jc w:val="left"/>
        <w:rPr>
          <w:color w:val="000000"/>
          <w:sz w:val="22"/>
          <w:szCs w:val="22"/>
          <w:lang w:val="lt-LT"/>
        </w:rPr>
      </w:pPr>
      <w:r w:rsidRPr="00F93FFA">
        <w:rPr>
          <w:i/>
          <w:color w:val="000000"/>
          <w:sz w:val="22"/>
          <w:szCs w:val="22"/>
          <w:lang w:val="lt-LT"/>
        </w:rPr>
        <w:t>Pirmą kartą diagnozuota Ph+ ŪLL</w:t>
      </w:r>
      <w:r w:rsidRPr="00F93FFA">
        <w:rPr>
          <w:color w:val="000000"/>
          <w:sz w:val="22"/>
          <w:szCs w:val="22"/>
          <w:lang w:val="lt-LT"/>
        </w:rPr>
        <w:t>: Kontroliuojamo (ADE10) tyrimo metu, kuriame imatinibas buvo lygintas su pradine chemoterapija penkiasdešimt penkiems 55 metų ir vyresniems pacientams, kuriems diagnozė nustatyta pirmą kartą, vartojant vieną imatinibą buvo gautas reikšmingai didesnis pilno hematologinio atsako dažnis lyginant su chemoterapiją gavusiaisias (96,3 % lyginant su 50 %; p</w:t>
      </w:r>
      <w:r w:rsidR="00E63FCA" w:rsidRPr="00F93FFA">
        <w:rPr>
          <w:color w:val="000000"/>
          <w:sz w:val="22"/>
          <w:szCs w:val="22"/>
          <w:lang w:val="lt-LT"/>
        </w:rPr>
        <w:t> </w:t>
      </w:r>
      <w:r w:rsidRPr="00F93FFA">
        <w:rPr>
          <w:color w:val="000000"/>
          <w:sz w:val="22"/>
          <w:szCs w:val="22"/>
          <w:lang w:val="lt-LT"/>
        </w:rPr>
        <w:t>=</w:t>
      </w:r>
      <w:r w:rsidR="00E63FCA" w:rsidRPr="00F93FFA">
        <w:rPr>
          <w:color w:val="000000"/>
          <w:sz w:val="22"/>
          <w:szCs w:val="22"/>
          <w:lang w:val="lt-LT"/>
        </w:rPr>
        <w:t> </w:t>
      </w:r>
      <w:r w:rsidRPr="00F93FFA">
        <w:rPr>
          <w:color w:val="000000"/>
          <w:sz w:val="22"/>
          <w:szCs w:val="22"/>
          <w:lang w:val="lt-LT"/>
        </w:rPr>
        <w:t>0,0001). Kai pacientams, kuriems nebuvo gautas atsakas ar gautas silpnas atsakas, buvo paskirtas pagalbinis gydymas imatinibu, pilnas hematologinis atsakas buvo gautas 9 pacientams (81,8 %) iš 11. Šis klinikinis efektas buvo susijęs su didesniu bcr-abl transkriptų sumažėjimu po 2 gydymo savaičių imatinibą vartojusių pacientų grupėje (p</w:t>
      </w:r>
      <w:r w:rsidR="00E63FCA" w:rsidRPr="00F93FFA">
        <w:rPr>
          <w:color w:val="000000"/>
          <w:sz w:val="22"/>
          <w:szCs w:val="22"/>
          <w:lang w:val="lt-LT"/>
        </w:rPr>
        <w:t> </w:t>
      </w:r>
      <w:r w:rsidRPr="00F93FFA">
        <w:rPr>
          <w:color w:val="000000"/>
          <w:sz w:val="22"/>
          <w:szCs w:val="22"/>
          <w:lang w:val="lt-LT"/>
        </w:rPr>
        <w:t>=</w:t>
      </w:r>
      <w:r w:rsidR="00E63FCA" w:rsidRPr="00F93FFA">
        <w:rPr>
          <w:color w:val="000000"/>
          <w:sz w:val="22"/>
          <w:szCs w:val="22"/>
          <w:lang w:val="lt-LT"/>
        </w:rPr>
        <w:t> </w:t>
      </w:r>
      <w:r w:rsidRPr="00F93FFA">
        <w:rPr>
          <w:color w:val="000000"/>
          <w:sz w:val="22"/>
          <w:szCs w:val="22"/>
          <w:lang w:val="lt-LT"/>
        </w:rPr>
        <w:t xml:space="preserve">0,02) lyginant su chemoterapiją gavusiaisias. Po pradinio gydymo visi pacientai gavo imatinibą bei papildomą chemoterapiją (žr. </w:t>
      </w:r>
      <w:r w:rsidR="00BE4094" w:rsidRPr="00F93FFA">
        <w:rPr>
          <w:color w:val="000000"/>
          <w:sz w:val="22"/>
          <w:szCs w:val="22"/>
          <w:lang w:val="lt-LT"/>
        </w:rPr>
        <w:t>4</w:t>
      </w:r>
      <w:r w:rsidRPr="00F93FFA">
        <w:rPr>
          <w:color w:val="000000"/>
          <w:sz w:val="22"/>
          <w:szCs w:val="22"/>
          <w:lang w:val="lt-LT"/>
        </w:rPr>
        <w:t xml:space="preserve"> lentelę), po 8 savaičių bcr-abl transkriptų kiekis buvo vienodas abiejose grupėse. </w:t>
      </w:r>
      <w:r w:rsidRPr="00F93FFA">
        <w:rPr>
          <w:rFonts w:eastAsia="MS Mincho"/>
          <w:color w:val="000000"/>
          <w:sz w:val="22"/>
          <w:szCs w:val="22"/>
          <w:lang w:val="lt-LT" w:eastAsia="ja-JP"/>
        </w:rPr>
        <w:t xml:space="preserve">Kaip ir tikėtasi planuojant tyrimą, skirtumo tarp remisijos trukmės, laiko be ligos ir gyvenimo trukmės nebuvo, nors pacientų, kuriems buvo pasiektas pilnas molekulinis atsakas ir išliko </w:t>
      </w:r>
      <w:r w:rsidRPr="00F93FFA">
        <w:rPr>
          <w:color w:val="000000"/>
          <w:sz w:val="22"/>
          <w:szCs w:val="22"/>
          <w:lang w:val="lt-LT"/>
        </w:rPr>
        <w:t xml:space="preserve">minimali liekamoji liga, buvo geresni ir remisijos trukmės </w:t>
      </w:r>
      <w:r w:rsidRPr="00F93FFA">
        <w:rPr>
          <w:rFonts w:eastAsia="MS Mincho"/>
          <w:color w:val="000000"/>
          <w:sz w:val="22"/>
          <w:szCs w:val="22"/>
          <w:lang w:val="lt-LT" w:eastAsia="ja-JP"/>
        </w:rPr>
        <w:t>(p</w:t>
      </w:r>
      <w:r w:rsidR="00E63FCA" w:rsidRPr="00F93FFA">
        <w:rPr>
          <w:rFonts w:eastAsia="MS Mincho"/>
          <w:color w:val="000000"/>
          <w:sz w:val="22"/>
          <w:szCs w:val="22"/>
          <w:lang w:val="lt-LT" w:eastAsia="ja-JP"/>
        </w:rPr>
        <w:t> </w:t>
      </w:r>
      <w:r w:rsidRPr="00F93FFA">
        <w:rPr>
          <w:rFonts w:eastAsia="MS Mincho"/>
          <w:color w:val="000000"/>
          <w:sz w:val="22"/>
          <w:szCs w:val="22"/>
          <w:lang w:val="lt-LT" w:eastAsia="ja-JP"/>
        </w:rPr>
        <w:t>=</w:t>
      </w:r>
      <w:r w:rsidR="00E63FCA" w:rsidRPr="00F93FFA">
        <w:rPr>
          <w:rFonts w:eastAsia="MS Mincho"/>
          <w:color w:val="000000"/>
          <w:sz w:val="22"/>
          <w:szCs w:val="22"/>
          <w:lang w:val="lt-LT" w:eastAsia="ja-JP"/>
        </w:rPr>
        <w:t> </w:t>
      </w:r>
      <w:r w:rsidRPr="00F93FFA">
        <w:rPr>
          <w:rFonts w:eastAsia="MS Mincho"/>
          <w:color w:val="000000"/>
          <w:sz w:val="22"/>
          <w:szCs w:val="22"/>
          <w:lang w:val="lt-LT" w:eastAsia="ja-JP"/>
        </w:rPr>
        <w:t>0,01) ir laiko be ligos (p</w:t>
      </w:r>
      <w:r w:rsidR="00E63FCA" w:rsidRPr="00F93FFA">
        <w:rPr>
          <w:rFonts w:eastAsia="MS Mincho"/>
          <w:color w:val="000000"/>
          <w:sz w:val="22"/>
          <w:szCs w:val="22"/>
          <w:lang w:val="lt-LT" w:eastAsia="ja-JP"/>
        </w:rPr>
        <w:t> </w:t>
      </w:r>
      <w:r w:rsidRPr="00F93FFA">
        <w:rPr>
          <w:rFonts w:eastAsia="MS Mincho"/>
          <w:color w:val="000000"/>
          <w:sz w:val="22"/>
          <w:szCs w:val="22"/>
          <w:lang w:val="lt-LT" w:eastAsia="ja-JP"/>
        </w:rPr>
        <w:t>=</w:t>
      </w:r>
      <w:r w:rsidR="00E63FCA" w:rsidRPr="00F93FFA">
        <w:rPr>
          <w:rFonts w:eastAsia="MS Mincho"/>
          <w:color w:val="000000"/>
          <w:sz w:val="22"/>
          <w:szCs w:val="22"/>
          <w:lang w:val="lt-LT" w:eastAsia="ja-JP"/>
        </w:rPr>
        <w:t> </w:t>
      </w:r>
      <w:r w:rsidRPr="00F93FFA">
        <w:rPr>
          <w:rFonts w:eastAsia="MS Mincho"/>
          <w:color w:val="000000"/>
          <w:sz w:val="22"/>
          <w:szCs w:val="22"/>
          <w:lang w:val="lt-LT" w:eastAsia="ja-JP"/>
        </w:rPr>
        <w:t>0,02) rezultatai</w:t>
      </w:r>
      <w:r w:rsidRPr="00F93FFA">
        <w:rPr>
          <w:color w:val="000000"/>
          <w:sz w:val="22"/>
          <w:szCs w:val="22"/>
          <w:lang w:val="lt-LT"/>
        </w:rPr>
        <w:t>.</w:t>
      </w:r>
    </w:p>
    <w:p w14:paraId="35EF9702" w14:textId="77777777" w:rsidR="003646A0" w:rsidRPr="00F93FFA" w:rsidRDefault="003646A0" w:rsidP="00DE16D0">
      <w:pPr>
        <w:pStyle w:val="Text"/>
        <w:widowControl w:val="0"/>
        <w:spacing w:before="0"/>
        <w:jc w:val="left"/>
        <w:rPr>
          <w:color w:val="000000"/>
          <w:sz w:val="22"/>
          <w:szCs w:val="22"/>
          <w:lang w:val="lt-LT"/>
        </w:rPr>
      </w:pPr>
    </w:p>
    <w:p w14:paraId="4380FCB2" w14:textId="77777777" w:rsidR="003646A0" w:rsidRPr="00F93FFA" w:rsidRDefault="003646A0" w:rsidP="00DE16D0">
      <w:pPr>
        <w:pStyle w:val="EndnoteText"/>
        <w:widowControl w:val="0"/>
        <w:rPr>
          <w:color w:val="000000"/>
          <w:szCs w:val="22"/>
          <w:lang w:val="lt-LT"/>
        </w:rPr>
      </w:pPr>
      <w:r w:rsidRPr="00F93FFA">
        <w:rPr>
          <w:color w:val="000000"/>
          <w:szCs w:val="22"/>
          <w:lang w:val="lt-LT"/>
        </w:rPr>
        <w:t xml:space="preserve">Keturių nekontroliuojamų tyrimų (AAU02, ADE04, AJP01 ir AUS01), kuriuose dalyvavo 211 pacientų, kuriems pirmą kartą diagnozuota Ph+ ŪLL, rezultatai atitinka aukščiau paminėto tyrimo rezultatus. Skiriant imatinibą kartu su pradine chemoterapija (žr. </w:t>
      </w:r>
      <w:r w:rsidR="00BE4094" w:rsidRPr="00F93FFA">
        <w:rPr>
          <w:color w:val="000000"/>
          <w:szCs w:val="22"/>
          <w:lang w:val="lt-LT"/>
        </w:rPr>
        <w:t>4</w:t>
      </w:r>
      <w:r w:rsidRPr="00F93FFA">
        <w:rPr>
          <w:color w:val="000000"/>
          <w:szCs w:val="22"/>
          <w:lang w:val="lt-LT"/>
        </w:rPr>
        <w:t> lentelę) pilno hematologinio atsako dažnis buvo 93 % (147 iš 158 pacientų, kuriuos buvo galima vertinti), o didžiojo citogenetinio atsako dažnis buvo 90 % (19 iš 21 paciento, kuriuos buvo galima įvertinti). Pilno molekulinio atsako dažnis buvo 48 % (49 iš 102 pacientų, kuriuos buvo galima vertinti). Laikas be ligos (DSF) ir gyvenimo trukmė (OS) pastoviai viršijo 1 metus ir buvo aukštesni kaip anksčiau nustatyti (DFS p&lt;0,001; OS p&lt;0,0001) dvejuose tyrimuose (AJP01 ir AUS01).</w:t>
      </w:r>
    </w:p>
    <w:p w14:paraId="466B11C1" w14:textId="77777777" w:rsidR="003646A0" w:rsidRPr="00F93FFA" w:rsidRDefault="003646A0" w:rsidP="00DE16D0">
      <w:pPr>
        <w:widowControl w:val="0"/>
        <w:rPr>
          <w:color w:val="000000"/>
          <w:sz w:val="22"/>
          <w:szCs w:val="22"/>
        </w:rPr>
      </w:pPr>
    </w:p>
    <w:p w14:paraId="1494F1D5" w14:textId="77777777" w:rsidR="003646A0" w:rsidRPr="00F93FFA" w:rsidRDefault="00BE4094" w:rsidP="00DE16D0">
      <w:pPr>
        <w:keepNext/>
        <w:widowControl w:val="0"/>
        <w:tabs>
          <w:tab w:val="left" w:pos="1080"/>
        </w:tabs>
        <w:rPr>
          <w:b/>
          <w:color w:val="000000"/>
          <w:sz w:val="22"/>
          <w:szCs w:val="22"/>
        </w:rPr>
      </w:pPr>
      <w:r w:rsidRPr="00F93FFA">
        <w:rPr>
          <w:b/>
          <w:color w:val="000000"/>
          <w:sz w:val="22"/>
          <w:szCs w:val="22"/>
        </w:rPr>
        <w:lastRenderedPageBreak/>
        <w:t>4</w:t>
      </w:r>
      <w:r w:rsidR="003646A0" w:rsidRPr="00F93FFA">
        <w:rPr>
          <w:b/>
          <w:color w:val="000000"/>
          <w:sz w:val="22"/>
          <w:szCs w:val="22"/>
        </w:rPr>
        <w:t> lentelė</w:t>
      </w:r>
      <w:r w:rsidR="003646A0" w:rsidRPr="00F93FFA">
        <w:rPr>
          <w:b/>
          <w:color w:val="000000"/>
          <w:sz w:val="22"/>
          <w:szCs w:val="22"/>
        </w:rPr>
        <w:tab/>
        <w:t>Chemoterapijos gydymas, taikomas kartu su imatinibu</w:t>
      </w:r>
    </w:p>
    <w:p w14:paraId="310E2E41" w14:textId="77777777" w:rsidR="003646A0" w:rsidRPr="00F93FFA" w:rsidRDefault="003646A0" w:rsidP="00DE16D0">
      <w:pPr>
        <w:keepNext/>
        <w:widowControl w:val="0"/>
        <w:rPr>
          <w:color w:val="000000"/>
          <w:sz w:val="22"/>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3646A0" w:rsidRPr="00F93FFA" w14:paraId="30C2355E" w14:textId="77777777" w:rsidTr="00DE16D0">
        <w:trPr>
          <w:cantSplit/>
        </w:trPr>
        <w:tc>
          <w:tcPr>
            <w:tcW w:w="2148" w:type="dxa"/>
            <w:tcBorders>
              <w:top w:val="single" w:sz="4" w:space="0" w:color="auto"/>
              <w:bottom w:val="single" w:sz="4" w:space="0" w:color="auto"/>
            </w:tcBorders>
          </w:tcPr>
          <w:p w14:paraId="08113E19"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lang w:val="lt-LT"/>
              </w:rPr>
              <w:t>ADE10 tyrimas</w:t>
            </w:r>
          </w:p>
        </w:tc>
        <w:tc>
          <w:tcPr>
            <w:tcW w:w="6732" w:type="dxa"/>
            <w:gridSpan w:val="4"/>
            <w:tcBorders>
              <w:top w:val="single" w:sz="4" w:space="0" w:color="auto"/>
              <w:bottom w:val="single" w:sz="4" w:space="0" w:color="auto"/>
            </w:tcBorders>
          </w:tcPr>
          <w:p w14:paraId="1887E75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r>
      <w:tr w:rsidR="003646A0" w:rsidRPr="00F93FFA" w14:paraId="0CB4DAB0" w14:textId="77777777" w:rsidTr="00DE16D0">
        <w:trPr>
          <w:cantSplit/>
        </w:trPr>
        <w:tc>
          <w:tcPr>
            <w:tcW w:w="2148" w:type="dxa"/>
            <w:tcBorders>
              <w:top w:val="single" w:sz="4" w:space="0" w:color="auto"/>
              <w:bottom w:val="single" w:sz="4" w:space="0" w:color="auto"/>
            </w:tcBorders>
          </w:tcPr>
          <w:p w14:paraId="2586254D"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Prefazė</w:t>
            </w:r>
          </w:p>
        </w:tc>
        <w:tc>
          <w:tcPr>
            <w:tcW w:w="6732" w:type="dxa"/>
            <w:gridSpan w:val="4"/>
            <w:tcBorders>
              <w:top w:val="single" w:sz="4" w:space="0" w:color="auto"/>
              <w:bottom w:val="single" w:sz="4" w:space="0" w:color="auto"/>
            </w:tcBorders>
          </w:tcPr>
          <w:p w14:paraId="2651BFC2"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2936459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4, 5 dieną;</w:t>
            </w:r>
          </w:p>
          <w:p w14:paraId="2217F8E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12 mg intratekaliai, 1 dieną.</w:t>
            </w:r>
          </w:p>
        </w:tc>
      </w:tr>
      <w:tr w:rsidR="003646A0" w:rsidRPr="00F93FFA" w14:paraId="4558516D" w14:textId="77777777" w:rsidTr="00DE16D0">
        <w:trPr>
          <w:cantSplit/>
        </w:trPr>
        <w:tc>
          <w:tcPr>
            <w:tcW w:w="2148" w:type="dxa"/>
            <w:tcBorders>
              <w:top w:val="single" w:sz="4" w:space="0" w:color="auto"/>
              <w:bottom w:val="single" w:sz="4" w:space="0" w:color="auto"/>
            </w:tcBorders>
          </w:tcPr>
          <w:p w14:paraId="113655D3"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Remisijos sukėlimas</w:t>
            </w:r>
          </w:p>
        </w:tc>
        <w:tc>
          <w:tcPr>
            <w:tcW w:w="6732" w:type="dxa"/>
            <w:gridSpan w:val="4"/>
            <w:tcBorders>
              <w:top w:val="single" w:sz="4" w:space="0" w:color="auto"/>
              <w:bottom w:val="single" w:sz="4" w:space="0" w:color="auto"/>
            </w:tcBorders>
          </w:tcPr>
          <w:p w14:paraId="6C8748DB"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6-7 dieną, 13-16 dieną;</w:t>
            </w:r>
          </w:p>
          <w:p w14:paraId="1D02E528"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1 mg i.v., 7, 14 dieną;</w:t>
            </w:r>
          </w:p>
          <w:p w14:paraId="131E031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IDA 8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(0,5 valandos), 7, 8, 14, 15 dieną;</w:t>
            </w:r>
          </w:p>
          <w:p w14:paraId="0168DE0D"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500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i.v.(1 valanda) 1 dieną;</w:t>
            </w:r>
          </w:p>
          <w:p w14:paraId="2F1B4CA6"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22-25, 29-32 dienas.</w:t>
            </w:r>
          </w:p>
        </w:tc>
      </w:tr>
      <w:tr w:rsidR="003646A0" w:rsidRPr="00F93FFA" w14:paraId="670BD1BA" w14:textId="77777777" w:rsidTr="00DE16D0">
        <w:trPr>
          <w:cantSplit/>
        </w:trPr>
        <w:tc>
          <w:tcPr>
            <w:tcW w:w="2148" w:type="dxa"/>
            <w:tcBorders>
              <w:top w:val="single" w:sz="4" w:space="0" w:color="auto"/>
              <w:bottom w:val="single" w:sz="4" w:space="0" w:color="auto"/>
            </w:tcBorders>
          </w:tcPr>
          <w:p w14:paraId="68388EC3"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I, III, V</w:t>
            </w:r>
          </w:p>
        </w:tc>
        <w:tc>
          <w:tcPr>
            <w:tcW w:w="6732" w:type="dxa"/>
            <w:gridSpan w:val="4"/>
            <w:tcBorders>
              <w:top w:val="single" w:sz="4" w:space="0" w:color="auto"/>
              <w:bottom w:val="single" w:sz="4" w:space="0" w:color="auto"/>
            </w:tcBorders>
          </w:tcPr>
          <w:p w14:paraId="5CC9ADFF"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500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15 dieną;</w:t>
            </w:r>
          </w:p>
          <w:p w14:paraId="402503B3"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6-MP 25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1-20 dieną.</w:t>
            </w:r>
          </w:p>
        </w:tc>
      </w:tr>
      <w:tr w:rsidR="003646A0" w:rsidRPr="00F93FFA" w14:paraId="01B92C35" w14:textId="77777777" w:rsidTr="00DE16D0">
        <w:trPr>
          <w:cantSplit/>
        </w:trPr>
        <w:tc>
          <w:tcPr>
            <w:tcW w:w="2148" w:type="dxa"/>
            <w:tcBorders>
              <w:top w:val="single" w:sz="4" w:space="0" w:color="auto"/>
              <w:bottom w:val="single" w:sz="4" w:space="0" w:color="auto"/>
            </w:tcBorders>
          </w:tcPr>
          <w:p w14:paraId="4B79B565"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II, IV</w:t>
            </w:r>
          </w:p>
        </w:tc>
        <w:tc>
          <w:tcPr>
            <w:tcW w:w="6732" w:type="dxa"/>
            <w:gridSpan w:val="4"/>
            <w:tcBorders>
              <w:top w:val="single" w:sz="4" w:space="0" w:color="auto"/>
              <w:bottom w:val="single" w:sz="4" w:space="0" w:color="auto"/>
            </w:tcBorders>
          </w:tcPr>
          <w:p w14:paraId="1730C1F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75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1-5 dienas;</w:t>
            </w:r>
          </w:p>
          <w:p w14:paraId="448D7473"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VM26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1-5 dienas.</w:t>
            </w:r>
          </w:p>
        </w:tc>
      </w:tr>
      <w:tr w:rsidR="003646A0" w:rsidRPr="00F93FFA" w14:paraId="11D1DB48" w14:textId="77777777" w:rsidTr="00DE16D0">
        <w:trPr>
          <w:cantSplit/>
        </w:trPr>
        <w:tc>
          <w:tcPr>
            <w:tcW w:w="2148" w:type="dxa"/>
            <w:tcBorders>
              <w:top w:val="single" w:sz="4" w:space="0" w:color="auto"/>
              <w:bottom w:val="single" w:sz="4" w:space="0" w:color="auto"/>
            </w:tcBorders>
          </w:tcPr>
          <w:p w14:paraId="37E1AB38" w14:textId="77777777" w:rsidR="003646A0" w:rsidRPr="00F93FFA" w:rsidRDefault="003646A0" w:rsidP="00DE16D0">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AAU02 tyrimas</w:t>
            </w:r>
          </w:p>
        </w:tc>
        <w:tc>
          <w:tcPr>
            <w:tcW w:w="2652" w:type="dxa"/>
            <w:tcBorders>
              <w:top w:val="single" w:sz="4" w:space="0" w:color="auto"/>
              <w:bottom w:val="single" w:sz="4" w:space="0" w:color="auto"/>
            </w:tcBorders>
          </w:tcPr>
          <w:p w14:paraId="6772658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080" w:type="dxa"/>
            <w:tcBorders>
              <w:top w:val="single" w:sz="4" w:space="0" w:color="auto"/>
              <w:bottom w:val="single" w:sz="4" w:space="0" w:color="auto"/>
            </w:tcBorders>
          </w:tcPr>
          <w:p w14:paraId="2AACCE65"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4276CBF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627A8875"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r>
      <w:tr w:rsidR="003646A0" w:rsidRPr="00F93FFA" w14:paraId="76556451" w14:textId="77777777" w:rsidTr="00DE16D0">
        <w:trPr>
          <w:cantSplit/>
        </w:trPr>
        <w:tc>
          <w:tcPr>
            <w:tcW w:w="2148" w:type="dxa"/>
            <w:tcBorders>
              <w:top w:val="single" w:sz="4" w:space="0" w:color="auto"/>
              <w:bottom w:val="single" w:sz="4" w:space="0" w:color="auto"/>
            </w:tcBorders>
          </w:tcPr>
          <w:p w14:paraId="3AD6066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w:t>
            </w:r>
            <w:r w:rsidRPr="00F93FFA">
              <w:rPr>
                <w:rFonts w:ascii="Times New Roman" w:hAnsi="Times New Roman"/>
                <w:i/>
                <w:color w:val="000000"/>
                <w:sz w:val="22"/>
                <w:szCs w:val="22"/>
                <w:lang w:val="lt-LT"/>
              </w:rPr>
              <w:t>de novo</w:t>
            </w:r>
            <w:r w:rsidRPr="00F93FFA">
              <w:rPr>
                <w:rFonts w:ascii="Times New Roman" w:hAnsi="Times New Roman"/>
                <w:color w:val="000000"/>
                <w:sz w:val="22"/>
                <w:szCs w:val="22"/>
                <w:lang w:val="lt-LT"/>
              </w:rPr>
              <w:t xml:space="preserve"> Ph+ ALL)</w:t>
            </w:r>
          </w:p>
        </w:tc>
        <w:tc>
          <w:tcPr>
            <w:tcW w:w="6732" w:type="dxa"/>
            <w:gridSpan w:val="4"/>
            <w:tcBorders>
              <w:top w:val="single" w:sz="4" w:space="0" w:color="auto"/>
              <w:bottom w:val="single" w:sz="4" w:space="0" w:color="auto"/>
            </w:tcBorders>
          </w:tcPr>
          <w:p w14:paraId="3FC0DF42"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30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1-3 dienas, 15-16 dienas;</w:t>
            </w:r>
          </w:p>
          <w:p w14:paraId="6541BD2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bendra dozė 2 mg i.v., 1, 8, 15, 22 dieną;</w:t>
            </w:r>
          </w:p>
          <w:p w14:paraId="260209F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750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8 dieną;</w:t>
            </w:r>
          </w:p>
          <w:p w14:paraId="3743F95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1-7, 15-21 dienas;</w:t>
            </w:r>
          </w:p>
          <w:p w14:paraId="45C0EDBF"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IDA 9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1-28 dienas;</w:t>
            </w:r>
          </w:p>
          <w:p w14:paraId="156D974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8, 15, 22 dieną;</w:t>
            </w:r>
          </w:p>
          <w:p w14:paraId="2850241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40 mg intratekaliai, 1, 8, 15, 22 dieną;</w:t>
            </w:r>
          </w:p>
          <w:p w14:paraId="2584E517"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metilprednizolonas 40 mg intratekaliai, 1, 8, 15, 22 dieną.</w:t>
            </w:r>
          </w:p>
        </w:tc>
      </w:tr>
      <w:tr w:rsidR="003646A0" w:rsidRPr="00F93FFA" w14:paraId="01375D97" w14:textId="77777777" w:rsidTr="00DE16D0">
        <w:trPr>
          <w:cantSplit/>
        </w:trPr>
        <w:tc>
          <w:tcPr>
            <w:tcW w:w="2148" w:type="dxa"/>
            <w:tcBorders>
              <w:top w:val="single" w:sz="4" w:space="0" w:color="auto"/>
              <w:bottom w:val="single" w:sz="4" w:space="0" w:color="auto"/>
            </w:tcBorders>
          </w:tcPr>
          <w:p w14:paraId="44F663C6"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w:t>
            </w:r>
            <w:r w:rsidRPr="00F93FFA">
              <w:rPr>
                <w:rFonts w:ascii="Times New Roman" w:hAnsi="Times New Roman"/>
                <w:i/>
                <w:color w:val="000000"/>
                <w:sz w:val="22"/>
                <w:szCs w:val="22"/>
                <w:lang w:val="lt-LT"/>
              </w:rPr>
              <w:t>de novo</w:t>
            </w:r>
            <w:r w:rsidRPr="00F93FFA">
              <w:rPr>
                <w:rFonts w:ascii="Times New Roman" w:hAnsi="Times New Roman"/>
                <w:color w:val="000000"/>
                <w:sz w:val="22"/>
                <w:szCs w:val="22"/>
                <w:lang w:val="lt-LT"/>
              </w:rPr>
              <w:t xml:space="preserve"> Ph+ ALL)</w:t>
            </w:r>
          </w:p>
        </w:tc>
        <w:tc>
          <w:tcPr>
            <w:tcW w:w="6732" w:type="dxa"/>
            <w:gridSpan w:val="4"/>
            <w:tcBorders>
              <w:top w:val="single" w:sz="4" w:space="0" w:color="auto"/>
              <w:bottom w:val="single" w:sz="4" w:space="0" w:color="auto"/>
            </w:tcBorders>
          </w:tcPr>
          <w:p w14:paraId="3B5E6F95"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1 000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/12 h i.v.(3 valandos), 1-4 dienas;</w:t>
            </w:r>
          </w:p>
          <w:p w14:paraId="30EB7A00"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mitoksantronas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3-5 dienas;</w:t>
            </w:r>
          </w:p>
          <w:p w14:paraId="54B427CB"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dieną;</w:t>
            </w:r>
          </w:p>
          <w:p w14:paraId="1E676FC3"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metilprednizolonas 40 mg intratekaliai, 1 dieną.</w:t>
            </w:r>
          </w:p>
        </w:tc>
      </w:tr>
      <w:tr w:rsidR="003646A0" w:rsidRPr="00F93FFA" w14:paraId="5388CE56" w14:textId="77777777" w:rsidTr="00DE16D0">
        <w:trPr>
          <w:cantSplit/>
        </w:trPr>
        <w:tc>
          <w:tcPr>
            <w:tcW w:w="4800" w:type="dxa"/>
            <w:gridSpan w:val="2"/>
            <w:tcBorders>
              <w:top w:val="single" w:sz="4" w:space="0" w:color="auto"/>
              <w:bottom w:val="single" w:sz="4" w:space="0" w:color="auto"/>
            </w:tcBorders>
          </w:tcPr>
          <w:p w14:paraId="440E23DA" w14:textId="77777777" w:rsidR="003646A0" w:rsidRPr="00F93FFA" w:rsidRDefault="003646A0" w:rsidP="00DE16D0">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ADE04 tyrimas</w:t>
            </w:r>
          </w:p>
        </w:tc>
        <w:tc>
          <w:tcPr>
            <w:tcW w:w="1080" w:type="dxa"/>
            <w:tcBorders>
              <w:top w:val="single" w:sz="4" w:space="0" w:color="auto"/>
              <w:bottom w:val="single" w:sz="4" w:space="0" w:color="auto"/>
            </w:tcBorders>
          </w:tcPr>
          <w:p w14:paraId="6D822C4C"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35EA5D91"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7B14443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r>
      <w:tr w:rsidR="003646A0" w:rsidRPr="00F93FFA" w14:paraId="00F9B5EF" w14:textId="77777777" w:rsidTr="00DE16D0">
        <w:trPr>
          <w:cantSplit/>
        </w:trPr>
        <w:tc>
          <w:tcPr>
            <w:tcW w:w="2148" w:type="dxa"/>
            <w:tcBorders>
              <w:top w:val="single" w:sz="4" w:space="0" w:color="auto"/>
              <w:bottom w:val="single" w:sz="4" w:space="0" w:color="auto"/>
            </w:tcBorders>
          </w:tcPr>
          <w:p w14:paraId="42609E78"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Prefazė</w:t>
            </w:r>
          </w:p>
        </w:tc>
        <w:tc>
          <w:tcPr>
            <w:tcW w:w="6732" w:type="dxa"/>
            <w:gridSpan w:val="4"/>
            <w:tcBorders>
              <w:top w:val="single" w:sz="4" w:space="0" w:color="auto"/>
              <w:bottom w:val="single" w:sz="4" w:space="0" w:color="auto"/>
            </w:tcBorders>
          </w:tcPr>
          <w:p w14:paraId="0FAC4AA6"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5FB868BE"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3-5 dienas;</w:t>
            </w:r>
          </w:p>
          <w:p w14:paraId="409721D5"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dieną.</w:t>
            </w:r>
          </w:p>
        </w:tc>
      </w:tr>
      <w:tr w:rsidR="003646A0" w:rsidRPr="00F93FFA" w14:paraId="26FA147A" w14:textId="77777777" w:rsidTr="00DE16D0">
        <w:trPr>
          <w:cantSplit/>
        </w:trPr>
        <w:tc>
          <w:tcPr>
            <w:tcW w:w="2148" w:type="dxa"/>
            <w:tcBorders>
              <w:top w:val="single" w:sz="4" w:space="0" w:color="auto"/>
              <w:bottom w:val="single" w:sz="4" w:space="0" w:color="auto"/>
            </w:tcBorders>
          </w:tcPr>
          <w:p w14:paraId="06C5453B"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I</w:t>
            </w:r>
          </w:p>
        </w:tc>
        <w:tc>
          <w:tcPr>
            <w:tcW w:w="6732" w:type="dxa"/>
            <w:gridSpan w:val="4"/>
            <w:tcBorders>
              <w:top w:val="single" w:sz="4" w:space="0" w:color="auto"/>
              <w:bottom w:val="single" w:sz="4" w:space="0" w:color="auto"/>
            </w:tcBorders>
          </w:tcPr>
          <w:p w14:paraId="58FD8CC6"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120E70F2"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2 mg i.v., 6, 13, 20 dieną;</w:t>
            </w:r>
          </w:p>
          <w:p w14:paraId="4F0FAA03"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45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6-7, 13-14 dieną.</w:t>
            </w:r>
          </w:p>
        </w:tc>
      </w:tr>
      <w:tr w:rsidR="003646A0" w:rsidRPr="00F93FFA" w14:paraId="1725E66C" w14:textId="77777777" w:rsidTr="00DE16D0">
        <w:trPr>
          <w:cantSplit/>
        </w:trPr>
        <w:tc>
          <w:tcPr>
            <w:tcW w:w="2148" w:type="dxa"/>
            <w:tcBorders>
              <w:top w:val="single" w:sz="4" w:space="0" w:color="auto"/>
              <w:bottom w:val="single" w:sz="4" w:space="0" w:color="auto"/>
            </w:tcBorders>
          </w:tcPr>
          <w:p w14:paraId="62F0489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II</w:t>
            </w:r>
          </w:p>
        </w:tc>
        <w:tc>
          <w:tcPr>
            <w:tcW w:w="6732" w:type="dxa"/>
            <w:gridSpan w:val="4"/>
            <w:tcBorders>
              <w:top w:val="single" w:sz="4" w:space="0" w:color="auto"/>
              <w:bottom w:val="single" w:sz="4" w:space="0" w:color="auto"/>
            </w:tcBorders>
          </w:tcPr>
          <w:p w14:paraId="371C97A7"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26, 46 dieną;</w:t>
            </w:r>
          </w:p>
          <w:p w14:paraId="5EF2A54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75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28-31, 35-38, 42-45 dienas;</w:t>
            </w:r>
          </w:p>
          <w:p w14:paraId="1DBA825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6-MP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26-46 dienas.</w:t>
            </w:r>
          </w:p>
        </w:tc>
      </w:tr>
      <w:tr w:rsidR="003646A0" w:rsidRPr="00F93FFA" w14:paraId="23A1940D" w14:textId="77777777" w:rsidTr="00DE16D0">
        <w:trPr>
          <w:cantSplit/>
        </w:trPr>
        <w:tc>
          <w:tcPr>
            <w:tcW w:w="2148" w:type="dxa"/>
            <w:tcBorders>
              <w:top w:val="nil"/>
              <w:bottom w:val="single" w:sz="4" w:space="0" w:color="auto"/>
            </w:tcBorders>
          </w:tcPr>
          <w:p w14:paraId="240568EB"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w:t>
            </w:r>
          </w:p>
        </w:tc>
        <w:tc>
          <w:tcPr>
            <w:tcW w:w="6732" w:type="dxa"/>
            <w:gridSpan w:val="4"/>
            <w:tcBorders>
              <w:top w:val="nil"/>
              <w:bottom w:val="single" w:sz="4" w:space="0" w:color="auto"/>
            </w:tcBorders>
          </w:tcPr>
          <w:p w14:paraId="7E96D53C"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7B7F6524"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vindezinas 3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dieną;</w:t>
            </w:r>
          </w:p>
          <w:p w14:paraId="61580A24"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w:t>
            </w:r>
          </w:p>
          <w:p w14:paraId="0989EEDC"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etopozidas 250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4-5 dienas;</w:t>
            </w:r>
          </w:p>
          <w:p w14:paraId="0B9D10FE"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2x 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12 valandų), 5 dieną.</w:t>
            </w:r>
          </w:p>
        </w:tc>
      </w:tr>
      <w:tr w:rsidR="003646A0" w:rsidRPr="00F93FFA" w14:paraId="1DB9769E" w14:textId="77777777" w:rsidTr="00DE16D0">
        <w:trPr>
          <w:cantSplit/>
        </w:trPr>
        <w:tc>
          <w:tcPr>
            <w:tcW w:w="2148" w:type="dxa"/>
            <w:tcBorders>
              <w:top w:val="nil"/>
              <w:bottom w:val="single" w:sz="4" w:space="0" w:color="auto"/>
            </w:tcBorders>
          </w:tcPr>
          <w:p w14:paraId="08B97DE9" w14:textId="77777777" w:rsidR="003646A0" w:rsidRPr="00F93FFA" w:rsidRDefault="003646A0" w:rsidP="00DE16D0">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AJP01 tyrimas</w:t>
            </w:r>
          </w:p>
        </w:tc>
        <w:tc>
          <w:tcPr>
            <w:tcW w:w="2652" w:type="dxa"/>
            <w:tcBorders>
              <w:top w:val="nil"/>
              <w:bottom w:val="single" w:sz="4" w:space="0" w:color="auto"/>
            </w:tcBorders>
          </w:tcPr>
          <w:p w14:paraId="4F1FF63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080" w:type="dxa"/>
            <w:tcBorders>
              <w:top w:val="nil"/>
              <w:bottom w:val="single" w:sz="4" w:space="0" w:color="auto"/>
            </w:tcBorders>
          </w:tcPr>
          <w:p w14:paraId="18345F2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380" w:type="dxa"/>
            <w:tcBorders>
              <w:top w:val="nil"/>
              <w:bottom w:val="single" w:sz="4" w:space="0" w:color="auto"/>
            </w:tcBorders>
          </w:tcPr>
          <w:p w14:paraId="2C338BED"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620" w:type="dxa"/>
            <w:tcBorders>
              <w:top w:val="nil"/>
              <w:bottom w:val="single" w:sz="4" w:space="0" w:color="auto"/>
            </w:tcBorders>
          </w:tcPr>
          <w:p w14:paraId="508BC961"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r>
      <w:tr w:rsidR="003646A0" w:rsidRPr="00F93FFA" w14:paraId="02EE2030" w14:textId="77777777" w:rsidTr="00DE16D0">
        <w:trPr>
          <w:cantSplit/>
        </w:trPr>
        <w:tc>
          <w:tcPr>
            <w:tcW w:w="2148" w:type="dxa"/>
            <w:tcBorders>
              <w:top w:val="nil"/>
              <w:bottom w:val="single" w:sz="4" w:space="0" w:color="auto"/>
            </w:tcBorders>
          </w:tcPr>
          <w:p w14:paraId="6F083FD8" w14:textId="77777777" w:rsidR="003646A0" w:rsidRPr="00F93FFA" w:rsidRDefault="003646A0" w:rsidP="00DE16D0">
            <w:pPr>
              <w:pStyle w:val="Table"/>
              <w:keepLines w:val="0"/>
              <w:widowControl w:val="0"/>
              <w:spacing w:before="0" w:after="0"/>
              <w:jc w:val="both"/>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w:t>
            </w:r>
          </w:p>
        </w:tc>
        <w:tc>
          <w:tcPr>
            <w:tcW w:w="6732" w:type="dxa"/>
            <w:gridSpan w:val="4"/>
            <w:tcBorders>
              <w:top w:val="nil"/>
              <w:bottom w:val="single" w:sz="4" w:space="0" w:color="auto"/>
            </w:tcBorders>
          </w:tcPr>
          <w:p w14:paraId="2A86475E"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1,2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 dieną;</w:t>
            </w:r>
          </w:p>
          <w:p w14:paraId="7C6CAB66"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1-3 dienas;</w:t>
            </w:r>
          </w:p>
          <w:p w14:paraId="6FF8687B"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vinkristinas 1,3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8, 15, 21 dieną;</w:t>
            </w:r>
          </w:p>
          <w:p w14:paraId="27CD1D69"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/per parą.</w:t>
            </w:r>
          </w:p>
        </w:tc>
      </w:tr>
      <w:tr w:rsidR="003646A0" w:rsidRPr="00F93FFA" w14:paraId="7B81D0C2" w14:textId="77777777" w:rsidTr="00DE16D0">
        <w:trPr>
          <w:cantSplit/>
        </w:trPr>
        <w:tc>
          <w:tcPr>
            <w:tcW w:w="2148" w:type="dxa"/>
            <w:tcBorders>
              <w:top w:val="single" w:sz="4" w:space="0" w:color="auto"/>
              <w:bottom w:val="single" w:sz="4" w:space="0" w:color="auto"/>
            </w:tcBorders>
          </w:tcPr>
          <w:p w14:paraId="04557927" w14:textId="77777777" w:rsidR="003646A0" w:rsidRPr="00F93FFA" w:rsidRDefault="003646A0" w:rsidP="00DE16D0">
            <w:pPr>
              <w:pStyle w:val="Table"/>
              <w:keepLines w:val="0"/>
              <w:widowControl w:val="0"/>
              <w:tabs>
                <w:tab w:val="left" w:pos="0"/>
              </w:tabs>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w:t>
            </w:r>
          </w:p>
        </w:tc>
        <w:tc>
          <w:tcPr>
            <w:tcW w:w="6732" w:type="dxa"/>
            <w:gridSpan w:val="4"/>
            <w:tcBorders>
              <w:top w:val="single" w:sz="4" w:space="0" w:color="auto"/>
              <w:bottom w:val="single" w:sz="4" w:space="0" w:color="auto"/>
            </w:tcBorders>
          </w:tcPr>
          <w:p w14:paraId="5E158AFC"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Pakaitinis chemoterapijos kursas: aukštos dozės chemoterapija su MTX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 ir Ara-C 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(12 valandų), 2-3 dieną, 4 kursus.</w:t>
            </w:r>
          </w:p>
        </w:tc>
      </w:tr>
      <w:tr w:rsidR="003646A0" w:rsidRPr="00F93FFA" w14:paraId="1B61ABEA" w14:textId="77777777" w:rsidTr="00DE16D0">
        <w:trPr>
          <w:cantSplit/>
        </w:trPr>
        <w:tc>
          <w:tcPr>
            <w:tcW w:w="2148" w:type="dxa"/>
            <w:tcBorders>
              <w:top w:val="single" w:sz="4" w:space="0" w:color="auto"/>
              <w:bottom w:val="single" w:sz="4" w:space="0" w:color="auto"/>
            </w:tcBorders>
          </w:tcPr>
          <w:p w14:paraId="3E32909F" w14:textId="77777777" w:rsidR="003646A0" w:rsidRPr="00F93FFA" w:rsidRDefault="003646A0" w:rsidP="00DE16D0">
            <w:pPr>
              <w:pStyle w:val="Table"/>
              <w:keepNext w:val="0"/>
              <w:keepLines w:val="0"/>
              <w:widowControl w:val="0"/>
              <w:tabs>
                <w:tab w:val="left" w:pos="0"/>
              </w:tabs>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Palaikomasis gydymas</w:t>
            </w:r>
          </w:p>
        </w:tc>
        <w:tc>
          <w:tcPr>
            <w:tcW w:w="6732" w:type="dxa"/>
            <w:gridSpan w:val="4"/>
            <w:tcBorders>
              <w:top w:val="single" w:sz="4" w:space="0" w:color="auto"/>
              <w:bottom w:val="single" w:sz="4" w:space="0" w:color="auto"/>
            </w:tcBorders>
          </w:tcPr>
          <w:p w14:paraId="34E2FE33"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1,3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dieną;</w:t>
            </w:r>
          </w:p>
          <w:p w14:paraId="033ECD96"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tc>
      </w:tr>
      <w:tr w:rsidR="003646A0" w:rsidRPr="00F93FFA" w14:paraId="00D316AD" w14:textId="77777777" w:rsidTr="00DE16D0">
        <w:trPr>
          <w:cantSplit/>
        </w:trPr>
        <w:tc>
          <w:tcPr>
            <w:tcW w:w="4800" w:type="dxa"/>
            <w:gridSpan w:val="2"/>
            <w:tcBorders>
              <w:top w:val="single" w:sz="4" w:space="0" w:color="auto"/>
              <w:bottom w:val="single" w:sz="4" w:space="0" w:color="auto"/>
            </w:tcBorders>
          </w:tcPr>
          <w:p w14:paraId="0D0D013C"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lang w:val="lt-LT"/>
              </w:rPr>
              <w:lastRenderedPageBreak/>
              <w:t>AUS01 tyrimas</w:t>
            </w:r>
          </w:p>
        </w:tc>
        <w:tc>
          <w:tcPr>
            <w:tcW w:w="1080" w:type="dxa"/>
            <w:tcBorders>
              <w:top w:val="single" w:sz="4" w:space="0" w:color="auto"/>
              <w:bottom w:val="single" w:sz="4" w:space="0" w:color="auto"/>
            </w:tcBorders>
          </w:tcPr>
          <w:p w14:paraId="46F52161"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450E642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5423E9F4"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p>
        </w:tc>
      </w:tr>
      <w:tr w:rsidR="003646A0" w:rsidRPr="00F93FFA" w14:paraId="6C4E84B8" w14:textId="77777777" w:rsidTr="00DE16D0">
        <w:trPr>
          <w:cantSplit/>
        </w:trPr>
        <w:tc>
          <w:tcPr>
            <w:tcW w:w="2148" w:type="dxa"/>
            <w:tcBorders>
              <w:top w:val="single" w:sz="4" w:space="0" w:color="auto"/>
              <w:bottom w:val="single" w:sz="4" w:space="0" w:color="auto"/>
            </w:tcBorders>
          </w:tcPr>
          <w:p w14:paraId="3D19A6F1"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konsoliduojantis gydymas</w:t>
            </w:r>
          </w:p>
        </w:tc>
        <w:tc>
          <w:tcPr>
            <w:tcW w:w="6732" w:type="dxa"/>
            <w:gridSpan w:val="4"/>
            <w:tcBorders>
              <w:top w:val="single" w:sz="4" w:space="0" w:color="auto"/>
              <w:bottom w:val="single" w:sz="4" w:space="0" w:color="auto"/>
            </w:tcBorders>
          </w:tcPr>
          <w:p w14:paraId="1C2638F5"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Hiper-CVAD gydymas: CP 300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12 valandų), 1-3 dienas;</w:t>
            </w:r>
          </w:p>
          <w:p w14:paraId="0163BFF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vinkristinas 2 mg i.v., 4, 11 dieną;</w:t>
            </w:r>
          </w:p>
          <w:p w14:paraId="6AC6FEC0"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doksorubicinas 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4 dieną;</w:t>
            </w:r>
          </w:p>
          <w:p w14:paraId="6F27FE2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DEX 40 mg/per parą 1-4 dienas ir 11-14 dienas, keičiamas MTX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 Ara-C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 valandos, 12 valandų), 2-3 dieną (iš viso 8 kursai).</w:t>
            </w:r>
          </w:p>
        </w:tc>
      </w:tr>
      <w:tr w:rsidR="003646A0" w:rsidRPr="00F93FFA" w14:paraId="2D833F66" w14:textId="77777777" w:rsidTr="00DE16D0">
        <w:trPr>
          <w:cantSplit/>
        </w:trPr>
        <w:tc>
          <w:tcPr>
            <w:tcW w:w="2148" w:type="dxa"/>
            <w:tcBorders>
              <w:top w:val="single" w:sz="4" w:space="0" w:color="auto"/>
              <w:bottom w:val="single" w:sz="4" w:space="0" w:color="auto"/>
            </w:tcBorders>
          </w:tcPr>
          <w:p w14:paraId="1B46839A"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Palaikomasis gydymas</w:t>
            </w:r>
          </w:p>
        </w:tc>
        <w:tc>
          <w:tcPr>
            <w:tcW w:w="6732" w:type="dxa"/>
            <w:gridSpan w:val="4"/>
            <w:tcBorders>
              <w:top w:val="single" w:sz="4" w:space="0" w:color="auto"/>
              <w:bottom w:val="single" w:sz="4" w:space="0" w:color="auto"/>
            </w:tcBorders>
          </w:tcPr>
          <w:p w14:paraId="7B336F0D"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2 mg i.v. kas mėnesį 13 mėnesių;</w:t>
            </w:r>
          </w:p>
          <w:p w14:paraId="7F384A31"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po 200 mg, 5 dienas per mėnesį 13 mėnesių.</w:t>
            </w:r>
          </w:p>
        </w:tc>
      </w:tr>
      <w:tr w:rsidR="003646A0" w:rsidRPr="00F93FFA" w14:paraId="433F7CA8" w14:textId="77777777" w:rsidTr="00DE16D0">
        <w:trPr>
          <w:cantSplit/>
        </w:trPr>
        <w:tc>
          <w:tcPr>
            <w:tcW w:w="8880" w:type="dxa"/>
            <w:gridSpan w:val="5"/>
            <w:tcBorders>
              <w:top w:val="single" w:sz="4" w:space="0" w:color="auto"/>
              <w:bottom w:val="single" w:sz="4" w:space="0" w:color="auto"/>
            </w:tcBorders>
          </w:tcPr>
          <w:p w14:paraId="1F2400CD"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Visi gydymo režimai taikomi vartojant steroidų CNS ligų profilaktikai.</w:t>
            </w:r>
          </w:p>
        </w:tc>
      </w:tr>
      <w:tr w:rsidR="003646A0" w:rsidRPr="00F93FFA" w14:paraId="4DF5F349" w14:textId="77777777" w:rsidTr="00DE16D0">
        <w:trPr>
          <w:cantSplit/>
        </w:trPr>
        <w:tc>
          <w:tcPr>
            <w:tcW w:w="8880" w:type="dxa"/>
            <w:gridSpan w:val="5"/>
            <w:tcBorders>
              <w:top w:val="single" w:sz="4" w:space="0" w:color="auto"/>
              <w:bottom w:val="single" w:sz="4" w:space="0" w:color="auto"/>
            </w:tcBorders>
          </w:tcPr>
          <w:p w14:paraId="759E1E1B" w14:textId="77777777" w:rsidR="003646A0" w:rsidRPr="00F93FFA" w:rsidRDefault="003646A0" w:rsidP="00DE16D0">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citozino arabinozidas; CP: ciklofosfamidas; DEX: deksametazonas; MTX: metotreksatas; 6-MP: 6-merkaptopurinas; VM26: tenipozidas; VCR: vinkristinas; IDA: idarubicinas; i.v.: vartoti į veną.</w:t>
            </w:r>
          </w:p>
        </w:tc>
      </w:tr>
    </w:tbl>
    <w:p w14:paraId="6F830C90" w14:textId="77777777" w:rsidR="003646A0" w:rsidRPr="00F93FFA" w:rsidRDefault="003646A0" w:rsidP="00DE16D0">
      <w:pPr>
        <w:pStyle w:val="EndnoteText"/>
        <w:widowControl w:val="0"/>
        <w:rPr>
          <w:color w:val="000000"/>
          <w:szCs w:val="22"/>
          <w:lang w:val="lt-LT"/>
        </w:rPr>
      </w:pPr>
    </w:p>
    <w:p w14:paraId="1185D060" w14:textId="56171219" w:rsidR="003646A0" w:rsidRPr="00F93FFA" w:rsidRDefault="003646A0" w:rsidP="00DE16D0">
      <w:pPr>
        <w:pStyle w:val="EndnoteText"/>
        <w:widowControl w:val="0"/>
        <w:rPr>
          <w:color w:val="000000"/>
          <w:lang w:val="lt-LT"/>
        </w:rPr>
      </w:pPr>
      <w:r w:rsidRPr="00F93FFA">
        <w:rPr>
          <w:i/>
          <w:color w:val="000000"/>
          <w:szCs w:val="22"/>
          <w:lang w:val="lt-LT"/>
        </w:rPr>
        <w:t>Vaikai ir paaugliai:</w:t>
      </w:r>
      <w:r w:rsidRPr="00F93FFA">
        <w:rPr>
          <w:color w:val="000000"/>
          <w:szCs w:val="22"/>
          <w:lang w:val="lt-LT"/>
        </w:rPr>
        <w:t xml:space="preserve"> </w:t>
      </w:r>
      <w:r w:rsidRPr="00F93FFA">
        <w:rPr>
          <w:color w:val="000000"/>
          <w:lang w:val="lt-LT"/>
        </w:rPr>
        <w:t>Į atvirąjį, daugiacentrį, nuoseklių kohortų, ne atsitiktinių imčių, III fazės klinikinį tyrimą I2301 buvo įtraukta iš viso 93 vaikai, paaugliai ir jauni suaugę pacientai (nuo 1 iki 22 metų), kurie sirgo Ph+ ŪLL. Šio tyrimo metu pacientams po indukcinio gydymo buvo skiriamas Glivec (po 340 mg/m</w:t>
      </w:r>
      <w:r w:rsidRPr="00F93FFA">
        <w:rPr>
          <w:color w:val="000000"/>
          <w:vertAlign w:val="superscript"/>
          <w:lang w:val="lt-LT"/>
        </w:rPr>
        <w:t>2</w:t>
      </w:r>
      <w:r w:rsidRPr="00F93FFA">
        <w:rPr>
          <w:color w:val="000000"/>
          <w:lang w:val="lt-LT"/>
        </w:rPr>
        <w:t xml:space="preserve"> per parą) kartu su intensyvia chemoterapija. 1</w:t>
      </w:r>
      <w:r w:rsidRPr="00F93FFA">
        <w:rPr>
          <w:color w:val="000000"/>
          <w:lang w:val="lt-LT"/>
        </w:rPr>
        <w:noBreakHyphen/>
        <w:t xml:space="preserve">5 kohortų pacientams Glivec buvo skiriamas netolygiai, skirtingose kohortose </w:t>
      </w:r>
      <w:r w:rsidR="00A70D12" w:rsidRPr="00F93FFA">
        <w:rPr>
          <w:color w:val="000000"/>
          <w:lang w:val="lt-LT"/>
        </w:rPr>
        <w:t xml:space="preserve">vaistinio preparato </w:t>
      </w:r>
      <w:r w:rsidRPr="00F93FFA">
        <w:rPr>
          <w:color w:val="000000"/>
          <w:lang w:val="lt-LT"/>
        </w:rPr>
        <w:t>buvo skiriama didėjančia trukme ir gydymas buvo pradedamas anksčiau arba vėliau; 1-osios kohortos pacientams buvo skiriamas mažiausio intensyvumo gydymas, o 5-osios kohortos pacientams buvo skiriamas intensyviausias gydymas Glivec (ilgiausia vartojimo trukmė dienomis ir tęstinis Glivec dozavimas kasdien pirmųjų chemoterapijos kursų metu). Skiriant tęstinį gydymą Glivec kasdien nuo pat chemoterapijos kursų pradžios, 5-osios kohortos pacientų (n</w:t>
      </w:r>
      <w:r w:rsidR="00E63FCA" w:rsidRPr="00F93FFA">
        <w:rPr>
          <w:color w:val="000000"/>
          <w:lang w:val="lt-LT"/>
        </w:rPr>
        <w:t> </w:t>
      </w:r>
      <w:r w:rsidRPr="00F93FFA">
        <w:rPr>
          <w:color w:val="000000"/>
          <w:lang w:val="lt-LT"/>
        </w:rPr>
        <w:t>=</w:t>
      </w:r>
      <w:r w:rsidR="00E63FCA" w:rsidRPr="00F93FFA">
        <w:rPr>
          <w:color w:val="000000"/>
          <w:lang w:val="lt-LT"/>
        </w:rPr>
        <w:t> </w:t>
      </w:r>
      <w:r w:rsidRPr="00F93FFA">
        <w:rPr>
          <w:color w:val="000000"/>
          <w:lang w:val="lt-LT"/>
        </w:rPr>
        <w:t xml:space="preserve">50) 4 metų trukmės išgyvenamumo be recidyvų (angl. </w:t>
      </w:r>
      <w:r w:rsidRPr="00F93FFA">
        <w:rPr>
          <w:i/>
          <w:color w:val="000000"/>
          <w:lang w:val="lt-LT"/>
        </w:rPr>
        <w:t>event-free survival – EFS</w:t>
      </w:r>
      <w:r w:rsidRPr="00F93FFA">
        <w:rPr>
          <w:color w:val="000000"/>
          <w:lang w:val="lt-LT"/>
        </w:rPr>
        <w:t>) rodiklis pagerėjo, lyginant su istoriniais duomenimis (n</w:t>
      </w:r>
      <w:r w:rsidR="00E63FCA" w:rsidRPr="00F93FFA">
        <w:rPr>
          <w:color w:val="000000"/>
          <w:lang w:val="lt-LT"/>
        </w:rPr>
        <w:t> </w:t>
      </w:r>
      <w:r w:rsidRPr="00F93FFA">
        <w:rPr>
          <w:color w:val="000000"/>
          <w:lang w:val="lt-LT"/>
        </w:rPr>
        <w:t>=</w:t>
      </w:r>
      <w:r w:rsidR="00E63FCA" w:rsidRPr="00F93FFA">
        <w:rPr>
          <w:color w:val="000000"/>
          <w:lang w:val="lt-LT"/>
        </w:rPr>
        <w:t> </w:t>
      </w:r>
      <w:r w:rsidRPr="00F93FFA">
        <w:rPr>
          <w:color w:val="000000"/>
          <w:lang w:val="lt-LT"/>
        </w:rPr>
        <w:t>120), kai pastaruoju atveju pacientams buvo skiriama standartinė chemoterapija be Glivec (atitinkamai 69,6 %, lyginant su 31,6 %). Tikėtinas 4 metų trukmės bendrojo išgyvenamumo rodiklis 5</w:t>
      </w:r>
      <w:r w:rsidR="00E63FCA" w:rsidRPr="00F93FFA">
        <w:rPr>
          <w:color w:val="000000"/>
          <w:lang w:val="lt-LT"/>
        </w:rPr>
        <w:noBreakHyphen/>
      </w:r>
      <w:r w:rsidRPr="00F93FFA">
        <w:rPr>
          <w:color w:val="000000"/>
          <w:lang w:val="lt-LT"/>
        </w:rPr>
        <w:t>osios kohortos pacientams buvo 83,6 %, lyginant su 44,8 % istoriniais duomenimis. 20 iš 50 (40 %) 5</w:t>
      </w:r>
      <w:r w:rsidR="00E63FCA" w:rsidRPr="00F93FFA">
        <w:rPr>
          <w:color w:val="000000"/>
          <w:lang w:val="lt-LT"/>
        </w:rPr>
        <w:noBreakHyphen/>
      </w:r>
      <w:r w:rsidRPr="00F93FFA">
        <w:rPr>
          <w:color w:val="000000"/>
          <w:lang w:val="lt-LT"/>
        </w:rPr>
        <w:t>osios kohortos pacientų buvo atlikta hematopoetinių kamieninių ląstelių transplantacija.</w:t>
      </w:r>
    </w:p>
    <w:p w14:paraId="5597A141" w14:textId="77777777" w:rsidR="003646A0" w:rsidRPr="00F93FFA" w:rsidRDefault="003646A0" w:rsidP="00DE16D0">
      <w:pPr>
        <w:pStyle w:val="EndnoteText"/>
        <w:widowControl w:val="0"/>
        <w:rPr>
          <w:color w:val="000000"/>
          <w:lang w:val="lt-LT"/>
        </w:rPr>
      </w:pPr>
    </w:p>
    <w:p w14:paraId="3512252A" w14:textId="77777777" w:rsidR="003646A0" w:rsidRPr="00F93FFA" w:rsidRDefault="00BE4094" w:rsidP="00DE16D0">
      <w:pPr>
        <w:pStyle w:val="EndnoteText"/>
        <w:keepNext/>
        <w:widowControl w:val="0"/>
        <w:tabs>
          <w:tab w:val="clear" w:pos="567"/>
        </w:tabs>
        <w:ind w:left="1134" w:hanging="1134"/>
        <w:rPr>
          <w:b/>
          <w:color w:val="000000"/>
          <w:lang w:val="lt-LT"/>
        </w:rPr>
      </w:pPr>
      <w:r w:rsidRPr="00F93FFA">
        <w:rPr>
          <w:b/>
          <w:color w:val="000000"/>
          <w:lang w:val="lt-LT"/>
        </w:rPr>
        <w:t>5</w:t>
      </w:r>
      <w:r w:rsidR="003646A0" w:rsidRPr="00F93FFA">
        <w:rPr>
          <w:b/>
          <w:color w:val="000000"/>
          <w:lang w:val="lt-LT"/>
        </w:rPr>
        <w:t> lentelė</w:t>
      </w:r>
      <w:r w:rsidR="003646A0" w:rsidRPr="00F93FFA">
        <w:rPr>
          <w:b/>
          <w:color w:val="000000"/>
          <w:lang w:val="lt-LT"/>
        </w:rPr>
        <w:tab/>
      </w:r>
      <w:r w:rsidR="003646A0" w:rsidRPr="00F93FFA">
        <w:rPr>
          <w:b/>
          <w:color w:val="000000"/>
          <w:szCs w:val="22"/>
          <w:lang w:val="lt-LT"/>
        </w:rPr>
        <w:t>Chemoterapijos gydymas, skirtas kartu su imatinibu</w:t>
      </w:r>
      <w:r w:rsidR="003646A0" w:rsidRPr="00F93FFA">
        <w:rPr>
          <w:b/>
          <w:color w:val="000000"/>
          <w:lang w:val="lt-LT"/>
        </w:rPr>
        <w:t xml:space="preserve"> I2301 tyrimo metu</w:t>
      </w:r>
    </w:p>
    <w:p w14:paraId="14287AFA" w14:textId="77777777" w:rsidR="003646A0" w:rsidRPr="00F93FFA" w:rsidRDefault="003646A0" w:rsidP="00DE16D0">
      <w:pPr>
        <w:pStyle w:val="EndnoteText"/>
        <w:keepNext/>
        <w:widowControl w:val="0"/>
        <w:rPr>
          <w:color w:val="000000"/>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6724"/>
      </w:tblGrid>
      <w:tr w:rsidR="003646A0" w:rsidRPr="00F93FFA" w14:paraId="7C29F2E2" w14:textId="77777777" w:rsidTr="00DE16D0">
        <w:trPr>
          <w:cantSplit/>
        </w:trPr>
        <w:tc>
          <w:tcPr>
            <w:tcW w:w="2358" w:type="dxa"/>
            <w:shd w:val="clear" w:color="auto" w:fill="auto"/>
          </w:tcPr>
          <w:p w14:paraId="70027D91" w14:textId="77777777" w:rsidR="003646A0" w:rsidRPr="00F93FFA" w:rsidRDefault="003646A0" w:rsidP="00DE16D0">
            <w:pPr>
              <w:pStyle w:val="EndnoteText"/>
              <w:keepNext/>
              <w:widowControl w:val="0"/>
              <w:rPr>
                <w:color w:val="000000"/>
                <w:lang w:val="lt-LT"/>
              </w:rPr>
            </w:pPr>
            <w:r w:rsidRPr="00F93FFA">
              <w:rPr>
                <w:color w:val="000000"/>
                <w:lang w:val="lt-LT"/>
              </w:rPr>
              <w:t>Konsoliduojančio gydymo blokas 1</w:t>
            </w:r>
          </w:p>
          <w:p w14:paraId="2A981F16" w14:textId="77777777" w:rsidR="003646A0" w:rsidRPr="00F93FFA" w:rsidRDefault="003646A0" w:rsidP="00DE16D0">
            <w:pPr>
              <w:pStyle w:val="EndnoteText"/>
              <w:keepNext/>
              <w:widowControl w:val="0"/>
              <w:rPr>
                <w:color w:val="000000"/>
                <w:lang w:val="lt-LT"/>
              </w:rPr>
            </w:pPr>
            <w:r w:rsidRPr="00F93FFA">
              <w:rPr>
                <w:color w:val="000000"/>
                <w:lang w:val="lt-LT"/>
              </w:rPr>
              <w:t>(3 savaitės)</w:t>
            </w:r>
          </w:p>
        </w:tc>
        <w:tc>
          <w:tcPr>
            <w:tcW w:w="6929" w:type="dxa"/>
            <w:shd w:val="clear" w:color="auto" w:fill="auto"/>
          </w:tcPr>
          <w:p w14:paraId="28ED48C3" w14:textId="77777777" w:rsidR="003646A0" w:rsidRPr="00F93FFA" w:rsidRDefault="003646A0" w:rsidP="00DE16D0">
            <w:pPr>
              <w:pStyle w:val="EndnoteText"/>
              <w:keepN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1</w:t>
            </w:r>
            <w:r w:rsidRPr="00F93FFA">
              <w:rPr>
                <w:color w:val="000000"/>
                <w:lang w:val="lt-LT"/>
              </w:rPr>
              <w:noBreakHyphen/>
              <w:t>5 dienos</w:t>
            </w:r>
          </w:p>
          <w:p w14:paraId="320D3C67" w14:textId="77777777" w:rsidR="003646A0" w:rsidRPr="00F93FFA" w:rsidRDefault="003646A0" w:rsidP="00DE16D0">
            <w:pPr>
              <w:pStyle w:val="EndnoteText"/>
              <w:keepNext/>
              <w:widowControl w:val="0"/>
              <w:rPr>
                <w:color w:val="000000"/>
                <w:lang w:val="lt-LT"/>
              </w:rPr>
            </w:pPr>
            <w:r w:rsidRPr="00F93FFA">
              <w:rPr>
                <w:color w:val="000000"/>
                <w:lang w:val="lt-LT"/>
              </w:rPr>
              <w:t>Ifosfamidas (1,8 g/m</w:t>
            </w:r>
            <w:r w:rsidRPr="00F93FFA">
              <w:rPr>
                <w:color w:val="000000"/>
                <w:vertAlign w:val="superscript"/>
                <w:lang w:val="lt-LT"/>
              </w:rPr>
              <w:t>2</w:t>
            </w:r>
            <w:r w:rsidRPr="00F93FFA">
              <w:rPr>
                <w:color w:val="000000"/>
                <w:lang w:val="lt-LT"/>
              </w:rPr>
              <w:t xml:space="preserve"> per parą, IV): 1</w:t>
            </w:r>
            <w:r w:rsidRPr="00F93FFA">
              <w:rPr>
                <w:color w:val="000000"/>
                <w:lang w:val="lt-LT"/>
              </w:rPr>
              <w:noBreakHyphen/>
              <w:t>5 dienos</w:t>
            </w:r>
          </w:p>
          <w:p w14:paraId="40D313E9" w14:textId="77777777" w:rsidR="003646A0" w:rsidRPr="00F93FFA" w:rsidRDefault="003646A0" w:rsidP="00DE16D0">
            <w:pPr>
              <w:pStyle w:val="EndnoteText"/>
              <w:keepNext/>
              <w:widowControl w:val="0"/>
              <w:rPr>
                <w:color w:val="000000"/>
                <w:lang w:val="lt-LT"/>
              </w:rPr>
            </w:pPr>
            <w:r w:rsidRPr="00F93FFA">
              <w:rPr>
                <w:color w:val="000000"/>
                <w:lang w:val="lt-LT"/>
              </w:rPr>
              <w:t>MESNA (po 360 mg/m</w:t>
            </w:r>
            <w:r w:rsidRPr="00F93FFA">
              <w:rPr>
                <w:color w:val="000000"/>
                <w:vertAlign w:val="superscript"/>
                <w:lang w:val="lt-LT"/>
              </w:rPr>
              <w:t>2</w:t>
            </w:r>
            <w:r w:rsidRPr="00F93FFA">
              <w:rPr>
                <w:color w:val="000000"/>
                <w:lang w:val="lt-LT"/>
              </w:rPr>
              <w:t xml:space="preserve"> dozę q3h, 8 dozės per parą, IV): 1</w:t>
            </w:r>
            <w:r w:rsidRPr="00F93FFA">
              <w:rPr>
                <w:color w:val="000000"/>
                <w:lang w:val="lt-LT"/>
              </w:rPr>
              <w:noBreakHyphen/>
              <w:t>5 dienos</w:t>
            </w:r>
          </w:p>
          <w:p w14:paraId="7CAF98F9" w14:textId="77777777" w:rsidR="003646A0" w:rsidRPr="00F93FFA" w:rsidRDefault="003646A0" w:rsidP="00DE16D0">
            <w:pPr>
              <w:pStyle w:val="EndnoteText"/>
              <w:keepNext/>
              <w:widowControl w:val="0"/>
              <w:rPr>
                <w:color w:val="000000"/>
                <w:lang w:val="lt-LT"/>
              </w:rPr>
            </w:pPr>
            <w:r w:rsidRPr="00F93FFA">
              <w:rPr>
                <w:color w:val="000000"/>
                <w:lang w:val="lt-LT"/>
              </w:rPr>
              <w:t>G-CSF (5 μg/kg, SC): 6</w:t>
            </w:r>
            <w:r w:rsidRPr="00F93FFA">
              <w:rPr>
                <w:color w:val="000000"/>
                <w:lang w:val="lt-LT"/>
              </w:rPr>
              <w:noBreakHyphen/>
              <w:t>15 dienos arba kol ANS bus &gt; 1500 nuo žemiausios reikšmės</w:t>
            </w:r>
          </w:p>
          <w:p w14:paraId="778C85A9" w14:textId="77777777" w:rsidR="003646A0" w:rsidRPr="00F93FFA" w:rsidRDefault="003646A0" w:rsidP="00DE16D0">
            <w:pPr>
              <w:pStyle w:val="EndnoteText"/>
              <w:keepNext/>
              <w:widowControl w:val="0"/>
              <w:rPr>
                <w:color w:val="000000"/>
                <w:lang w:val="lt-LT"/>
              </w:rPr>
            </w:pPr>
            <w:r w:rsidRPr="00F93FFA">
              <w:rPr>
                <w:color w:val="000000"/>
                <w:lang w:val="lt-LT"/>
              </w:rPr>
              <w:t>IT Metotreksatas (dozė priklausomai nuo amžiaus): TIK 1-ąją dieną</w:t>
            </w:r>
          </w:p>
          <w:p w14:paraId="64F09250" w14:textId="77777777" w:rsidR="003646A0" w:rsidRPr="00F93FFA" w:rsidRDefault="003646A0" w:rsidP="00DE16D0">
            <w:pPr>
              <w:pStyle w:val="EndnoteText"/>
              <w:keepNext/>
              <w:widowControl w:val="0"/>
              <w:rPr>
                <w:color w:val="000000"/>
                <w:lang w:val="lt-LT"/>
              </w:rPr>
            </w:pPr>
            <w:r w:rsidRPr="00F93FFA">
              <w:rPr>
                <w:color w:val="000000"/>
                <w:lang w:val="lt-LT"/>
              </w:rPr>
              <w:t>Trigubas IT gydymas (dozė priklausomai nuo amžiaus): 8, 15 dienos</w:t>
            </w:r>
          </w:p>
        </w:tc>
      </w:tr>
      <w:tr w:rsidR="003646A0" w:rsidRPr="00F93FFA" w14:paraId="1FBB27C4" w14:textId="77777777" w:rsidTr="00DE16D0">
        <w:trPr>
          <w:cantSplit/>
        </w:trPr>
        <w:tc>
          <w:tcPr>
            <w:tcW w:w="2358" w:type="dxa"/>
            <w:shd w:val="clear" w:color="auto" w:fill="auto"/>
          </w:tcPr>
          <w:p w14:paraId="7057B08D" w14:textId="77777777" w:rsidR="003646A0" w:rsidRPr="00F93FFA" w:rsidRDefault="003646A0" w:rsidP="00DE16D0">
            <w:pPr>
              <w:pStyle w:val="EndnoteText"/>
              <w:widowControl w:val="0"/>
              <w:rPr>
                <w:color w:val="000000"/>
                <w:lang w:val="lt-LT"/>
              </w:rPr>
            </w:pPr>
            <w:r w:rsidRPr="00F93FFA">
              <w:rPr>
                <w:color w:val="000000"/>
                <w:lang w:val="lt-LT"/>
              </w:rPr>
              <w:t>Konsoliduojančio gydymo blokas 2</w:t>
            </w:r>
          </w:p>
          <w:p w14:paraId="6F1CF327" w14:textId="77777777" w:rsidR="003646A0" w:rsidRPr="00F93FFA" w:rsidRDefault="003646A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44A90898" w14:textId="77777777" w:rsidR="003646A0" w:rsidRPr="00F93FFA" w:rsidRDefault="003646A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dieną</w:t>
            </w:r>
          </w:p>
          <w:p w14:paraId="23BB7893" w14:textId="77777777" w:rsidR="003646A0" w:rsidRPr="00F93FFA" w:rsidRDefault="003646A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2-ąją ir 3-iąją dienomis</w:t>
            </w:r>
          </w:p>
          <w:p w14:paraId="6A0D7292"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1-ąją dieną</w:t>
            </w:r>
          </w:p>
          <w:p w14:paraId="20F13CB5" w14:textId="77777777" w:rsidR="003646A0" w:rsidRPr="00F93FFA" w:rsidRDefault="003646A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xml:space="preserve"> dozė q12h x 4, IV): 2-ąją ir 3-iąją dienomis</w:t>
            </w:r>
          </w:p>
          <w:p w14:paraId="61B2B448" w14:textId="77777777" w:rsidR="003646A0" w:rsidRPr="00F93FFA" w:rsidRDefault="003646A0" w:rsidP="00DE16D0">
            <w:pPr>
              <w:pStyle w:val="EndnoteText"/>
              <w:widowControl w:val="0"/>
              <w:rPr>
                <w:color w:val="000000"/>
                <w:lang w:val="lt-LT"/>
              </w:rPr>
            </w:pPr>
            <w:r w:rsidRPr="00F93FFA">
              <w:rPr>
                <w:color w:val="000000"/>
                <w:lang w:val="lt-LT"/>
              </w:rPr>
              <w:t>G-CSF (5 μg/kg, SC): 4</w:t>
            </w:r>
            <w:r w:rsidRPr="00F93FFA">
              <w:rPr>
                <w:color w:val="000000"/>
                <w:lang w:val="lt-LT"/>
              </w:rPr>
              <w:noBreakHyphen/>
              <w:t>13 dienos arba kol ANS bus &gt; 1500 nuo žemiausios reikšmės</w:t>
            </w:r>
          </w:p>
        </w:tc>
      </w:tr>
      <w:tr w:rsidR="003646A0" w:rsidRPr="00F93FFA" w14:paraId="5E640A07" w14:textId="77777777" w:rsidTr="00DE16D0">
        <w:trPr>
          <w:cantSplit/>
        </w:trPr>
        <w:tc>
          <w:tcPr>
            <w:tcW w:w="2358" w:type="dxa"/>
            <w:shd w:val="clear" w:color="auto" w:fill="auto"/>
          </w:tcPr>
          <w:p w14:paraId="69F15C79" w14:textId="77777777" w:rsidR="003646A0" w:rsidRPr="00F93FFA" w:rsidRDefault="003646A0" w:rsidP="00DE16D0">
            <w:pPr>
              <w:pStyle w:val="EndnoteText"/>
              <w:widowControl w:val="0"/>
              <w:rPr>
                <w:color w:val="000000"/>
                <w:lang w:val="lt-LT"/>
              </w:rPr>
            </w:pPr>
            <w:r w:rsidRPr="00F93FFA">
              <w:rPr>
                <w:color w:val="000000"/>
                <w:lang w:val="lt-LT"/>
              </w:rPr>
              <w:t>Reindukcinio gydymo blokas 1</w:t>
            </w:r>
          </w:p>
          <w:p w14:paraId="6B7578BA" w14:textId="77777777" w:rsidR="003646A0" w:rsidRPr="00F93FFA" w:rsidRDefault="003646A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14A5718E" w14:textId="77777777" w:rsidR="003646A0" w:rsidRPr="00F93FFA" w:rsidRDefault="003646A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8 ir 15 dienos</w:t>
            </w:r>
          </w:p>
          <w:p w14:paraId="2A022356" w14:textId="77777777" w:rsidR="003646A0" w:rsidRPr="00F93FFA" w:rsidRDefault="003646A0" w:rsidP="00DE16D0">
            <w:pPr>
              <w:pStyle w:val="EndnoteText"/>
              <w:widowControl w:val="0"/>
              <w:rPr>
                <w:color w:val="000000"/>
                <w:lang w:val="lt-LT"/>
              </w:rPr>
            </w:pPr>
            <w:r w:rsidRPr="00F93FFA">
              <w:rPr>
                <w:color w:val="000000"/>
                <w:lang w:val="lt-LT"/>
              </w:rPr>
              <w:t>DAUN (45 mg/m</w:t>
            </w:r>
            <w:r w:rsidRPr="00F93FFA">
              <w:rPr>
                <w:color w:val="000000"/>
                <w:vertAlign w:val="superscript"/>
                <w:lang w:val="lt-LT"/>
              </w:rPr>
              <w:t>2</w:t>
            </w:r>
            <w:r w:rsidRPr="00F93FFA">
              <w:rPr>
                <w:color w:val="000000"/>
                <w:lang w:val="lt-LT"/>
              </w:rPr>
              <w:t xml:space="preserve"> per parą boliusu, IV): 1-ąją ir 2-ąją dienomis</w:t>
            </w:r>
          </w:p>
          <w:p w14:paraId="2F127069" w14:textId="77777777" w:rsidR="003646A0" w:rsidRPr="00F93FFA" w:rsidRDefault="003646A0" w:rsidP="00DE16D0">
            <w:pPr>
              <w:pStyle w:val="EndnoteText"/>
              <w:widowControl w:val="0"/>
              <w:rPr>
                <w:color w:val="000000"/>
                <w:lang w:val="lt-LT"/>
              </w:rPr>
            </w:pPr>
            <w:r w:rsidRPr="00F93FFA">
              <w:rPr>
                <w:color w:val="000000"/>
                <w:lang w:val="lt-LT"/>
              </w:rPr>
              <w:t>CPM (250 mg/m</w:t>
            </w:r>
            <w:r w:rsidRPr="00F93FFA">
              <w:rPr>
                <w:color w:val="000000"/>
                <w:vertAlign w:val="superscript"/>
                <w:lang w:val="lt-LT"/>
              </w:rPr>
              <w:t>2</w:t>
            </w:r>
            <w:r w:rsidRPr="00F93FFA">
              <w:rPr>
                <w:color w:val="000000"/>
                <w:lang w:val="lt-LT"/>
              </w:rPr>
              <w:t xml:space="preserve"> dozė q12h x 4 dozės, IV): 3-iąją ir 4-ąją dienomis</w:t>
            </w:r>
          </w:p>
          <w:p w14:paraId="716F41A3" w14:textId="77777777" w:rsidR="003646A0" w:rsidRPr="00F93FFA" w:rsidRDefault="003646A0" w:rsidP="00DE16D0">
            <w:pPr>
              <w:pStyle w:val="EndnoteText"/>
              <w:widowControl w:val="0"/>
              <w:rPr>
                <w:color w:val="000000"/>
                <w:lang w:val="lt-LT"/>
              </w:rPr>
            </w:pPr>
            <w:r w:rsidRPr="00F93FFA">
              <w:rPr>
                <w:color w:val="000000"/>
                <w:lang w:val="lt-LT"/>
              </w:rPr>
              <w:t>PEG-ASP (2500 TV/m</w:t>
            </w:r>
            <w:r w:rsidRPr="00F93FFA">
              <w:rPr>
                <w:color w:val="000000"/>
                <w:vertAlign w:val="superscript"/>
                <w:lang w:val="lt-LT"/>
              </w:rPr>
              <w:t>2</w:t>
            </w:r>
            <w:r w:rsidRPr="00F93FFA">
              <w:rPr>
                <w:color w:val="000000"/>
                <w:lang w:val="lt-LT"/>
              </w:rPr>
              <w:t>, IM): 4-ąją dieną</w:t>
            </w:r>
          </w:p>
          <w:p w14:paraId="5435EDB8" w14:textId="77777777" w:rsidR="003646A0" w:rsidRPr="00F93FFA" w:rsidRDefault="003646A0" w:rsidP="00DE16D0">
            <w:pPr>
              <w:pStyle w:val="EndnoteText"/>
              <w:widowControl w:val="0"/>
              <w:rPr>
                <w:color w:val="000000"/>
                <w:lang w:val="lt-LT"/>
              </w:rPr>
            </w:pPr>
            <w:r w:rsidRPr="00F93FFA">
              <w:rPr>
                <w:color w:val="000000"/>
                <w:lang w:val="lt-LT"/>
              </w:rPr>
              <w:t>G-CSF (5 μg/kg, SC): 5</w:t>
            </w:r>
            <w:r w:rsidRPr="00F93FFA">
              <w:rPr>
                <w:color w:val="000000"/>
                <w:lang w:val="lt-LT"/>
              </w:rPr>
              <w:noBreakHyphen/>
              <w:t>14 dienos arba kol ANS bus &gt; 1500 nuo žemiausios reikšmės</w:t>
            </w:r>
          </w:p>
          <w:p w14:paraId="33ED8E13"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1-ąją ir 15-ąją dienomis</w:t>
            </w:r>
          </w:p>
          <w:p w14:paraId="3B704DC3" w14:textId="77777777" w:rsidR="003646A0" w:rsidRPr="00F93FFA" w:rsidRDefault="003646A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7 dienos ir 15</w:t>
            </w:r>
            <w:r w:rsidRPr="00F93FFA">
              <w:rPr>
                <w:color w:val="000000"/>
                <w:lang w:val="lt-LT"/>
              </w:rPr>
              <w:noBreakHyphen/>
              <w:t>21 dienos</w:t>
            </w:r>
          </w:p>
        </w:tc>
      </w:tr>
      <w:tr w:rsidR="003646A0" w:rsidRPr="00F93FFA" w14:paraId="2C3AE0EA" w14:textId="77777777" w:rsidTr="00DE16D0">
        <w:trPr>
          <w:cantSplit/>
        </w:trPr>
        <w:tc>
          <w:tcPr>
            <w:tcW w:w="2358" w:type="dxa"/>
            <w:shd w:val="clear" w:color="auto" w:fill="auto"/>
          </w:tcPr>
          <w:p w14:paraId="3EE1A6BA" w14:textId="77777777" w:rsidR="003646A0" w:rsidRPr="00F93FFA" w:rsidRDefault="003646A0" w:rsidP="00DE16D0">
            <w:pPr>
              <w:pStyle w:val="EndnoteText"/>
              <w:widowControl w:val="0"/>
              <w:rPr>
                <w:color w:val="000000"/>
                <w:lang w:val="lt-LT"/>
              </w:rPr>
            </w:pPr>
            <w:r w:rsidRPr="00F93FFA">
              <w:rPr>
                <w:color w:val="000000"/>
                <w:lang w:val="lt-LT"/>
              </w:rPr>
              <w:lastRenderedPageBreak/>
              <w:t>Intensyvinimo blokas 1</w:t>
            </w:r>
          </w:p>
          <w:p w14:paraId="71C614E5" w14:textId="77777777" w:rsidR="003646A0" w:rsidRPr="00F93FFA" w:rsidRDefault="003646A0" w:rsidP="00DE16D0">
            <w:pPr>
              <w:pStyle w:val="EndnoteText"/>
              <w:widowControl w:val="0"/>
              <w:rPr>
                <w:color w:val="000000"/>
                <w:lang w:val="lt-LT"/>
              </w:rPr>
            </w:pPr>
            <w:r w:rsidRPr="00F93FFA">
              <w:rPr>
                <w:color w:val="000000"/>
                <w:lang w:val="lt-LT"/>
              </w:rPr>
              <w:t>(9 savaitės)</w:t>
            </w:r>
          </w:p>
        </w:tc>
        <w:tc>
          <w:tcPr>
            <w:tcW w:w="6929" w:type="dxa"/>
            <w:shd w:val="clear" w:color="auto" w:fill="auto"/>
          </w:tcPr>
          <w:p w14:paraId="571C8189" w14:textId="77777777" w:rsidR="003646A0" w:rsidRPr="00F93FFA" w:rsidRDefault="003646A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ir 15-ąją dienomis</w:t>
            </w:r>
          </w:p>
          <w:p w14:paraId="7BA257C8" w14:textId="77777777" w:rsidR="003646A0" w:rsidRPr="00F93FFA" w:rsidRDefault="003646A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 3, 16 ir 17 dienomis</w:t>
            </w:r>
          </w:p>
          <w:p w14:paraId="1E0E8CE5"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1-ąją ir 22-ąją dienomis</w:t>
            </w:r>
          </w:p>
          <w:p w14:paraId="2F3FDCC6" w14:textId="77777777" w:rsidR="003646A0" w:rsidRPr="00F93FFA" w:rsidRDefault="003646A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40055885" w14:textId="77777777" w:rsidR="003646A0" w:rsidRPr="00F93FFA" w:rsidRDefault="003646A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2821AFD3" w14:textId="77777777" w:rsidR="003646A0" w:rsidRPr="00F93FFA" w:rsidRDefault="003646A0" w:rsidP="00DE16D0">
            <w:pPr>
              <w:pStyle w:val="EndnoteText"/>
              <w:widowControl w:val="0"/>
              <w:rPr>
                <w:color w:val="000000"/>
                <w:lang w:val="lt-LT"/>
              </w:rPr>
            </w:pPr>
            <w:r w:rsidRPr="00F93FFA">
              <w:rPr>
                <w:color w:val="000000"/>
                <w:lang w:val="lt-LT"/>
              </w:rPr>
              <w:t>MESNA (150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2F62EC66" w14:textId="77777777" w:rsidR="003646A0" w:rsidRPr="00F93FFA" w:rsidRDefault="003646A0" w:rsidP="00DE16D0">
            <w:pPr>
              <w:pStyle w:val="EndnoteText"/>
              <w:widowControl w:val="0"/>
              <w:rPr>
                <w:color w:val="000000"/>
                <w:lang w:val="lt-LT"/>
              </w:rPr>
            </w:pPr>
            <w:r w:rsidRPr="00F93FFA">
              <w:rPr>
                <w:color w:val="000000"/>
                <w:lang w:val="lt-LT"/>
              </w:rPr>
              <w:t>G-CSF (5 μg/kg, SC): 27</w:t>
            </w:r>
            <w:r w:rsidRPr="00F93FFA">
              <w:rPr>
                <w:color w:val="000000"/>
                <w:lang w:val="lt-LT"/>
              </w:rPr>
              <w:noBreakHyphen/>
              <w:t>36 dienos arba kol ANS bus &gt; 1500 nuo žemiausios reikšmės</w:t>
            </w:r>
          </w:p>
          <w:p w14:paraId="0113C81F" w14:textId="77777777" w:rsidR="003646A0" w:rsidRPr="00F93FFA" w:rsidRDefault="003646A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q12h, IV): 43, 44 dienomis</w:t>
            </w:r>
          </w:p>
          <w:p w14:paraId="6EF0F02D" w14:textId="77777777" w:rsidR="003646A0" w:rsidRPr="00F93FFA" w:rsidRDefault="003646A0" w:rsidP="00DE16D0">
            <w:pPr>
              <w:pStyle w:val="EndnoteText"/>
              <w:widowControl w:val="0"/>
              <w:rPr>
                <w:color w:val="000000"/>
                <w:lang w:val="lt-LT"/>
              </w:rPr>
            </w:pPr>
            <w:r w:rsidRPr="00F93FFA">
              <w:rPr>
                <w:color w:val="000000"/>
                <w:lang w:val="lt-LT"/>
              </w:rPr>
              <w:t>L-ASP (6000 TV/m</w:t>
            </w:r>
            <w:r w:rsidRPr="00F93FFA">
              <w:rPr>
                <w:color w:val="000000"/>
                <w:vertAlign w:val="superscript"/>
                <w:lang w:val="lt-LT"/>
              </w:rPr>
              <w:t>2</w:t>
            </w:r>
            <w:r w:rsidRPr="00F93FFA">
              <w:rPr>
                <w:color w:val="000000"/>
                <w:lang w:val="lt-LT"/>
              </w:rPr>
              <w:t>, IM): 44-ąją dieną</w:t>
            </w:r>
          </w:p>
        </w:tc>
      </w:tr>
      <w:tr w:rsidR="003646A0" w:rsidRPr="00F93FFA" w14:paraId="25D0EA22" w14:textId="77777777" w:rsidTr="00DE16D0">
        <w:trPr>
          <w:cantSplit/>
        </w:trPr>
        <w:tc>
          <w:tcPr>
            <w:tcW w:w="2358" w:type="dxa"/>
            <w:shd w:val="clear" w:color="auto" w:fill="auto"/>
          </w:tcPr>
          <w:p w14:paraId="69D34C0B" w14:textId="77777777" w:rsidR="003646A0" w:rsidRPr="00F93FFA" w:rsidRDefault="003646A0" w:rsidP="00DE16D0">
            <w:pPr>
              <w:pStyle w:val="EndnoteText"/>
              <w:widowControl w:val="0"/>
              <w:rPr>
                <w:color w:val="000000"/>
                <w:lang w:val="lt-LT"/>
              </w:rPr>
            </w:pPr>
            <w:r w:rsidRPr="00F93FFA">
              <w:rPr>
                <w:color w:val="000000"/>
                <w:lang w:val="lt-LT"/>
              </w:rPr>
              <w:t>Reindukcinio gydymo blokas 2</w:t>
            </w:r>
          </w:p>
          <w:p w14:paraId="6A19366F" w14:textId="77777777" w:rsidR="003646A0" w:rsidRPr="00F93FFA" w:rsidRDefault="003646A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644A2480" w14:textId="77777777" w:rsidR="003646A0" w:rsidRPr="00F93FFA" w:rsidRDefault="003646A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8 ir 15 dienomis</w:t>
            </w:r>
          </w:p>
          <w:p w14:paraId="0B673D16" w14:textId="77777777" w:rsidR="003646A0" w:rsidRPr="00F93FFA" w:rsidRDefault="003646A0" w:rsidP="00DE16D0">
            <w:pPr>
              <w:pStyle w:val="EndnoteText"/>
              <w:widowControl w:val="0"/>
              <w:rPr>
                <w:color w:val="000000"/>
                <w:lang w:val="lt-LT"/>
              </w:rPr>
            </w:pPr>
            <w:r w:rsidRPr="00F93FFA">
              <w:rPr>
                <w:color w:val="000000"/>
                <w:lang w:val="lt-LT"/>
              </w:rPr>
              <w:t>DAUN (45 mg/m</w:t>
            </w:r>
            <w:r w:rsidRPr="00F93FFA">
              <w:rPr>
                <w:color w:val="000000"/>
                <w:vertAlign w:val="superscript"/>
                <w:lang w:val="lt-LT"/>
              </w:rPr>
              <w:t>2</w:t>
            </w:r>
            <w:r w:rsidRPr="00F93FFA">
              <w:rPr>
                <w:color w:val="000000"/>
                <w:lang w:val="lt-LT"/>
              </w:rPr>
              <w:t xml:space="preserve"> per parą boliusu, IV): 1-ąją ir 2-ąją dienomis</w:t>
            </w:r>
          </w:p>
          <w:p w14:paraId="129F2EC4" w14:textId="77777777" w:rsidR="003646A0" w:rsidRPr="00F93FFA" w:rsidRDefault="003646A0" w:rsidP="00DE16D0">
            <w:pPr>
              <w:pStyle w:val="EndnoteText"/>
              <w:widowControl w:val="0"/>
              <w:rPr>
                <w:color w:val="000000"/>
                <w:lang w:val="lt-LT"/>
              </w:rPr>
            </w:pPr>
            <w:r w:rsidRPr="00F93FFA">
              <w:rPr>
                <w:color w:val="000000"/>
                <w:lang w:val="lt-LT"/>
              </w:rPr>
              <w:t>CPM (250 mg/m</w:t>
            </w:r>
            <w:r w:rsidRPr="00F93FFA">
              <w:rPr>
                <w:color w:val="000000"/>
                <w:vertAlign w:val="superscript"/>
                <w:lang w:val="lt-LT"/>
              </w:rPr>
              <w:t>2</w:t>
            </w:r>
            <w:r w:rsidRPr="00F93FFA">
              <w:rPr>
                <w:color w:val="000000"/>
                <w:lang w:val="lt-LT"/>
              </w:rPr>
              <w:t xml:space="preserve"> dozė q12h x 4 dozės, IV): 3-iąją ir 4-ąją dienomis</w:t>
            </w:r>
          </w:p>
          <w:p w14:paraId="7FD1CA66" w14:textId="77777777" w:rsidR="003646A0" w:rsidRPr="00F93FFA" w:rsidRDefault="003646A0" w:rsidP="00DE16D0">
            <w:pPr>
              <w:pStyle w:val="EndnoteText"/>
              <w:widowControl w:val="0"/>
              <w:rPr>
                <w:color w:val="000000"/>
                <w:lang w:val="lt-LT"/>
              </w:rPr>
            </w:pPr>
            <w:r w:rsidRPr="00F93FFA">
              <w:rPr>
                <w:color w:val="000000"/>
                <w:lang w:val="lt-LT"/>
              </w:rPr>
              <w:t>PEG-ASP (2500 TV/m</w:t>
            </w:r>
            <w:r w:rsidRPr="00F93FFA">
              <w:rPr>
                <w:color w:val="000000"/>
                <w:vertAlign w:val="superscript"/>
                <w:lang w:val="lt-LT"/>
              </w:rPr>
              <w:t>2</w:t>
            </w:r>
            <w:r w:rsidRPr="00F93FFA">
              <w:rPr>
                <w:color w:val="000000"/>
                <w:lang w:val="lt-LT"/>
              </w:rPr>
              <w:t>, IM): 4-ąją dieną</w:t>
            </w:r>
          </w:p>
          <w:p w14:paraId="2E4EA9E9" w14:textId="77777777" w:rsidR="003646A0" w:rsidRPr="00F93FFA" w:rsidRDefault="003646A0" w:rsidP="00DE16D0">
            <w:pPr>
              <w:pStyle w:val="EndnoteText"/>
              <w:widowControl w:val="0"/>
              <w:rPr>
                <w:color w:val="000000"/>
                <w:lang w:val="lt-LT"/>
              </w:rPr>
            </w:pPr>
            <w:r w:rsidRPr="00F93FFA">
              <w:rPr>
                <w:color w:val="000000"/>
                <w:lang w:val="lt-LT"/>
              </w:rPr>
              <w:t>G-CSF (5 μg/kg, SC): 5</w:t>
            </w:r>
            <w:r w:rsidRPr="00F93FFA">
              <w:rPr>
                <w:color w:val="000000"/>
                <w:lang w:val="lt-LT"/>
              </w:rPr>
              <w:noBreakHyphen/>
              <w:t>14 dienos arba kol ANS bus &gt; 1500 nuo žemiausios reikšmės</w:t>
            </w:r>
          </w:p>
          <w:p w14:paraId="1AD9170E"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1-ąją ir 15-ąją dienomis</w:t>
            </w:r>
          </w:p>
          <w:p w14:paraId="15562B89" w14:textId="77777777" w:rsidR="003646A0" w:rsidRPr="00F93FFA" w:rsidRDefault="003646A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7 dienos ir 15</w:t>
            </w:r>
            <w:r w:rsidRPr="00F93FFA">
              <w:rPr>
                <w:color w:val="000000"/>
                <w:lang w:val="lt-LT"/>
              </w:rPr>
              <w:noBreakHyphen/>
              <w:t>21 dienos</w:t>
            </w:r>
          </w:p>
        </w:tc>
      </w:tr>
      <w:tr w:rsidR="003646A0" w:rsidRPr="00F93FFA" w14:paraId="0FD7A5C6" w14:textId="77777777" w:rsidTr="00DE16D0">
        <w:trPr>
          <w:cantSplit/>
        </w:trPr>
        <w:tc>
          <w:tcPr>
            <w:tcW w:w="2358" w:type="dxa"/>
            <w:shd w:val="clear" w:color="auto" w:fill="auto"/>
          </w:tcPr>
          <w:p w14:paraId="5AB2D924" w14:textId="77777777" w:rsidR="003646A0" w:rsidRPr="00F93FFA" w:rsidRDefault="003646A0" w:rsidP="00DE16D0">
            <w:pPr>
              <w:pStyle w:val="EndnoteText"/>
              <w:widowControl w:val="0"/>
              <w:rPr>
                <w:color w:val="000000"/>
                <w:lang w:val="lt-LT"/>
              </w:rPr>
            </w:pPr>
            <w:r w:rsidRPr="00F93FFA">
              <w:rPr>
                <w:color w:val="000000"/>
                <w:lang w:val="lt-LT"/>
              </w:rPr>
              <w:t>Intensyvinimo blokas 2</w:t>
            </w:r>
          </w:p>
          <w:p w14:paraId="1A411C29" w14:textId="77777777" w:rsidR="003646A0" w:rsidRPr="00F93FFA" w:rsidRDefault="003646A0" w:rsidP="00DE16D0">
            <w:pPr>
              <w:pStyle w:val="EndnoteText"/>
              <w:widowControl w:val="0"/>
              <w:rPr>
                <w:color w:val="000000"/>
                <w:lang w:val="lt-LT"/>
              </w:rPr>
            </w:pPr>
            <w:r w:rsidRPr="00F93FFA">
              <w:rPr>
                <w:color w:val="000000"/>
                <w:lang w:val="lt-LT"/>
              </w:rPr>
              <w:t>(9 savaitės)</w:t>
            </w:r>
          </w:p>
        </w:tc>
        <w:tc>
          <w:tcPr>
            <w:tcW w:w="6929" w:type="dxa"/>
            <w:shd w:val="clear" w:color="auto" w:fill="auto"/>
          </w:tcPr>
          <w:p w14:paraId="4EE221D1" w14:textId="77777777" w:rsidR="003646A0" w:rsidRPr="00F93FFA" w:rsidRDefault="003646A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ir 15-ąją dienomis</w:t>
            </w:r>
          </w:p>
          <w:p w14:paraId="54382F5C" w14:textId="77777777" w:rsidR="003646A0" w:rsidRPr="00F93FFA" w:rsidRDefault="003646A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 3, 16 ir 17 dienomis</w:t>
            </w:r>
          </w:p>
          <w:p w14:paraId="0A7DAD7F"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1-ąją ir 22-ąją dienomis</w:t>
            </w:r>
          </w:p>
          <w:p w14:paraId="1275A925" w14:textId="77777777" w:rsidR="003646A0" w:rsidRPr="00F93FFA" w:rsidRDefault="003646A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46E6B946" w14:textId="77777777" w:rsidR="003646A0" w:rsidRPr="00F93FFA" w:rsidRDefault="003646A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1C5E7B30" w14:textId="77777777" w:rsidR="003646A0" w:rsidRPr="00F93FFA" w:rsidRDefault="003646A0" w:rsidP="00DE16D0">
            <w:pPr>
              <w:pStyle w:val="EndnoteText"/>
              <w:widowControl w:val="0"/>
              <w:rPr>
                <w:color w:val="000000"/>
                <w:lang w:val="lt-LT"/>
              </w:rPr>
            </w:pPr>
            <w:r w:rsidRPr="00F93FFA">
              <w:rPr>
                <w:color w:val="000000"/>
                <w:lang w:val="lt-LT"/>
              </w:rPr>
              <w:t>MESNA (150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6FA8A239" w14:textId="77777777" w:rsidR="003646A0" w:rsidRPr="00F93FFA" w:rsidRDefault="003646A0" w:rsidP="00DE16D0">
            <w:pPr>
              <w:pStyle w:val="EndnoteText"/>
              <w:widowControl w:val="0"/>
              <w:rPr>
                <w:color w:val="000000"/>
                <w:lang w:val="lt-LT"/>
              </w:rPr>
            </w:pPr>
            <w:r w:rsidRPr="00F93FFA">
              <w:rPr>
                <w:color w:val="000000"/>
                <w:lang w:val="lt-LT"/>
              </w:rPr>
              <w:t>G-CSF (5 μg/kg, SC): 27</w:t>
            </w:r>
            <w:r w:rsidRPr="00F93FFA">
              <w:rPr>
                <w:color w:val="000000"/>
                <w:lang w:val="lt-LT"/>
              </w:rPr>
              <w:noBreakHyphen/>
              <w:t>36 dienos arba kol ANS bus &gt; 1500 nuo žemiausios reikšmės</w:t>
            </w:r>
          </w:p>
          <w:p w14:paraId="336450FB" w14:textId="77777777" w:rsidR="003646A0" w:rsidRPr="00F93FFA" w:rsidRDefault="003646A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q12h, IV): 43, 44 dienomis</w:t>
            </w:r>
          </w:p>
          <w:p w14:paraId="2A8372CB" w14:textId="77777777" w:rsidR="003646A0" w:rsidRPr="00F93FFA" w:rsidRDefault="003646A0" w:rsidP="00DE16D0">
            <w:pPr>
              <w:pStyle w:val="EndnoteText"/>
              <w:widowControl w:val="0"/>
              <w:rPr>
                <w:color w:val="000000"/>
                <w:lang w:val="lt-LT"/>
              </w:rPr>
            </w:pPr>
            <w:r w:rsidRPr="00F93FFA">
              <w:rPr>
                <w:color w:val="000000"/>
                <w:lang w:val="lt-LT"/>
              </w:rPr>
              <w:t>L-ASP (6000 TV/m</w:t>
            </w:r>
            <w:r w:rsidRPr="00F93FFA">
              <w:rPr>
                <w:color w:val="000000"/>
                <w:vertAlign w:val="superscript"/>
                <w:lang w:val="lt-LT"/>
              </w:rPr>
              <w:t>2</w:t>
            </w:r>
            <w:r w:rsidRPr="00F93FFA">
              <w:rPr>
                <w:color w:val="000000"/>
                <w:lang w:val="lt-LT"/>
              </w:rPr>
              <w:t>, IM): 44-ąją dieną</w:t>
            </w:r>
          </w:p>
        </w:tc>
      </w:tr>
      <w:tr w:rsidR="003646A0" w:rsidRPr="00F93FFA" w14:paraId="1E84C960" w14:textId="77777777" w:rsidTr="00DE16D0">
        <w:trPr>
          <w:cantSplit/>
        </w:trPr>
        <w:tc>
          <w:tcPr>
            <w:tcW w:w="2358" w:type="dxa"/>
            <w:shd w:val="clear" w:color="auto" w:fill="auto"/>
          </w:tcPr>
          <w:p w14:paraId="5EFF501B" w14:textId="77777777" w:rsidR="003646A0" w:rsidRPr="00F93FFA" w:rsidRDefault="003646A0" w:rsidP="00DE16D0">
            <w:pPr>
              <w:pStyle w:val="EndnoteText"/>
              <w:widowControl w:val="0"/>
              <w:rPr>
                <w:color w:val="000000"/>
                <w:lang w:val="lt-LT"/>
              </w:rPr>
            </w:pPr>
            <w:r w:rsidRPr="00F93FFA">
              <w:rPr>
                <w:color w:val="000000"/>
                <w:lang w:val="lt-LT"/>
              </w:rPr>
              <w:t>Palaikomasis gydymas</w:t>
            </w:r>
          </w:p>
          <w:p w14:paraId="03B0F7F9" w14:textId="77777777" w:rsidR="003646A0" w:rsidRPr="00F93FFA" w:rsidRDefault="003646A0" w:rsidP="00DE16D0">
            <w:pPr>
              <w:pStyle w:val="EndnoteText"/>
              <w:widowControl w:val="0"/>
              <w:rPr>
                <w:color w:val="000000"/>
                <w:lang w:val="lt-LT"/>
              </w:rPr>
            </w:pPr>
            <w:r w:rsidRPr="00F93FFA">
              <w:rPr>
                <w:color w:val="000000"/>
                <w:lang w:val="lt-LT"/>
              </w:rPr>
              <w:t>(8 savaičių trukmės ciklai)</w:t>
            </w:r>
          </w:p>
          <w:p w14:paraId="3725CEF8" w14:textId="77777777" w:rsidR="003646A0" w:rsidRPr="00F93FFA" w:rsidRDefault="003646A0" w:rsidP="00DE16D0">
            <w:pPr>
              <w:pStyle w:val="EndnoteText"/>
              <w:widowControl w:val="0"/>
              <w:rPr>
                <w:color w:val="000000"/>
                <w:lang w:val="lt-LT"/>
              </w:rPr>
            </w:pPr>
            <w:r w:rsidRPr="00F93FFA">
              <w:rPr>
                <w:color w:val="000000"/>
                <w:lang w:val="lt-LT"/>
              </w:rPr>
              <w:t>1–4 ciklai</w:t>
            </w:r>
          </w:p>
        </w:tc>
        <w:tc>
          <w:tcPr>
            <w:tcW w:w="6929" w:type="dxa"/>
            <w:shd w:val="clear" w:color="auto" w:fill="auto"/>
          </w:tcPr>
          <w:p w14:paraId="4081CCD2" w14:textId="77777777" w:rsidR="003646A0" w:rsidRPr="00F93FFA" w:rsidRDefault="003646A0" w:rsidP="00DE16D0">
            <w:pPr>
              <w:pStyle w:val="EndnoteText"/>
              <w:widowControl w:val="0"/>
              <w:rPr>
                <w:color w:val="000000"/>
                <w:lang w:val="lt-LT"/>
              </w:rPr>
            </w:pPr>
            <w:r w:rsidRPr="00F93FFA">
              <w:rPr>
                <w:color w:val="000000"/>
                <w:lang w:val="lt-LT"/>
              </w:rPr>
              <w:t>MTX (5 g/m</w:t>
            </w:r>
            <w:r w:rsidRPr="00F93FFA">
              <w:rPr>
                <w:color w:val="000000"/>
                <w:vertAlign w:val="superscript"/>
                <w:lang w:val="lt-LT"/>
              </w:rPr>
              <w:t>2</w:t>
            </w:r>
            <w:r w:rsidRPr="00F93FFA">
              <w:rPr>
                <w:color w:val="000000"/>
                <w:lang w:val="lt-LT"/>
              </w:rPr>
              <w:t xml:space="preserve"> per 24 valandas, IV): 1-ąją dieną</w:t>
            </w:r>
          </w:p>
          <w:p w14:paraId="4E9B6E21" w14:textId="77777777" w:rsidR="003646A0" w:rsidRPr="00F93FFA" w:rsidRDefault="003646A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2-ąją ir 3-iąją dienomis</w:t>
            </w:r>
          </w:p>
          <w:p w14:paraId="3BDCB9A9" w14:textId="77777777" w:rsidR="003646A0" w:rsidRPr="00F93FFA" w:rsidRDefault="003646A0" w:rsidP="00DE16D0">
            <w:pPr>
              <w:pStyle w:val="EndnoteText"/>
              <w:widowControl w:val="0"/>
              <w:rPr>
                <w:color w:val="000000"/>
                <w:lang w:val="lt-LT"/>
              </w:rPr>
            </w:pPr>
            <w:r w:rsidRPr="00F93FFA">
              <w:rPr>
                <w:color w:val="000000"/>
                <w:lang w:val="lt-LT"/>
              </w:rPr>
              <w:t>Trigubas IT gydymas (dozė priklausomai nuo amžiaus): 1, 29 dienomis</w:t>
            </w:r>
          </w:p>
          <w:p w14:paraId="1DCB61C9" w14:textId="77777777" w:rsidR="003646A0" w:rsidRPr="00F93FFA" w:rsidRDefault="003646A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IV): 1, 29 dienomis</w:t>
            </w:r>
          </w:p>
          <w:p w14:paraId="1E732A3F" w14:textId="77777777" w:rsidR="003646A0" w:rsidRPr="00F93FFA" w:rsidRDefault="003646A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43287EA4" w14:textId="77777777" w:rsidR="003646A0" w:rsidRPr="00F93FFA" w:rsidRDefault="003646A0" w:rsidP="00DE16D0">
            <w:pPr>
              <w:pStyle w:val="EndnoteText"/>
              <w:widowControl w:val="0"/>
              <w:rPr>
                <w:color w:val="000000"/>
                <w:lang w:val="lt-LT"/>
              </w:rPr>
            </w:pPr>
            <w:r w:rsidRPr="00F93FFA">
              <w:rPr>
                <w:color w:val="000000"/>
                <w:lang w:val="lt-LT"/>
              </w:rPr>
              <w:t>6-MP (75 mg/m</w:t>
            </w:r>
            <w:r w:rsidRPr="00F93FFA">
              <w:rPr>
                <w:color w:val="000000"/>
                <w:vertAlign w:val="superscript"/>
                <w:lang w:val="lt-LT"/>
              </w:rPr>
              <w:t>2</w:t>
            </w:r>
            <w:r w:rsidRPr="00F93FFA">
              <w:rPr>
                <w:color w:val="000000"/>
                <w:lang w:val="lt-LT"/>
              </w:rPr>
              <w:t xml:space="preserve"> per parą, PO): 8-28 dienos</w:t>
            </w:r>
          </w:p>
          <w:p w14:paraId="038F258F" w14:textId="77777777" w:rsidR="003646A0" w:rsidRPr="00F93FFA" w:rsidRDefault="003646A0" w:rsidP="00DE16D0">
            <w:pPr>
              <w:pStyle w:val="EndnoteText"/>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8, 15, 22 dienomis</w:t>
            </w:r>
          </w:p>
          <w:p w14:paraId="25A09978" w14:textId="77777777" w:rsidR="003646A0" w:rsidRPr="00F93FFA" w:rsidRDefault="003646A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IV): 29</w:t>
            </w:r>
            <w:r w:rsidRPr="00F93FFA">
              <w:rPr>
                <w:color w:val="000000"/>
                <w:lang w:val="lt-LT"/>
              </w:rPr>
              <w:noBreakHyphen/>
              <w:t>33 dienos</w:t>
            </w:r>
          </w:p>
          <w:p w14:paraId="1D2C651E" w14:textId="77777777" w:rsidR="003646A0" w:rsidRPr="00F93FFA" w:rsidRDefault="003646A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IV): 29</w:t>
            </w:r>
            <w:r w:rsidRPr="00F93FFA">
              <w:rPr>
                <w:color w:val="000000"/>
                <w:lang w:val="lt-LT"/>
              </w:rPr>
              <w:noBreakHyphen/>
              <w:t>33 dienos</w:t>
            </w:r>
          </w:p>
          <w:p w14:paraId="4B2FDF2E" w14:textId="77777777" w:rsidR="003646A0" w:rsidRPr="00F93FFA" w:rsidRDefault="003646A0" w:rsidP="00DE16D0">
            <w:pPr>
              <w:pStyle w:val="EndnoteText"/>
              <w:widowControl w:val="0"/>
              <w:rPr>
                <w:color w:val="000000"/>
                <w:lang w:val="lt-LT"/>
              </w:rPr>
            </w:pPr>
            <w:r w:rsidRPr="00F93FFA">
              <w:rPr>
                <w:color w:val="000000"/>
                <w:lang w:val="lt-LT"/>
              </w:rPr>
              <w:t>MESNA IV 29</w:t>
            </w:r>
            <w:r w:rsidRPr="00F93FFA">
              <w:rPr>
                <w:color w:val="000000"/>
                <w:lang w:val="lt-LT"/>
              </w:rPr>
              <w:noBreakHyphen/>
              <w:t>33 dienos</w:t>
            </w:r>
          </w:p>
          <w:p w14:paraId="0691B2CB" w14:textId="77777777" w:rsidR="003646A0" w:rsidRPr="00F93FFA" w:rsidRDefault="003646A0" w:rsidP="00DE16D0">
            <w:pPr>
              <w:pStyle w:val="EndnoteText"/>
              <w:widowControl w:val="0"/>
              <w:rPr>
                <w:color w:val="000000"/>
                <w:lang w:val="lt-LT"/>
              </w:rPr>
            </w:pPr>
            <w:r w:rsidRPr="00F93FFA">
              <w:rPr>
                <w:color w:val="000000"/>
                <w:lang w:val="lt-LT"/>
              </w:rPr>
              <w:t>G-CSF (5 μg/kg, SC): 34</w:t>
            </w:r>
            <w:r w:rsidRPr="00F93FFA">
              <w:rPr>
                <w:color w:val="000000"/>
                <w:lang w:val="lt-LT"/>
              </w:rPr>
              <w:noBreakHyphen/>
              <w:t>43 dienos</w:t>
            </w:r>
          </w:p>
        </w:tc>
      </w:tr>
      <w:tr w:rsidR="003646A0" w:rsidRPr="00F93FFA" w14:paraId="6D24E796" w14:textId="77777777" w:rsidTr="00DE16D0">
        <w:trPr>
          <w:cantSplit/>
        </w:trPr>
        <w:tc>
          <w:tcPr>
            <w:tcW w:w="2358" w:type="dxa"/>
            <w:shd w:val="clear" w:color="auto" w:fill="auto"/>
          </w:tcPr>
          <w:p w14:paraId="672E211E" w14:textId="77777777" w:rsidR="003646A0" w:rsidRPr="00F93FFA" w:rsidRDefault="003646A0" w:rsidP="00DE16D0">
            <w:pPr>
              <w:pStyle w:val="EndnoteText"/>
              <w:widowControl w:val="0"/>
              <w:rPr>
                <w:color w:val="000000"/>
                <w:lang w:val="lt-LT"/>
              </w:rPr>
            </w:pPr>
            <w:r w:rsidRPr="00F93FFA">
              <w:rPr>
                <w:color w:val="000000"/>
                <w:lang w:val="lt-LT"/>
              </w:rPr>
              <w:t>Palaikomasis gydymas</w:t>
            </w:r>
          </w:p>
          <w:p w14:paraId="6FB97368" w14:textId="77777777" w:rsidR="003646A0" w:rsidRPr="00F93FFA" w:rsidRDefault="003646A0" w:rsidP="00DE16D0">
            <w:pPr>
              <w:pStyle w:val="EndnoteText"/>
              <w:widowControl w:val="0"/>
              <w:rPr>
                <w:color w:val="000000"/>
                <w:lang w:val="lt-LT"/>
              </w:rPr>
            </w:pPr>
            <w:r w:rsidRPr="00F93FFA">
              <w:rPr>
                <w:color w:val="000000"/>
                <w:lang w:val="lt-LT"/>
              </w:rPr>
              <w:t>(8 savaičių trukmės ciklai)</w:t>
            </w:r>
          </w:p>
          <w:p w14:paraId="388D521F" w14:textId="77777777" w:rsidR="003646A0" w:rsidRPr="00F93FFA" w:rsidRDefault="003646A0" w:rsidP="00DE16D0">
            <w:pPr>
              <w:pStyle w:val="EndnoteText"/>
              <w:widowControl w:val="0"/>
              <w:rPr>
                <w:color w:val="000000"/>
                <w:lang w:val="lt-LT"/>
              </w:rPr>
            </w:pPr>
            <w:r w:rsidRPr="00F93FFA">
              <w:rPr>
                <w:color w:val="000000"/>
                <w:lang w:val="lt-LT"/>
              </w:rPr>
              <w:t>5-asis ciklas</w:t>
            </w:r>
          </w:p>
        </w:tc>
        <w:tc>
          <w:tcPr>
            <w:tcW w:w="6929" w:type="dxa"/>
            <w:shd w:val="clear" w:color="auto" w:fill="auto"/>
          </w:tcPr>
          <w:p w14:paraId="20943420" w14:textId="77777777" w:rsidR="003646A0" w:rsidRPr="00F93FFA" w:rsidRDefault="003646A0" w:rsidP="00DE16D0">
            <w:pPr>
              <w:pStyle w:val="EndnoteText"/>
              <w:widowControl w:val="0"/>
              <w:rPr>
                <w:color w:val="000000"/>
                <w:lang w:val="lt-LT"/>
              </w:rPr>
            </w:pPr>
            <w:r w:rsidRPr="00F93FFA">
              <w:rPr>
                <w:color w:val="000000"/>
                <w:lang w:val="lt-LT"/>
              </w:rPr>
              <w:t>Kaukolės švitinimas (tik 5-asis blokas)</w:t>
            </w:r>
          </w:p>
          <w:p w14:paraId="70A06053" w14:textId="77777777" w:rsidR="003646A0" w:rsidRPr="00F93FFA" w:rsidRDefault="003646A0" w:rsidP="00DE16D0">
            <w:pPr>
              <w:pStyle w:val="EndnoteText"/>
              <w:widowControl w:val="0"/>
              <w:rPr>
                <w:color w:val="000000"/>
                <w:lang w:val="lt-LT"/>
              </w:rPr>
            </w:pPr>
            <w:r w:rsidRPr="00F93FFA">
              <w:rPr>
                <w:color w:val="000000"/>
                <w:lang w:val="lt-LT"/>
              </w:rPr>
              <w:t>12 Gy per 8 frakcijas visiems pacientams, kuriems nustatyta CNS1 ir CNS2 diagnozė</w:t>
            </w:r>
          </w:p>
          <w:p w14:paraId="539C52E7" w14:textId="77777777" w:rsidR="003646A0" w:rsidRPr="00F93FFA" w:rsidRDefault="003646A0" w:rsidP="00DE16D0">
            <w:pPr>
              <w:pStyle w:val="EndnoteText"/>
              <w:widowControl w:val="0"/>
              <w:rPr>
                <w:color w:val="000000"/>
                <w:lang w:val="lt-LT"/>
              </w:rPr>
            </w:pPr>
            <w:r w:rsidRPr="00F93FFA">
              <w:rPr>
                <w:color w:val="000000"/>
                <w:lang w:val="lt-LT"/>
              </w:rPr>
              <w:t>18 Gy per 10 frakcijų pacientams, kuriems nustatyta CNS3 diagnozė</w:t>
            </w:r>
          </w:p>
          <w:p w14:paraId="2F254069" w14:textId="77777777" w:rsidR="003646A0" w:rsidRPr="00F93FFA" w:rsidRDefault="003646A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29 dienomis</w:t>
            </w:r>
          </w:p>
          <w:p w14:paraId="4324C37A" w14:textId="77777777" w:rsidR="003646A0" w:rsidRPr="00F93FFA" w:rsidRDefault="003646A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746BF629" w14:textId="77777777" w:rsidR="003646A0" w:rsidRPr="00F93FFA" w:rsidRDefault="003646A0" w:rsidP="00DE16D0">
            <w:pPr>
              <w:pStyle w:val="EndnoteText"/>
              <w:widowControl w:val="0"/>
              <w:rPr>
                <w:color w:val="000000"/>
                <w:lang w:val="lt-LT"/>
              </w:rPr>
            </w:pPr>
            <w:r w:rsidRPr="00F93FFA">
              <w:rPr>
                <w:color w:val="000000"/>
                <w:lang w:val="lt-LT"/>
              </w:rPr>
              <w:t>6-MP (75 mg/m</w:t>
            </w:r>
            <w:r w:rsidRPr="00F93FFA">
              <w:rPr>
                <w:color w:val="000000"/>
                <w:vertAlign w:val="superscript"/>
                <w:lang w:val="lt-LT"/>
              </w:rPr>
              <w:t>2</w:t>
            </w:r>
            <w:r w:rsidRPr="00F93FFA">
              <w:rPr>
                <w:color w:val="000000"/>
                <w:lang w:val="lt-LT"/>
              </w:rPr>
              <w:t xml:space="preserve"> per parą, PO): 11</w:t>
            </w:r>
            <w:r w:rsidRPr="00F93FFA">
              <w:rPr>
                <w:color w:val="000000"/>
                <w:lang w:val="lt-LT"/>
              </w:rPr>
              <w:noBreakHyphen/>
              <w:t>56 dienos (neskirti 6-MP 6</w:t>
            </w:r>
            <w:r w:rsidRPr="00F93FFA">
              <w:rPr>
                <w:color w:val="000000"/>
                <w:lang w:val="lt-LT"/>
              </w:rPr>
              <w:noBreakHyphen/>
              <w:t>10-ąją dienomis, kai taikomas kaukolės švitinimas, pradedant nuo pirmosios 5-ojo ciklo dienos. Pradėti skirti 6-MP pirmąją dieną po kaukolės švitinimo pabaigos.)</w:t>
            </w:r>
          </w:p>
          <w:p w14:paraId="6CCF70BD" w14:textId="77777777" w:rsidR="003646A0" w:rsidRPr="00F93FFA" w:rsidRDefault="003646A0" w:rsidP="00DE16D0">
            <w:pPr>
              <w:pStyle w:val="EndnoteText"/>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8, 15, 22, 29, 36, 43, 50 dienomis</w:t>
            </w:r>
          </w:p>
        </w:tc>
      </w:tr>
      <w:tr w:rsidR="003646A0" w:rsidRPr="00F93FFA" w14:paraId="2522E655" w14:textId="77777777" w:rsidTr="00DE16D0">
        <w:trPr>
          <w:cantSplit/>
        </w:trPr>
        <w:tc>
          <w:tcPr>
            <w:tcW w:w="2358" w:type="dxa"/>
            <w:shd w:val="clear" w:color="auto" w:fill="auto"/>
          </w:tcPr>
          <w:p w14:paraId="3BD5591B" w14:textId="77777777" w:rsidR="003646A0" w:rsidRPr="00F93FFA" w:rsidRDefault="003646A0" w:rsidP="00DE16D0">
            <w:pPr>
              <w:pStyle w:val="EndnoteText"/>
              <w:keepNext/>
              <w:keepLines/>
              <w:widowControl w:val="0"/>
              <w:rPr>
                <w:color w:val="000000"/>
                <w:lang w:val="lt-LT"/>
              </w:rPr>
            </w:pPr>
            <w:r w:rsidRPr="00F93FFA">
              <w:rPr>
                <w:color w:val="000000"/>
                <w:lang w:val="lt-LT"/>
              </w:rPr>
              <w:lastRenderedPageBreak/>
              <w:t>Palaikomasis gydymas</w:t>
            </w:r>
          </w:p>
          <w:p w14:paraId="02C84524" w14:textId="77777777" w:rsidR="003646A0" w:rsidRPr="00F93FFA" w:rsidRDefault="003646A0" w:rsidP="00DE16D0">
            <w:pPr>
              <w:pStyle w:val="EndnoteText"/>
              <w:keepNext/>
              <w:keepLines/>
              <w:widowControl w:val="0"/>
              <w:rPr>
                <w:color w:val="000000"/>
                <w:lang w:val="lt-LT"/>
              </w:rPr>
            </w:pPr>
            <w:r w:rsidRPr="00F93FFA">
              <w:rPr>
                <w:color w:val="000000"/>
                <w:lang w:val="lt-LT"/>
              </w:rPr>
              <w:t>(8 savaičių trukmės ciklai)</w:t>
            </w:r>
          </w:p>
          <w:p w14:paraId="581131DF" w14:textId="77777777" w:rsidR="003646A0" w:rsidRPr="00F93FFA" w:rsidRDefault="003646A0" w:rsidP="00DE16D0">
            <w:pPr>
              <w:pStyle w:val="EndnoteText"/>
              <w:keepNext/>
              <w:keepLines/>
              <w:widowControl w:val="0"/>
              <w:rPr>
                <w:color w:val="000000"/>
                <w:lang w:val="lt-LT"/>
              </w:rPr>
            </w:pPr>
            <w:r w:rsidRPr="00F93FFA">
              <w:rPr>
                <w:color w:val="000000"/>
                <w:lang w:val="lt-LT"/>
              </w:rPr>
              <w:t>6</w:t>
            </w:r>
            <w:r w:rsidRPr="00F93FFA">
              <w:rPr>
                <w:color w:val="000000"/>
                <w:lang w:val="lt-LT"/>
              </w:rPr>
              <w:noBreakHyphen/>
              <w:t>12 ciklai</w:t>
            </w:r>
          </w:p>
        </w:tc>
        <w:tc>
          <w:tcPr>
            <w:tcW w:w="6929" w:type="dxa"/>
            <w:shd w:val="clear" w:color="auto" w:fill="auto"/>
          </w:tcPr>
          <w:p w14:paraId="26B30FE8" w14:textId="77777777" w:rsidR="003646A0" w:rsidRPr="00F93FFA" w:rsidRDefault="003646A0" w:rsidP="00DE16D0">
            <w:pPr>
              <w:pStyle w:val="EndnoteText"/>
              <w:keepNext/>
              <w:keepLines/>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29 dienomis</w:t>
            </w:r>
          </w:p>
          <w:p w14:paraId="3E76043C" w14:textId="77777777" w:rsidR="003646A0" w:rsidRPr="00F93FFA" w:rsidRDefault="003646A0" w:rsidP="00DE16D0">
            <w:pPr>
              <w:pStyle w:val="EndnoteText"/>
              <w:keepNext/>
              <w:keepLines/>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508D3A2D" w14:textId="77777777" w:rsidR="003646A0" w:rsidRPr="00F93FFA" w:rsidRDefault="003646A0" w:rsidP="00DE16D0">
            <w:pPr>
              <w:pStyle w:val="EndnoteText"/>
              <w:keepNext/>
              <w:keepLines/>
              <w:widowControl w:val="0"/>
              <w:rPr>
                <w:color w:val="000000"/>
                <w:lang w:val="lt-LT"/>
              </w:rPr>
            </w:pPr>
            <w:r w:rsidRPr="00F93FFA">
              <w:rPr>
                <w:color w:val="000000"/>
                <w:lang w:val="lt-LT"/>
              </w:rPr>
              <w:t>6-MP (75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56 dienos</w:t>
            </w:r>
          </w:p>
          <w:p w14:paraId="54FDBC05" w14:textId="77777777" w:rsidR="003646A0" w:rsidRPr="00F93FFA" w:rsidRDefault="003646A0" w:rsidP="00DE16D0">
            <w:pPr>
              <w:pStyle w:val="EndnoteText"/>
              <w:keepNext/>
              <w:keepLines/>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1, 8, 15, 22, 29, 36, 43, 50 dienomis</w:t>
            </w:r>
          </w:p>
        </w:tc>
      </w:tr>
    </w:tbl>
    <w:p w14:paraId="46EB0E8A" w14:textId="0686DE49" w:rsidR="003646A0" w:rsidRPr="00F93FFA" w:rsidRDefault="003646A0" w:rsidP="00DE16D0">
      <w:pPr>
        <w:pStyle w:val="EndnoteText"/>
        <w:keepNext/>
        <w:keepLines/>
        <w:widowControl w:val="0"/>
        <w:rPr>
          <w:color w:val="000000"/>
          <w:szCs w:val="22"/>
          <w:lang w:val="lt-LT"/>
        </w:rPr>
      </w:pPr>
      <w:r w:rsidRPr="00F93FFA">
        <w:rPr>
          <w:color w:val="000000"/>
          <w:szCs w:val="22"/>
          <w:lang w:val="lt-LT"/>
        </w:rPr>
        <w:t>G-CSF</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granuliocitų kolonijas stimuliuojantis faktorius, VP-16</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etoposidas, MTX</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metotreksatas, IV</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į veną, SC</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po oda, IT</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intratekaliai (į povoratinklinę ertmę), PO</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per burną, IM</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į raumenis, ARA</w:t>
      </w:r>
      <w:r w:rsidR="00E63FCA" w:rsidRPr="00F93FFA">
        <w:rPr>
          <w:color w:val="000000"/>
          <w:szCs w:val="22"/>
          <w:lang w:val="lt-LT"/>
        </w:rPr>
        <w:noBreakHyphen/>
      </w:r>
      <w:r w:rsidRPr="00F93FFA">
        <w:rPr>
          <w:color w:val="000000"/>
          <w:szCs w:val="22"/>
          <w:lang w:val="lt-LT"/>
        </w:rPr>
        <w:t>C</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citarabinas, CPM</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ciklofosfamidas, VCR</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vinkristinas, DEX</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deksametazonas, DAUN</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daunorubicinas, 6</w:t>
      </w:r>
      <w:r w:rsidR="00E63FCA" w:rsidRPr="00F93FFA">
        <w:rPr>
          <w:color w:val="000000"/>
          <w:szCs w:val="22"/>
          <w:lang w:val="lt-LT"/>
        </w:rPr>
        <w:noBreakHyphen/>
      </w:r>
      <w:r w:rsidRPr="00F93FFA">
        <w:rPr>
          <w:color w:val="000000"/>
          <w:szCs w:val="22"/>
          <w:lang w:val="lt-LT"/>
        </w:rPr>
        <w:t>MP</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6</w:t>
      </w:r>
      <w:r w:rsidR="00E63FCA" w:rsidRPr="00F93FFA">
        <w:rPr>
          <w:color w:val="000000"/>
          <w:szCs w:val="22"/>
          <w:lang w:val="lt-LT"/>
        </w:rPr>
        <w:noBreakHyphen/>
      </w:r>
      <w:r w:rsidRPr="00F93FFA">
        <w:rPr>
          <w:color w:val="000000"/>
          <w:szCs w:val="22"/>
          <w:lang w:val="lt-LT"/>
        </w:rPr>
        <w:t>merkaptopurinas, E.Coli L</w:t>
      </w:r>
      <w:r w:rsidR="00E63FCA" w:rsidRPr="00F93FFA">
        <w:rPr>
          <w:color w:val="000000"/>
          <w:szCs w:val="22"/>
          <w:lang w:val="lt-LT"/>
        </w:rPr>
        <w:noBreakHyphen/>
      </w:r>
      <w:r w:rsidRPr="00F93FFA">
        <w:rPr>
          <w:color w:val="000000"/>
          <w:szCs w:val="22"/>
          <w:lang w:val="lt-LT"/>
        </w:rPr>
        <w:t>ASP</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L</w:t>
      </w:r>
      <w:r w:rsidR="00E63FCA" w:rsidRPr="00F93FFA">
        <w:rPr>
          <w:color w:val="000000"/>
          <w:szCs w:val="22"/>
          <w:lang w:val="lt-LT"/>
        </w:rPr>
        <w:noBreakHyphen/>
      </w:r>
      <w:r w:rsidRPr="00F93FFA">
        <w:rPr>
          <w:color w:val="000000"/>
          <w:szCs w:val="22"/>
          <w:lang w:val="lt-LT"/>
        </w:rPr>
        <w:t>asparaginazė, PEG</w:t>
      </w:r>
      <w:r w:rsidR="00E63FCA" w:rsidRPr="00F93FFA">
        <w:rPr>
          <w:color w:val="000000"/>
          <w:szCs w:val="22"/>
          <w:lang w:val="lt-LT"/>
        </w:rPr>
        <w:noBreakHyphen/>
      </w:r>
      <w:r w:rsidRPr="00F93FFA">
        <w:rPr>
          <w:color w:val="000000"/>
          <w:szCs w:val="22"/>
          <w:lang w:val="lt-LT"/>
        </w:rPr>
        <w:t>ASP</w:t>
      </w:r>
      <w:r w:rsidR="00E63FCA" w:rsidRPr="00F93FFA">
        <w:rPr>
          <w:color w:val="000000"/>
          <w:szCs w:val="22"/>
          <w:lang w:val="lt-LT"/>
        </w:rPr>
        <w:t> </w:t>
      </w:r>
      <w:r w:rsidRPr="00F93FFA">
        <w:rPr>
          <w:color w:val="000000"/>
          <w:szCs w:val="22"/>
          <w:lang w:val="lt-LT"/>
        </w:rPr>
        <w:t>=</w:t>
      </w:r>
      <w:r w:rsidR="00E63FCA" w:rsidRPr="00F93FFA">
        <w:rPr>
          <w:color w:val="000000"/>
          <w:szCs w:val="22"/>
          <w:lang w:val="lt-LT"/>
        </w:rPr>
        <w:t> </w:t>
      </w:r>
      <w:r w:rsidRPr="00F93FFA">
        <w:rPr>
          <w:color w:val="000000"/>
          <w:szCs w:val="22"/>
          <w:lang w:val="lt-LT"/>
        </w:rPr>
        <w:t>PEG asparaginazė, MESNA</w:t>
      </w:r>
      <w:r w:rsidR="0008715F" w:rsidRPr="00F93FFA">
        <w:rPr>
          <w:color w:val="000000"/>
          <w:szCs w:val="22"/>
          <w:lang w:val="lt-LT"/>
        </w:rPr>
        <w:t> </w:t>
      </w:r>
      <w:r w:rsidRPr="00F93FFA">
        <w:rPr>
          <w:color w:val="000000"/>
          <w:szCs w:val="22"/>
          <w:lang w:val="lt-LT"/>
        </w:rPr>
        <w:t>=</w:t>
      </w:r>
      <w:r w:rsidR="0008715F" w:rsidRPr="00F93FFA">
        <w:rPr>
          <w:color w:val="000000"/>
          <w:szCs w:val="22"/>
          <w:lang w:val="lt-LT"/>
        </w:rPr>
        <w:t> </w:t>
      </w:r>
      <w:r w:rsidRPr="00F93FFA">
        <w:rPr>
          <w:color w:val="000000"/>
          <w:szCs w:val="22"/>
          <w:lang w:val="lt-LT"/>
        </w:rPr>
        <w:t>2</w:t>
      </w:r>
      <w:r w:rsidR="0008715F" w:rsidRPr="00F93FFA">
        <w:rPr>
          <w:color w:val="000000"/>
          <w:szCs w:val="22"/>
          <w:lang w:val="lt-LT"/>
        </w:rPr>
        <w:noBreakHyphen/>
      </w:r>
      <w:r w:rsidRPr="00F93FFA">
        <w:rPr>
          <w:color w:val="000000"/>
          <w:szCs w:val="22"/>
          <w:lang w:val="lt-LT"/>
        </w:rPr>
        <w:t>merkaptoetano natrio sulfonatas, iii</w:t>
      </w:r>
      <w:r w:rsidR="0008715F" w:rsidRPr="00F93FFA">
        <w:rPr>
          <w:color w:val="000000"/>
          <w:szCs w:val="22"/>
          <w:lang w:val="lt-LT"/>
        </w:rPr>
        <w:t> </w:t>
      </w:r>
      <w:r w:rsidRPr="00F93FFA">
        <w:rPr>
          <w:color w:val="000000"/>
          <w:szCs w:val="22"/>
          <w:lang w:val="lt-LT"/>
        </w:rPr>
        <w:t>=</w:t>
      </w:r>
      <w:r w:rsidR="0008715F" w:rsidRPr="00F93FFA">
        <w:rPr>
          <w:color w:val="000000"/>
          <w:szCs w:val="22"/>
          <w:lang w:val="lt-LT"/>
        </w:rPr>
        <w:t> </w:t>
      </w:r>
      <w:r w:rsidRPr="00F93FFA">
        <w:rPr>
          <w:color w:val="000000"/>
          <w:szCs w:val="22"/>
          <w:lang w:val="lt-LT"/>
        </w:rPr>
        <w:t>arba kol MTX koncentracija bus &lt; 0,1 µM,</w:t>
      </w:r>
      <w:r w:rsidRPr="00F93FFA">
        <w:rPr>
          <w:color w:val="000000"/>
          <w:lang w:val="lt-LT"/>
        </w:rPr>
        <w:t xml:space="preserve"> q6h</w:t>
      </w:r>
      <w:r w:rsidR="0008715F" w:rsidRPr="00F93FFA">
        <w:rPr>
          <w:color w:val="000000"/>
          <w:lang w:val="lt-LT"/>
        </w:rPr>
        <w:t> </w:t>
      </w:r>
      <w:r w:rsidRPr="00F93FFA">
        <w:rPr>
          <w:color w:val="000000"/>
          <w:lang w:val="lt-LT"/>
        </w:rPr>
        <w:t>=</w:t>
      </w:r>
      <w:r w:rsidR="0008715F" w:rsidRPr="00F93FFA">
        <w:rPr>
          <w:color w:val="000000"/>
          <w:lang w:val="lt-LT"/>
        </w:rPr>
        <w:t> </w:t>
      </w:r>
      <w:r w:rsidRPr="00F93FFA">
        <w:rPr>
          <w:color w:val="000000"/>
          <w:lang w:val="lt-LT"/>
        </w:rPr>
        <w:t>kas 6 valandas,</w:t>
      </w:r>
      <w:r w:rsidRPr="00F93FFA">
        <w:rPr>
          <w:color w:val="000000"/>
          <w:szCs w:val="22"/>
          <w:lang w:val="lt-LT"/>
        </w:rPr>
        <w:t xml:space="preserve"> Gy</w:t>
      </w:r>
      <w:r w:rsidR="0008715F" w:rsidRPr="00F93FFA">
        <w:rPr>
          <w:color w:val="000000"/>
          <w:szCs w:val="22"/>
          <w:lang w:val="lt-LT"/>
        </w:rPr>
        <w:t> </w:t>
      </w:r>
      <w:r w:rsidRPr="00F93FFA">
        <w:rPr>
          <w:color w:val="000000"/>
          <w:szCs w:val="22"/>
          <w:lang w:val="lt-LT"/>
        </w:rPr>
        <w:t>=</w:t>
      </w:r>
      <w:r w:rsidR="0008715F" w:rsidRPr="00F93FFA">
        <w:rPr>
          <w:color w:val="000000"/>
          <w:szCs w:val="22"/>
          <w:lang w:val="lt-LT"/>
        </w:rPr>
        <w:t> </w:t>
      </w:r>
      <w:r w:rsidRPr="00F93FFA">
        <w:rPr>
          <w:color w:val="000000"/>
          <w:szCs w:val="22"/>
          <w:lang w:val="lt-LT"/>
        </w:rPr>
        <w:t>Grėjus.</w:t>
      </w:r>
    </w:p>
    <w:p w14:paraId="42999ECC" w14:textId="77777777" w:rsidR="003646A0" w:rsidRPr="00F93FFA" w:rsidRDefault="003646A0" w:rsidP="00DE16D0">
      <w:pPr>
        <w:pStyle w:val="EndnoteText"/>
        <w:widowControl w:val="0"/>
        <w:jc w:val="both"/>
        <w:rPr>
          <w:color w:val="000000"/>
          <w:sz w:val="20"/>
          <w:lang w:val="lt-LT"/>
        </w:rPr>
      </w:pPr>
    </w:p>
    <w:p w14:paraId="1A6DC9B5" w14:textId="77777777" w:rsidR="003646A0" w:rsidRPr="00F93FFA" w:rsidRDefault="003646A0" w:rsidP="00DE16D0">
      <w:pPr>
        <w:pStyle w:val="EndnoteText"/>
        <w:widowControl w:val="0"/>
        <w:rPr>
          <w:color w:val="000000"/>
          <w:lang w:val="lt-LT"/>
        </w:rPr>
      </w:pPr>
      <w:r w:rsidRPr="00F93FFA">
        <w:rPr>
          <w:color w:val="000000"/>
          <w:szCs w:val="22"/>
          <w:lang w:val="lt-LT"/>
        </w:rPr>
        <w:t>Atliktas AIT07 tyrimas – daugiacentris, atviras, atsitiktinių imčių, II/III fazės tyrimas, į kurį buvo įtraukti 128 pacientai (nuo 1 iki &lt; 18 metų); pacientams buvo skiriamas gydymas imatinibu kartu su chemoterapija. Šio tyrimo metu gauti saugumo duomenys, atrodo, atitinka imatinibo saugumo savybes skiriant Ph+ ŪLL sergantiems pacientams.</w:t>
      </w:r>
    </w:p>
    <w:p w14:paraId="00DFF72E" w14:textId="77777777" w:rsidR="003646A0" w:rsidRPr="00F93FFA" w:rsidRDefault="003646A0" w:rsidP="00DE16D0">
      <w:pPr>
        <w:widowControl w:val="0"/>
        <w:rPr>
          <w:color w:val="000000"/>
          <w:sz w:val="22"/>
          <w:szCs w:val="22"/>
        </w:rPr>
      </w:pPr>
    </w:p>
    <w:p w14:paraId="2B1A4BB2" w14:textId="77777777" w:rsidR="003646A0" w:rsidRPr="00F93FFA" w:rsidRDefault="003646A0" w:rsidP="00DE16D0">
      <w:pPr>
        <w:pStyle w:val="EndnoteText"/>
        <w:widowControl w:val="0"/>
        <w:rPr>
          <w:color w:val="000000"/>
          <w:szCs w:val="22"/>
          <w:lang w:val="lt-LT"/>
        </w:rPr>
      </w:pPr>
      <w:r w:rsidRPr="00F93FFA">
        <w:rPr>
          <w:i/>
          <w:color w:val="000000"/>
          <w:szCs w:val="22"/>
          <w:lang w:val="lt-LT"/>
        </w:rPr>
        <w:t>Recidyvavusi ar refrakterinė Ph+ ŪLL:</w:t>
      </w:r>
      <w:r w:rsidRPr="00F93FFA">
        <w:rPr>
          <w:color w:val="000000"/>
          <w:szCs w:val="22"/>
          <w:lang w:val="lt-LT"/>
        </w:rPr>
        <w:t xml:space="preserve"> 53 pacientams iš 411, kuriuos buvo galima vertinti dėl atsako, sergantiems recidyvuojančia ar refrakterine Ph+ ŪLL, vartojusiems vien tik imatinibą, hematologinio atsako dažnis buvo 30 % (pilno – 9 %), o didžiojo citogenetinio atsako dažnis buvo 23 %. (Reikia pažymėti, kad 353 pacientai iš 411, dalyvavo išplėstinėje gydymo programoje ir nebuvo renkami pirminiai jų atsako duomenys.) Laiko iki progresavimo mediana bendrojoje 411 pacientų, kuriems buvo recidyvavusi ar refrakterinė Ph+ ŪLL, populiacijoje buvo nuo 2,6 iki 3,1 mėnesių, o 401 paciento, kuriuos buvo galima įvertinti, gyvenimo trukmės mediana buvo nuo 4,9 iki 9 mėnesių. Duomenys buvo panašūs, kai analizė buvo pakartota įtraukiant tik 55 metų amžiaus ar vyresnius pacientus.</w:t>
      </w:r>
    </w:p>
    <w:p w14:paraId="2AD6B70B" w14:textId="77777777" w:rsidR="003646A0" w:rsidRPr="00F93FFA" w:rsidRDefault="003646A0" w:rsidP="00DE16D0">
      <w:pPr>
        <w:pStyle w:val="EndnoteText"/>
        <w:widowControl w:val="0"/>
        <w:rPr>
          <w:color w:val="000000"/>
          <w:szCs w:val="22"/>
          <w:u w:val="single"/>
          <w:lang w:val="lt-LT"/>
        </w:rPr>
      </w:pPr>
    </w:p>
    <w:p w14:paraId="0A38FC00" w14:textId="77777777" w:rsidR="003646A0" w:rsidRPr="00F93FFA" w:rsidRDefault="003646A0" w:rsidP="00DE16D0">
      <w:pPr>
        <w:pStyle w:val="EndnoteText"/>
        <w:keepNext/>
        <w:widowControl w:val="0"/>
        <w:rPr>
          <w:color w:val="000000"/>
          <w:szCs w:val="22"/>
          <w:u w:val="single"/>
          <w:lang w:val="lt-LT"/>
        </w:rPr>
      </w:pPr>
      <w:r w:rsidRPr="00F93FFA">
        <w:rPr>
          <w:color w:val="000000"/>
          <w:szCs w:val="22"/>
          <w:u w:val="single"/>
          <w:lang w:val="lt-LT"/>
        </w:rPr>
        <w:t>Klinikiniai MDS ir MPL tyrimai</w:t>
      </w:r>
    </w:p>
    <w:p w14:paraId="47284369" w14:textId="77777777" w:rsidR="009E2F5D" w:rsidRPr="00F93FFA" w:rsidRDefault="003646A0" w:rsidP="00DE16D0">
      <w:pPr>
        <w:pStyle w:val="EndnoteText"/>
        <w:widowControl w:val="0"/>
        <w:tabs>
          <w:tab w:val="clear" w:pos="567"/>
        </w:tabs>
        <w:rPr>
          <w:rFonts w:eastAsia="MS Mincho"/>
          <w:color w:val="000000"/>
          <w:szCs w:val="22"/>
          <w:lang w:val="lt-LT" w:eastAsia="ja-JP"/>
        </w:rPr>
      </w:pPr>
      <w:r w:rsidRPr="00F93FFA">
        <w:rPr>
          <w:color w:val="000000"/>
          <w:szCs w:val="22"/>
          <w:lang w:val="lt-LT"/>
        </w:rPr>
        <w:t xml:space="preserve">Šių ligų gydymo Glivec patirtis yra labai ribota ir remiasi hematologinio ir citogenetinio atsako dažniais. Kontroliuotų klinikinių tyrimų, rodančių klinikinį pranašumą arba padidėjusį išgyvenamumą, neatlikta. </w:t>
      </w:r>
      <w:r w:rsidRPr="00F93FFA">
        <w:rPr>
          <w:rFonts w:eastAsia="MS Mincho"/>
          <w:color w:val="000000"/>
          <w:szCs w:val="22"/>
          <w:lang w:val="lt-LT" w:eastAsia="ja-JP"/>
        </w:rPr>
        <w:t>Viename atvirame, daugiacentriame, II fazės klinikiniame tyrime (tyrimas B2225) buvo tiriamas Glivec efektyvumas įvairioms pacientų, sergančių gyvybei pavojingomis ligomis, susijusiomis su Abl, Kit ar PDGFR baltymų tirozinkinazėmis, grupėms. Tyrime dalyvavo 7 pacientai, sergantys MDS/MPL, kurie buvo gydomi Glivec 400 mg per parą doze. Trys pacientai pasiekė visišką hematologinį atsaką (VHA) ir vienas – dalinį hematologinį atsaką (DHA). Pradinio tyrimo metu trims iš keturių pacientų su nustatytais PDGFR genų pakitimais pasireiškė hematologinis atsakas (2 VHA ir 1 DHA). Šių pacientų amžius svyravo nuo 20 iki 72 metų.</w:t>
      </w:r>
    </w:p>
    <w:p w14:paraId="6EAEE633" w14:textId="77777777" w:rsidR="009E2F5D" w:rsidRPr="00F93FFA" w:rsidRDefault="009E2F5D" w:rsidP="00DE16D0">
      <w:pPr>
        <w:pStyle w:val="EndnoteText"/>
        <w:widowControl w:val="0"/>
        <w:tabs>
          <w:tab w:val="clear" w:pos="567"/>
        </w:tabs>
        <w:rPr>
          <w:rFonts w:eastAsia="MS Mincho"/>
          <w:color w:val="000000"/>
          <w:szCs w:val="22"/>
          <w:lang w:val="lt-LT" w:eastAsia="ja-JP"/>
        </w:rPr>
      </w:pPr>
    </w:p>
    <w:p w14:paraId="46C22CF6" w14:textId="7F0A4F63" w:rsidR="009E2F5D" w:rsidRPr="00F93FFA" w:rsidRDefault="009E2F5D" w:rsidP="00DE16D0">
      <w:pPr>
        <w:pStyle w:val="EndnoteText"/>
        <w:widowControl w:val="0"/>
        <w:tabs>
          <w:tab w:val="clear" w:pos="567"/>
        </w:tabs>
        <w:rPr>
          <w:color w:val="000000"/>
          <w:szCs w:val="22"/>
          <w:lang w:val="lt-LT" w:eastAsia="ja-JP"/>
        </w:rPr>
      </w:pPr>
      <w:r w:rsidRPr="00F93FFA">
        <w:rPr>
          <w:color w:val="000000"/>
          <w:szCs w:val="22"/>
          <w:lang w:val="lt-LT"/>
        </w:rPr>
        <w:t>Duomenų stebėjimo registro (L2401</w:t>
      </w:r>
      <w:r w:rsidR="0008715F" w:rsidRPr="00F93FFA">
        <w:rPr>
          <w:color w:val="000000"/>
          <w:szCs w:val="22"/>
          <w:lang w:val="lt-LT"/>
        </w:rPr>
        <w:t> </w:t>
      </w:r>
      <w:r w:rsidRPr="00F93FFA">
        <w:rPr>
          <w:color w:val="000000"/>
          <w:szCs w:val="22"/>
          <w:lang w:val="lt-LT"/>
        </w:rPr>
        <w:t xml:space="preserve">tyrimo) </w:t>
      </w:r>
      <w:r w:rsidR="00F31E5A" w:rsidRPr="00F93FFA">
        <w:rPr>
          <w:color w:val="000000"/>
          <w:szCs w:val="22"/>
          <w:lang w:val="lt-LT"/>
        </w:rPr>
        <w:t xml:space="preserve">pildymo </w:t>
      </w:r>
      <w:r w:rsidRPr="00F93FFA">
        <w:rPr>
          <w:color w:val="000000"/>
          <w:szCs w:val="22"/>
          <w:lang w:val="lt-LT"/>
        </w:rPr>
        <w:t xml:space="preserve">metu buvo renkami ilgalaikio </w:t>
      </w:r>
      <w:r w:rsidR="00630557" w:rsidRPr="00F93FFA">
        <w:rPr>
          <w:color w:val="000000"/>
          <w:szCs w:val="22"/>
          <w:lang w:val="lt-LT"/>
        </w:rPr>
        <w:t>Glivec</w:t>
      </w:r>
      <w:r w:rsidRPr="00F93FFA">
        <w:rPr>
          <w:color w:val="000000"/>
          <w:szCs w:val="22"/>
          <w:lang w:val="lt-LT"/>
        </w:rPr>
        <w:t xml:space="preserve"> saugumo ir veiksmingumo duomenys pacientams, kuriems nustatyta mieloproliferacinių navikų ir </w:t>
      </w:r>
      <w:r w:rsidRPr="00F93FFA">
        <w:rPr>
          <w:rFonts w:eastAsia="TimesNewRoman"/>
          <w:szCs w:val="22"/>
          <w:lang w:val="lt-LT"/>
        </w:rPr>
        <w:t>PDGFR- β geno pakitimų bei kuriems buvo skiriamas gydymas Glivec.</w:t>
      </w:r>
      <w:r w:rsidRPr="00F93FFA">
        <w:rPr>
          <w:color w:val="000000"/>
          <w:szCs w:val="22"/>
          <w:lang w:val="lt-LT"/>
        </w:rPr>
        <w:t xml:space="preserve"> Į šį registrą buvo įtraukti 23 pacientai, ir jiems skirtos Glivec paros dozės mediana buvo 264 mg (</w:t>
      </w:r>
      <w:r w:rsidR="008360C6" w:rsidRPr="00F93FFA">
        <w:rPr>
          <w:color w:val="000000"/>
          <w:szCs w:val="22"/>
          <w:lang w:val="lt-LT"/>
        </w:rPr>
        <w:t>s</w:t>
      </w:r>
      <w:r w:rsidRPr="00F93FFA">
        <w:rPr>
          <w:color w:val="000000"/>
          <w:szCs w:val="22"/>
          <w:lang w:val="lt-LT"/>
        </w:rPr>
        <w:t>vyravo nuo 100 mg iki 400 mg), o gydymo trukmės mediana buvo 7,2 metų (svyravo nuo 0,1 metų iki 12,7 metų). Kadangi tai buvo duomenų stebėjimo pobūdžio registras</w:t>
      </w:r>
      <w:r w:rsidRPr="00F93FFA">
        <w:rPr>
          <w:rFonts w:eastAsia="TimesNewRoman"/>
          <w:szCs w:val="22"/>
          <w:lang w:val="lt-LT"/>
        </w:rPr>
        <w:t xml:space="preserve">, hematologinio, citogenetinio ir molekulinio vertinimo duomenys buvo žinomi, atitinkamai, </w:t>
      </w:r>
      <w:r w:rsidRPr="00F93FFA">
        <w:rPr>
          <w:color w:val="000000"/>
          <w:szCs w:val="22"/>
          <w:lang w:val="lt-LT"/>
        </w:rPr>
        <w:t xml:space="preserve">22, 9 ir 17 iš 23 įtrauktų pacientų. </w:t>
      </w:r>
      <w:r w:rsidR="008360C6" w:rsidRPr="00F93FFA">
        <w:rPr>
          <w:color w:val="000000"/>
          <w:szCs w:val="22"/>
          <w:lang w:val="lt-LT"/>
        </w:rPr>
        <w:t>Atsargiai tariant, kad</w:t>
      </w:r>
      <w:r w:rsidRPr="00F93FFA">
        <w:rPr>
          <w:color w:val="000000"/>
          <w:szCs w:val="22"/>
          <w:lang w:val="lt-LT"/>
        </w:rPr>
        <w:t xml:space="preserve"> </w:t>
      </w:r>
      <w:r w:rsidR="008360C6" w:rsidRPr="00F93FFA">
        <w:rPr>
          <w:color w:val="000000"/>
          <w:szCs w:val="22"/>
          <w:lang w:val="lt-LT"/>
        </w:rPr>
        <w:t>tiems pacientams, kurių duomenų neturima, gydymo atsako nebuvo gauta</w:t>
      </w:r>
      <w:r w:rsidRPr="00F93FFA">
        <w:rPr>
          <w:color w:val="000000"/>
          <w:szCs w:val="22"/>
          <w:lang w:val="lt-LT"/>
        </w:rPr>
        <w:t xml:space="preserve">, </w:t>
      </w:r>
      <w:r w:rsidR="008360C6" w:rsidRPr="00F93FFA">
        <w:rPr>
          <w:color w:val="000000"/>
          <w:szCs w:val="22"/>
          <w:lang w:val="lt-LT"/>
        </w:rPr>
        <w:t xml:space="preserve">atitinkamai, VHA buvo pasiektas </w:t>
      </w:r>
      <w:r w:rsidRPr="00F93FFA">
        <w:rPr>
          <w:color w:val="000000"/>
          <w:szCs w:val="22"/>
          <w:lang w:val="lt-LT"/>
        </w:rPr>
        <w:t>20</w:t>
      </w:r>
      <w:r w:rsidR="008360C6" w:rsidRPr="00F93FFA">
        <w:rPr>
          <w:color w:val="000000"/>
          <w:szCs w:val="22"/>
          <w:lang w:val="lt-LT"/>
        </w:rPr>
        <w:t xml:space="preserve"> iš </w:t>
      </w:r>
      <w:r w:rsidRPr="00F93FFA">
        <w:rPr>
          <w:color w:val="000000"/>
          <w:szCs w:val="22"/>
          <w:lang w:val="lt-LT"/>
        </w:rPr>
        <w:t>23 (87</w:t>
      </w:r>
      <w:r w:rsidR="008360C6" w:rsidRPr="00F93FFA">
        <w:rPr>
          <w:color w:val="000000"/>
          <w:szCs w:val="22"/>
          <w:lang w:val="lt-LT"/>
        </w:rPr>
        <w:t> </w:t>
      </w:r>
      <w:r w:rsidRPr="00F93FFA">
        <w:rPr>
          <w:color w:val="000000"/>
          <w:szCs w:val="22"/>
          <w:lang w:val="lt-LT"/>
        </w:rPr>
        <w:t>%) pa</w:t>
      </w:r>
      <w:r w:rsidR="008360C6" w:rsidRPr="00F93FFA">
        <w:rPr>
          <w:color w:val="000000"/>
          <w:szCs w:val="22"/>
          <w:lang w:val="lt-LT"/>
        </w:rPr>
        <w:t>cientų</w:t>
      </w:r>
      <w:r w:rsidRPr="00F93FFA">
        <w:rPr>
          <w:color w:val="000000"/>
          <w:szCs w:val="22"/>
          <w:lang w:val="lt-LT"/>
        </w:rPr>
        <w:t xml:space="preserve">, CCyR </w:t>
      </w:r>
      <w:r w:rsidR="008360C6" w:rsidRPr="00F93FFA">
        <w:rPr>
          <w:color w:val="000000"/>
          <w:szCs w:val="22"/>
          <w:lang w:val="lt-LT"/>
        </w:rPr>
        <w:t xml:space="preserve">atsakas pasiektas </w:t>
      </w:r>
      <w:r w:rsidRPr="00F93FFA">
        <w:rPr>
          <w:color w:val="000000"/>
          <w:szCs w:val="22"/>
          <w:lang w:val="lt-LT"/>
        </w:rPr>
        <w:t>9</w:t>
      </w:r>
      <w:r w:rsidR="008360C6" w:rsidRPr="00F93FFA">
        <w:rPr>
          <w:color w:val="000000"/>
          <w:szCs w:val="22"/>
          <w:lang w:val="lt-LT"/>
        </w:rPr>
        <w:t xml:space="preserve"> iš </w:t>
      </w:r>
      <w:r w:rsidRPr="00F93FFA">
        <w:rPr>
          <w:color w:val="000000"/>
          <w:szCs w:val="22"/>
          <w:lang w:val="lt-LT"/>
        </w:rPr>
        <w:t>23 (39</w:t>
      </w:r>
      <w:r w:rsidR="008360C6" w:rsidRPr="00F93FFA">
        <w:rPr>
          <w:color w:val="000000"/>
          <w:szCs w:val="22"/>
          <w:lang w:val="lt-LT"/>
        </w:rPr>
        <w:t>,</w:t>
      </w:r>
      <w:r w:rsidRPr="00F93FFA">
        <w:rPr>
          <w:color w:val="000000"/>
          <w:szCs w:val="22"/>
          <w:lang w:val="lt-LT"/>
        </w:rPr>
        <w:t>1</w:t>
      </w:r>
      <w:r w:rsidR="008360C6" w:rsidRPr="00F93FFA">
        <w:rPr>
          <w:color w:val="000000"/>
          <w:szCs w:val="22"/>
          <w:lang w:val="lt-LT"/>
        </w:rPr>
        <w:t> </w:t>
      </w:r>
      <w:r w:rsidRPr="00F93FFA">
        <w:rPr>
          <w:color w:val="000000"/>
          <w:szCs w:val="22"/>
          <w:lang w:val="lt-LT"/>
        </w:rPr>
        <w:t>%) pa</w:t>
      </w:r>
      <w:r w:rsidR="008360C6" w:rsidRPr="00F93FFA">
        <w:rPr>
          <w:color w:val="000000"/>
          <w:szCs w:val="22"/>
          <w:lang w:val="lt-LT"/>
        </w:rPr>
        <w:t>cientų</w:t>
      </w:r>
      <w:r w:rsidRPr="00F93FFA">
        <w:rPr>
          <w:color w:val="000000"/>
          <w:szCs w:val="22"/>
          <w:lang w:val="lt-LT"/>
        </w:rPr>
        <w:t xml:space="preserve">, </w:t>
      </w:r>
      <w:r w:rsidR="008360C6" w:rsidRPr="00F93FFA">
        <w:rPr>
          <w:color w:val="000000"/>
          <w:szCs w:val="22"/>
          <w:lang w:val="lt-LT"/>
        </w:rPr>
        <w:t>o</w:t>
      </w:r>
      <w:r w:rsidRPr="00F93FFA">
        <w:rPr>
          <w:color w:val="000000"/>
          <w:szCs w:val="22"/>
          <w:lang w:val="lt-LT"/>
        </w:rPr>
        <w:t xml:space="preserve"> </w:t>
      </w:r>
      <w:r w:rsidR="008360C6" w:rsidRPr="00F93FFA">
        <w:rPr>
          <w:color w:val="000000"/>
          <w:szCs w:val="22"/>
          <w:lang w:val="lt-LT"/>
        </w:rPr>
        <w:t xml:space="preserve">molekulinis atsakas – </w:t>
      </w:r>
      <w:r w:rsidRPr="00F93FFA">
        <w:rPr>
          <w:color w:val="000000"/>
          <w:szCs w:val="22"/>
          <w:lang w:val="lt-LT"/>
        </w:rPr>
        <w:t>11</w:t>
      </w:r>
      <w:r w:rsidR="008360C6" w:rsidRPr="00F93FFA">
        <w:rPr>
          <w:color w:val="000000"/>
          <w:szCs w:val="22"/>
          <w:lang w:val="lt-LT"/>
        </w:rPr>
        <w:t xml:space="preserve"> iš </w:t>
      </w:r>
      <w:r w:rsidRPr="00F93FFA">
        <w:rPr>
          <w:color w:val="000000"/>
          <w:szCs w:val="22"/>
          <w:lang w:val="lt-LT"/>
        </w:rPr>
        <w:t>23 (47</w:t>
      </w:r>
      <w:r w:rsidR="008360C6" w:rsidRPr="00F93FFA">
        <w:rPr>
          <w:color w:val="000000"/>
          <w:szCs w:val="22"/>
          <w:lang w:val="lt-LT"/>
        </w:rPr>
        <w:t>,</w:t>
      </w:r>
      <w:r w:rsidRPr="00F93FFA">
        <w:rPr>
          <w:color w:val="000000"/>
          <w:szCs w:val="22"/>
          <w:lang w:val="lt-LT"/>
        </w:rPr>
        <w:t>8</w:t>
      </w:r>
      <w:r w:rsidR="008360C6" w:rsidRPr="00F93FFA">
        <w:rPr>
          <w:color w:val="000000"/>
          <w:szCs w:val="22"/>
          <w:lang w:val="lt-LT"/>
        </w:rPr>
        <w:t> </w:t>
      </w:r>
      <w:r w:rsidRPr="00F93FFA">
        <w:rPr>
          <w:color w:val="000000"/>
          <w:szCs w:val="22"/>
          <w:lang w:val="lt-LT"/>
        </w:rPr>
        <w:t>%) pa</w:t>
      </w:r>
      <w:r w:rsidR="008360C6" w:rsidRPr="00F93FFA">
        <w:rPr>
          <w:color w:val="000000"/>
          <w:szCs w:val="22"/>
          <w:lang w:val="lt-LT"/>
        </w:rPr>
        <w:t>cientų</w:t>
      </w:r>
      <w:r w:rsidRPr="00F93FFA">
        <w:rPr>
          <w:color w:val="000000"/>
          <w:szCs w:val="22"/>
          <w:lang w:val="lt-LT"/>
        </w:rPr>
        <w:t xml:space="preserve">. </w:t>
      </w:r>
      <w:r w:rsidR="008360C6" w:rsidRPr="00F93FFA">
        <w:rPr>
          <w:color w:val="000000"/>
          <w:szCs w:val="22"/>
          <w:lang w:val="lt-LT"/>
        </w:rPr>
        <w:t>Kai atsako dažnis buvo apskaičiuotas tiems pacientams, kuriems buvo žinomas bent vienas pagrįstas įvertinimas</w:t>
      </w:r>
      <w:r w:rsidRPr="00F93FFA">
        <w:rPr>
          <w:color w:val="000000"/>
          <w:szCs w:val="22"/>
          <w:lang w:val="lt-LT"/>
        </w:rPr>
        <w:t xml:space="preserve">, </w:t>
      </w:r>
      <w:r w:rsidR="008360C6" w:rsidRPr="00F93FFA">
        <w:rPr>
          <w:color w:val="000000"/>
          <w:szCs w:val="22"/>
          <w:lang w:val="lt-LT"/>
        </w:rPr>
        <w:t xml:space="preserve">VHA, </w:t>
      </w:r>
      <w:r w:rsidRPr="00F93FFA">
        <w:rPr>
          <w:color w:val="000000"/>
          <w:szCs w:val="22"/>
          <w:lang w:val="lt-LT"/>
        </w:rPr>
        <w:t xml:space="preserve">CCyR </w:t>
      </w:r>
      <w:r w:rsidR="008360C6" w:rsidRPr="00F93FFA">
        <w:rPr>
          <w:color w:val="000000"/>
          <w:szCs w:val="22"/>
          <w:lang w:val="lt-LT"/>
        </w:rPr>
        <w:t xml:space="preserve">ir molekulinio atsakų dažniai, atitinkamai, </w:t>
      </w:r>
      <w:r w:rsidR="00BF6B59" w:rsidRPr="00F93FFA">
        <w:rPr>
          <w:color w:val="000000"/>
          <w:szCs w:val="22"/>
          <w:lang w:val="lt-LT"/>
        </w:rPr>
        <w:t>buvo</w:t>
      </w:r>
      <w:r w:rsidR="00BF6B59" w:rsidRPr="00F93FFA" w:rsidDel="00897244">
        <w:rPr>
          <w:color w:val="000000"/>
          <w:szCs w:val="22"/>
          <w:lang w:val="lt-LT"/>
        </w:rPr>
        <w:t xml:space="preserve"> </w:t>
      </w:r>
      <w:r w:rsidR="00897244" w:rsidRPr="00F93FFA">
        <w:rPr>
          <w:color w:val="000000"/>
          <w:szCs w:val="22"/>
          <w:lang w:val="lt-LT"/>
        </w:rPr>
        <w:t>20</w:t>
      </w:r>
      <w:r w:rsidR="008360C6" w:rsidRPr="00F93FFA">
        <w:rPr>
          <w:color w:val="000000"/>
          <w:szCs w:val="22"/>
          <w:lang w:val="lt-LT"/>
        </w:rPr>
        <w:t xml:space="preserve"> iš </w:t>
      </w:r>
      <w:r w:rsidRPr="00F93FFA">
        <w:rPr>
          <w:color w:val="000000"/>
          <w:szCs w:val="22"/>
          <w:lang w:val="lt-LT"/>
        </w:rPr>
        <w:t>22 (90</w:t>
      </w:r>
      <w:r w:rsidR="008360C6" w:rsidRPr="00F93FFA">
        <w:rPr>
          <w:color w:val="000000"/>
          <w:szCs w:val="22"/>
          <w:lang w:val="lt-LT"/>
        </w:rPr>
        <w:t>,</w:t>
      </w:r>
      <w:r w:rsidRPr="00F93FFA">
        <w:rPr>
          <w:color w:val="000000"/>
          <w:szCs w:val="22"/>
          <w:lang w:val="lt-LT"/>
        </w:rPr>
        <w:t>9</w:t>
      </w:r>
      <w:r w:rsidR="008360C6" w:rsidRPr="00F93FFA">
        <w:rPr>
          <w:color w:val="000000"/>
          <w:szCs w:val="22"/>
          <w:lang w:val="lt-LT"/>
        </w:rPr>
        <w:t> </w:t>
      </w:r>
      <w:r w:rsidRPr="00F93FFA">
        <w:rPr>
          <w:color w:val="000000"/>
          <w:szCs w:val="22"/>
          <w:lang w:val="lt-LT"/>
        </w:rPr>
        <w:t>%), 9</w:t>
      </w:r>
      <w:r w:rsidR="008360C6" w:rsidRPr="00F93FFA">
        <w:rPr>
          <w:color w:val="000000"/>
          <w:szCs w:val="22"/>
          <w:lang w:val="lt-LT"/>
        </w:rPr>
        <w:t xml:space="preserve"> iš </w:t>
      </w:r>
      <w:r w:rsidRPr="00F93FFA">
        <w:rPr>
          <w:color w:val="000000"/>
          <w:szCs w:val="22"/>
          <w:lang w:val="lt-LT"/>
        </w:rPr>
        <w:t>9 (100</w:t>
      </w:r>
      <w:r w:rsidR="008360C6" w:rsidRPr="00F93FFA">
        <w:rPr>
          <w:color w:val="000000"/>
          <w:szCs w:val="22"/>
          <w:lang w:val="lt-LT"/>
        </w:rPr>
        <w:t> </w:t>
      </w:r>
      <w:r w:rsidRPr="00F93FFA">
        <w:rPr>
          <w:color w:val="000000"/>
          <w:szCs w:val="22"/>
          <w:lang w:val="lt-LT"/>
        </w:rPr>
        <w:t xml:space="preserve">%) </w:t>
      </w:r>
      <w:r w:rsidR="008360C6" w:rsidRPr="00F93FFA">
        <w:rPr>
          <w:color w:val="000000"/>
          <w:szCs w:val="22"/>
          <w:lang w:val="lt-LT"/>
        </w:rPr>
        <w:t>ir</w:t>
      </w:r>
      <w:r w:rsidRPr="00F93FFA">
        <w:rPr>
          <w:color w:val="000000"/>
          <w:szCs w:val="22"/>
          <w:lang w:val="lt-LT"/>
        </w:rPr>
        <w:t xml:space="preserve"> 11</w:t>
      </w:r>
      <w:r w:rsidR="008360C6" w:rsidRPr="00F93FFA">
        <w:rPr>
          <w:color w:val="000000"/>
          <w:szCs w:val="22"/>
          <w:lang w:val="lt-LT"/>
        </w:rPr>
        <w:t xml:space="preserve"> iš </w:t>
      </w:r>
      <w:r w:rsidRPr="00F93FFA">
        <w:rPr>
          <w:color w:val="000000"/>
          <w:szCs w:val="22"/>
          <w:lang w:val="lt-LT"/>
        </w:rPr>
        <w:t>17 (64</w:t>
      </w:r>
      <w:r w:rsidR="008360C6" w:rsidRPr="00F93FFA">
        <w:rPr>
          <w:color w:val="000000"/>
          <w:szCs w:val="22"/>
          <w:lang w:val="lt-LT"/>
        </w:rPr>
        <w:t>,</w:t>
      </w:r>
      <w:r w:rsidRPr="00F93FFA">
        <w:rPr>
          <w:color w:val="000000"/>
          <w:szCs w:val="22"/>
          <w:lang w:val="lt-LT"/>
        </w:rPr>
        <w:t>7</w:t>
      </w:r>
      <w:r w:rsidR="008360C6" w:rsidRPr="00F93FFA">
        <w:rPr>
          <w:color w:val="000000"/>
          <w:szCs w:val="22"/>
          <w:lang w:val="lt-LT"/>
        </w:rPr>
        <w:t> </w:t>
      </w:r>
      <w:r w:rsidRPr="00F93FFA">
        <w:rPr>
          <w:color w:val="000000"/>
          <w:szCs w:val="22"/>
          <w:lang w:val="lt-LT"/>
        </w:rPr>
        <w:t>%).</w:t>
      </w:r>
    </w:p>
    <w:p w14:paraId="2243ABB7" w14:textId="77777777" w:rsidR="009E2F5D" w:rsidRPr="00F93FFA" w:rsidRDefault="009E2F5D" w:rsidP="00DE16D0">
      <w:pPr>
        <w:pStyle w:val="EndnoteText"/>
        <w:widowControl w:val="0"/>
        <w:tabs>
          <w:tab w:val="clear" w:pos="567"/>
        </w:tabs>
        <w:rPr>
          <w:rFonts w:eastAsia="MS Mincho"/>
          <w:color w:val="000000"/>
          <w:szCs w:val="22"/>
          <w:lang w:val="lt-LT" w:eastAsia="ja-JP"/>
        </w:rPr>
      </w:pPr>
    </w:p>
    <w:p w14:paraId="191F56DC" w14:textId="499483FF" w:rsidR="003646A0" w:rsidRPr="00F93FFA" w:rsidRDefault="003646A0" w:rsidP="00DE16D0">
      <w:pPr>
        <w:pStyle w:val="EndnoteText"/>
        <w:widowControl w:val="0"/>
        <w:tabs>
          <w:tab w:val="clear" w:pos="567"/>
        </w:tabs>
        <w:rPr>
          <w:rFonts w:eastAsia="MS Mincho"/>
          <w:color w:val="000000"/>
          <w:szCs w:val="22"/>
          <w:lang w:val="lt-LT" w:eastAsia="ja-JP"/>
        </w:rPr>
      </w:pPr>
      <w:r w:rsidRPr="00F93FFA">
        <w:rPr>
          <w:rFonts w:eastAsia="MS Mincho"/>
          <w:color w:val="000000"/>
          <w:szCs w:val="22"/>
          <w:lang w:val="lt-LT" w:eastAsia="ja-JP"/>
        </w:rPr>
        <w:t>Be to, kiti 24 pacientai, sergantys MDS/MPL, buvo aprašyti 13 straipsnių. 21 pacientas buvo gydomas Glivec 400 mg doze, kiti 3 pacientai gavo mažesnes dozes. Vienuolikai pacientų buvo nustatyti PDGF genų pakitimai, 9 iš jų pasiekė VHA ir 1 DHA. Šių pacientų amžius svyravo nuo 2 iki 79 metų. Remiantis atnaujinta informacija apie 6 iš 11 pacientų nesename straipsnyje, paaiškėjo, jog jiems visiems citogenetinė remisija išliko (trukmė 32</w:t>
      </w:r>
      <w:r w:rsidRPr="00F93FFA">
        <w:rPr>
          <w:rFonts w:eastAsia="MS Mincho"/>
          <w:color w:val="000000"/>
          <w:szCs w:val="22"/>
          <w:lang w:val="lt-LT" w:eastAsia="ja-JP"/>
        </w:rPr>
        <w:noBreakHyphen/>
        <w:t xml:space="preserve">38 mėnesiai). Tame pačiame straipsnyje aprašomi 12 pacientų, sergančių MDS/MPL su PDGFR genų pakitimais (5 pacientai iš B2225 tyrimo) ilgalaikio </w:t>
      </w:r>
      <w:r w:rsidRPr="00F93FFA">
        <w:rPr>
          <w:rFonts w:eastAsia="MS Mincho"/>
          <w:color w:val="000000"/>
          <w:szCs w:val="22"/>
          <w:lang w:val="lt-LT" w:eastAsia="ja-JP"/>
        </w:rPr>
        <w:lastRenderedPageBreak/>
        <w:t>stebėjimo duomenys. Šie pacientai gavo Glivec vidutiniškai 47 mėnesius (ribos 24 dienos – 60 mėnesių). 6 iš šių pacientų dabar stebimi ilgiau kaip 4 metus. Vienuolika pacientų pasiekė greitą VHA; dešimčiai visiškai išnyko citogenetiniai pokyčiai ir patikrinus RT</w:t>
      </w:r>
      <w:r w:rsidR="0008715F" w:rsidRPr="00F93FFA">
        <w:rPr>
          <w:rFonts w:eastAsia="MS Mincho"/>
          <w:color w:val="000000"/>
          <w:szCs w:val="22"/>
          <w:lang w:val="lt-LT" w:eastAsia="ja-JP"/>
        </w:rPr>
        <w:noBreakHyphen/>
      </w:r>
      <w:r w:rsidRPr="00F93FFA">
        <w:rPr>
          <w:rFonts w:eastAsia="MS Mincho"/>
          <w:color w:val="000000"/>
          <w:szCs w:val="22"/>
          <w:lang w:val="lt-LT" w:eastAsia="ja-JP"/>
        </w:rPr>
        <w:t>PGR, sumažėjo arba išnyko susijungusių transkriptų. Hematologinis ir citogenetinis atsakai buvo atitinkamai pastovūs vidutiniškai 49 mėnesius (ribos 19</w:t>
      </w:r>
      <w:r w:rsidRPr="00F93FFA">
        <w:rPr>
          <w:rFonts w:eastAsia="MS Mincho"/>
          <w:color w:val="000000"/>
          <w:szCs w:val="22"/>
          <w:lang w:val="lt-LT" w:eastAsia="ja-JP"/>
        </w:rPr>
        <w:noBreakHyphen/>
        <w:t>60) ir 47 mėnesius (ribos 16</w:t>
      </w:r>
      <w:r w:rsidRPr="00F93FFA">
        <w:rPr>
          <w:rFonts w:eastAsia="MS Mincho"/>
          <w:color w:val="000000"/>
          <w:szCs w:val="22"/>
          <w:lang w:val="lt-LT" w:eastAsia="ja-JP"/>
        </w:rPr>
        <w:noBreakHyphen/>
        <w:t>59). Patvirtinus diagnozę, bendras išgyvenamumas yra 65 mėnesiai (ribos 25</w:t>
      </w:r>
      <w:r w:rsidRPr="00F93FFA">
        <w:rPr>
          <w:rFonts w:eastAsia="MS Mincho"/>
          <w:color w:val="000000"/>
          <w:szCs w:val="22"/>
          <w:lang w:val="lt-LT" w:eastAsia="ja-JP"/>
        </w:rPr>
        <w:noBreakHyphen/>
        <w:t>234). Glivec paskyrimas pacientams be genetinių translokacijų bendrai pagerėjimo nesukėlė.</w:t>
      </w:r>
    </w:p>
    <w:p w14:paraId="6254056B" w14:textId="77777777" w:rsidR="003646A0" w:rsidRPr="00F93FFA" w:rsidRDefault="003646A0" w:rsidP="00DE16D0">
      <w:pPr>
        <w:pStyle w:val="EndnoteText"/>
        <w:widowControl w:val="0"/>
        <w:tabs>
          <w:tab w:val="clear" w:pos="567"/>
        </w:tabs>
        <w:rPr>
          <w:rFonts w:eastAsia="MS Mincho"/>
          <w:color w:val="000000"/>
          <w:szCs w:val="22"/>
          <w:lang w:val="lt-LT" w:eastAsia="ja-JP"/>
        </w:rPr>
      </w:pPr>
    </w:p>
    <w:p w14:paraId="4C60CF5C" w14:textId="77777777" w:rsidR="003646A0" w:rsidRPr="00F93FFA" w:rsidRDefault="003646A0" w:rsidP="00DE16D0">
      <w:pPr>
        <w:pStyle w:val="EndnoteText"/>
        <w:widowControl w:val="0"/>
        <w:tabs>
          <w:tab w:val="clear" w:pos="567"/>
        </w:tabs>
        <w:rPr>
          <w:rFonts w:eastAsia="MS Mincho"/>
          <w:color w:val="000000"/>
          <w:szCs w:val="22"/>
          <w:lang w:val="lt-LT" w:eastAsia="ja-JP"/>
        </w:rPr>
      </w:pPr>
      <w:r w:rsidRPr="00F93FFA">
        <w:rPr>
          <w:rFonts w:eastAsia="MS Mincho"/>
          <w:color w:val="000000"/>
          <w:szCs w:val="22"/>
          <w:lang w:val="lt-LT" w:eastAsia="ja-JP"/>
        </w:rPr>
        <w:t>Kontroliuojamųjų klinikinių tyrimų su MDS ir MPL sergančiais vaikais neatlikta. 4 literatūros šaltiniuose aprašyti 5 pacientai, sirgę su PDGFR genų pakitimais susijusiomis MDS/MPL. Šių pacientų amžius svyravo nuo 3 mėnesių iki 4 metų, jiems buvo skiriama 50 mg per parą imatinibo dozė arba nuo 92,5 mg/m</w:t>
      </w:r>
      <w:r w:rsidRPr="00F93FFA">
        <w:rPr>
          <w:rFonts w:eastAsia="MS Mincho"/>
          <w:color w:val="000000"/>
          <w:szCs w:val="22"/>
          <w:vertAlign w:val="superscript"/>
          <w:lang w:val="lt-LT" w:eastAsia="ja-JP"/>
        </w:rPr>
        <w:t>2</w:t>
      </w:r>
      <w:r w:rsidRPr="00F93FFA">
        <w:rPr>
          <w:rFonts w:eastAsia="MS Mincho"/>
          <w:color w:val="000000"/>
          <w:szCs w:val="22"/>
          <w:lang w:val="lt-LT" w:eastAsia="ja-JP"/>
        </w:rPr>
        <w:t xml:space="preserve"> iki 340 mg/m</w:t>
      </w:r>
      <w:r w:rsidRPr="00F93FFA">
        <w:rPr>
          <w:rFonts w:eastAsia="MS Mincho"/>
          <w:color w:val="000000"/>
          <w:szCs w:val="22"/>
          <w:vertAlign w:val="superscript"/>
          <w:lang w:val="lt-LT" w:eastAsia="ja-JP"/>
        </w:rPr>
        <w:t>2</w:t>
      </w:r>
      <w:r w:rsidRPr="00F93FFA">
        <w:rPr>
          <w:rFonts w:eastAsia="MS Mincho"/>
          <w:color w:val="000000"/>
          <w:szCs w:val="22"/>
          <w:lang w:val="lt-LT" w:eastAsia="ja-JP"/>
        </w:rPr>
        <w:t xml:space="preserve"> kūno paviršiaus ploto per parą dozė. Visiems pacientams pasiektas visiškas hematologinis atsakas, citogenetinis atsakas ir (arba) klinikinis atsakas.</w:t>
      </w:r>
    </w:p>
    <w:p w14:paraId="38FFCF12" w14:textId="77777777" w:rsidR="003646A0" w:rsidRPr="00F93FFA" w:rsidRDefault="003646A0" w:rsidP="00DE16D0">
      <w:pPr>
        <w:widowControl w:val="0"/>
        <w:rPr>
          <w:rFonts w:eastAsia="MS Mincho"/>
          <w:color w:val="000000"/>
          <w:sz w:val="22"/>
          <w:szCs w:val="22"/>
          <w:lang w:eastAsia="ja-JP"/>
        </w:rPr>
      </w:pPr>
    </w:p>
    <w:p w14:paraId="48B7A66D"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Klinikiniai HES/LEL tyrimai</w:t>
      </w:r>
    </w:p>
    <w:p w14:paraId="487888FA" w14:textId="39D933EC" w:rsidR="003646A0" w:rsidRPr="00F93FFA" w:rsidRDefault="003646A0" w:rsidP="00DE16D0">
      <w:pPr>
        <w:widowControl w:val="0"/>
        <w:rPr>
          <w:color w:val="000000"/>
          <w:sz w:val="22"/>
          <w:szCs w:val="22"/>
        </w:rPr>
      </w:pPr>
      <w:r w:rsidRPr="00F93FFA">
        <w:rPr>
          <w:rFonts w:eastAsia="MS Mincho"/>
          <w:color w:val="000000"/>
          <w:sz w:val="22"/>
          <w:szCs w:val="22"/>
          <w:lang w:eastAsia="ja-JP"/>
        </w:rPr>
        <w:t>Viename atvirame, daugiacentriame, II fazės klinikiniame tyrime (tyrimas B2225) buvo tiriamas Glivec efektyvumas įvairioms pacientų, sergančių gyvybei pavojingomis ligomis, susijusiomis su Abl, Kit ar PDGFR baltymų tirozinkinazėmis, grupėms. Šio tyrimo metu 14 pacientų, sergantys HES/LEL, buvo gydomi Glivec 100 mg – 1 000 mg dozėmis per parą. Kiti 162 pacientai, sergantys HES/LEL, aprašyti 35 </w:t>
      </w:r>
      <w:r w:rsidRPr="00F93FFA">
        <w:rPr>
          <w:color w:val="000000"/>
          <w:sz w:val="22"/>
          <w:szCs w:val="22"/>
        </w:rPr>
        <w:t>atvejų pranešimuose ir atvejų serijose gavo 75 mg – 800 mg Glivec per parą. 117 iš bendros 176 pacientų populiacijos buvo nustatyti citogenetiniai pokyčiai. 61 iš 117 šių pacientų nustatyta FIP1L1</w:t>
      </w:r>
      <w:r w:rsidR="00B37342" w:rsidRPr="00F93FFA">
        <w:rPr>
          <w:color w:val="000000"/>
          <w:sz w:val="22"/>
          <w:szCs w:val="22"/>
        </w:rPr>
        <w:noBreakHyphen/>
      </w:r>
      <w:r w:rsidRPr="00F93FFA">
        <w:rPr>
          <w:color w:val="000000"/>
          <w:sz w:val="22"/>
          <w:szCs w:val="22"/>
        </w:rPr>
        <w:t>PDGFRα lydima kinazė. Be to, keturiems HES sergantiems pacientams buvo nustatyta teigiama FIP1L1-PDGFRα lydima kinazė kituose 3 aprašytuose atvejuose. Visi 65 pacientai su teigiama FIP1L1</w:t>
      </w:r>
      <w:r w:rsidR="00B37342" w:rsidRPr="00F93FFA">
        <w:rPr>
          <w:color w:val="000000"/>
          <w:sz w:val="22"/>
          <w:szCs w:val="22"/>
        </w:rPr>
        <w:noBreakHyphen/>
      </w:r>
      <w:r w:rsidRPr="00F93FFA">
        <w:rPr>
          <w:color w:val="000000"/>
          <w:sz w:val="22"/>
          <w:szCs w:val="22"/>
        </w:rPr>
        <w:t>PDGFRα lydima kinaze pasiekė pastovų VHA mėnesiams (nuo 1+ iki 44+ mėnesių, tikrinta pranešimo metu). Kaip pranešama naujame straipsnyje, 21 iš šių 65 pacientų taip pat pasiekė pilną molekulinę remisiją vidutiniškai stebint 28 mėnesius (13</w:t>
      </w:r>
      <w:r w:rsidRPr="00F93FFA">
        <w:rPr>
          <w:color w:val="000000"/>
          <w:sz w:val="22"/>
          <w:szCs w:val="22"/>
        </w:rPr>
        <w:noBreakHyphen/>
        <w:t xml:space="preserve">67 mėnesius). </w:t>
      </w:r>
      <w:r w:rsidRPr="00F93FFA">
        <w:rPr>
          <w:rFonts w:eastAsia="MS Mincho"/>
          <w:color w:val="000000"/>
          <w:sz w:val="22"/>
          <w:szCs w:val="22"/>
          <w:lang w:eastAsia="ja-JP"/>
        </w:rPr>
        <w:t xml:space="preserve">Šių pacientų amžius svyravo nuo 25 iki 72 metų. </w:t>
      </w:r>
      <w:r w:rsidRPr="00F93FFA">
        <w:rPr>
          <w:color w:val="000000"/>
          <w:sz w:val="22"/>
          <w:szCs w:val="22"/>
        </w:rPr>
        <w:t>Tyrėjų atvejų pranešimuose papildomai buvo pranešta apie simptomų ir kitus organų funkcijų sutrikimų pagerėjimus. Pagerėjimai buvo nustatyti širdies, nervų, odos/poodinio audinio, kvėpavimo/krūtinės/tarpuplaučio, griaučių/raumenų/jungiamojo audinio/kraujagyslių ir virškinimo trakto organų sistemose.</w:t>
      </w:r>
    </w:p>
    <w:p w14:paraId="532BAF71" w14:textId="77777777" w:rsidR="003646A0" w:rsidRPr="00F93FFA" w:rsidRDefault="003646A0" w:rsidP="00DE16D0">
      <w:pPr>
        <w:pStyle w:val="Text"/>
        <w:widowControl w:val="0"/>
        <w:spacing w:before="0"/>
        <w:jc w:val="left"/>
        <w:rPr>
          <w:color w:val="000000"/>
          <w:sz w:val="22"/>
          <w:szCs w:val="22"/>
          <w:lang w:val="lt-LT"/>
        </w:rPr>
      </w:pPr>
    </w:p>
    <w:p w14:paraId="4DF66CF9" w14:textId="77777777" w:rsidR="003646A0" w:rsidRPr="00F93FFA" w:rsidRDefault="003646A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HES/LEL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3 literatūros šaltiniuose aprašyti 3 pacientai, sirgę su PDGFR genų pakitimais susijusiais HES ir LEL. Šių pacientų amžius svyravo nuo 2 metų iki 16 metų, jiems buvo skiriama 300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kūno paviršiaus ploto per parą arba nuo 200 mg iki 400 mg per parą imatinibo dozė. Visiems pacientams pasiektas visiškas hematologinis atsakas, visiškas citogenetinis atsakas ir (arba) visiškas molekulinis atsakas.</w:t>
      </w:r>
    </w:p>
    <w:p w14:paraId="01BF6E05" w14:textId="77777777" w:rsidR="003646A0" w:rsidRPr="00F93FFA" w:rsidRDefault="003646A0" w:rsidP="00DE16D0">
      <w:pPr>
        <w:widowControl w:val="0"/>
        <w:rPr>
          <w:color w:val="000000"/>
        </w:rPr>
      </w:pPr>
    </w:p>
    <w:p w14:paraId="27EC55F6" w14:textId="77777777" w:rsidR="003646A0" w:rsidRPr="00F93FFA" w:rsidRDefault="003646A0" w:rsidP="00DE16D0">
      <w:pPr>
        <w:pStyle w:val="EndnoteText"/>
        <w:keepNext/>
        <w:widowControl w:val="0"/>
        <w:tabs>
          <w:tab w:val="clear" w:pos="567"/>
        </w:tabs>
        <w:rPr>
          <w:color w:val="000000"/>
          <w:szCs w:val="22"/>
          <w:u w:val="single"/>
          <w:lang w:val="lt-LT"/>
        </w:rPr>
      </w:pPr>
      <w:r w:rsidRPr="00F93FFA">
        <w:rPr>
          <w:color w:val="000000"/>
          <w:szCs w:val="22"/>
          <w:u w:val="single"/>
          <w:lang w:val="lt-LT"/>
        </w:rPr>
        <w:t xml:space="preserve">Klinikiniai </w:t>
      </w:r>
      <w:r w:rsidRPr="00F93FFA">
        <w:rPr>
          <w:color w:val="000000"/>
          <w:szCs w:val="22"/>
          <w:u w:val="single"/>
        </w:rPr>
        <w:t xml:space="preserve">pacientų, kuriems buvo nerezekuotinas ir (ar) metastazavęs </w:t>
      </w:r>
      <w:r w:rsidRPr="00F93FFA">
        <w:rPr>
          <w:color w:val="000000"/>
          <w:szCs w:val="22"/>
          <w:u w:val="single"/>
          <w:lang w:val="lt-LT"/>
        </w:rPr>
        <w:t>VTSN, tyrimai</w:t>
      </w:r>
    </w:p>
    <w:p w14:paraId="30AA954A"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Vienas II fazės atviras, randomizuotas, nekontroliuojamas tarptautinis tyrimas buvo atliktas su pacientais, kuriems buvo nerezekuotinas ar metastazavęs piktybinis virškinimo trakto stromos navikas (VTSN). Šiame tyrime dalyvavo 147 pacientai, kurie buvo atsitiktinai suskirstyti gerti po 400 mg arba po 600 mg vieną kartą per parą iki 36 mėn. Šių pacientų amžius buvo nuo 18 iki 83 metų, jiems buvo nustatyta patologinė Kit+ piktybinio VTSN, kuris buvo nerezekuotinas ir (ar) metastazavęs, diagnozė. Rutiniškai buvo atliktas imunohistocheminis tyrimas su Kit antikūnais (A</w:t>
      </w:r>
      <w:r w:rsidRPr="00F93FFA">
        <w:rPr>
          <w:color w:val="000000"/>
          <w:szCs w:val="22"/>
          <w:lang w:val="lt-LT"/>
        </w:rPr>
        <w:noBreakHyphen/>
        <w:t>4502, triušių polikloninis antiserumas, 1:100; DAKO Corporation, Carpinteria, CA) pagal avidino</w:t>
      </w:r>
      <w:r w:rsidRPr="00F93FFA">
        <w:rPr>
          <w:color w:val="000000"/>
          <w:szCs w:val="22"/>
          <w:lang w:val="lt-LT"/>
        </w:rPr>
        <w:noBreakHyphen/>
        <w:t>biotino</w:t>
      </w:r>
      <w:r w:rsidRPr="00F93FFA">
        <w:rPr>
          <w:color w:val="000000"/>
          <w:szCs w:val="22"/>
          <w:lang w:val="lt-LT"/>
        </w:rPr>
        <w:noBreakHyphen/>
        <w:t>peroksidazės komplekso metodo analizę po antigeno sugrąžinimo.</w:t>
      </w:r>
    </w:p>
    <w:p w14:paraId="1B2DF6FA" w14:textId="77777777" w:rsidR="003646A0" w:rsidRPr="00F93FFA" w:rsidRDefault="003646A0" w:rsidP="00DE16D0">
      <w:pPr>
        <w:pStyle w:val="EndnoteText"/>
        <w:widowControl w:val="0"/>
        <w:tabs>
          <w:tab w:val="clear" w:pos="567"/>
        </w:tabs>
        <w:rPr>
          <w:color w:val="000000"/>
          <w:szCs w:val="22"/>
          <w:lang w:val="lt-LT"/>
        </w:rPr>
      </w:pPr>
    </w:p>
    <w:p w14:paraId="4D68860C"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Svarbiausias veiksmingumo įrodymas – objektyvus atsako dažnis. Buvo reikalaujama naviką išmatuoti bent vienoje vietoje. Atsakas apibūdintas pagal </w:t>
      </w:r>
      <w:r w:rsidRPr="00F93FFA">
        <w:rPr>
          <w:i/>
          <w:color w:val="000000"/>
          <w:szCs w:val="22"/>
          <w:lang w:val="lt-LT"/>
        </w:rPr>
        <w:t>Southwestern Oncology Group (SWOG)</w:t>
      </w:r>
      <w:r w:rsidRPr="00F93FFA">
        <w:rPr>
          <w:color w:val="000000"/>
          <w:szCs w:val="22"/>
          <w:lang w:val="lt-LT"/>
        </w:rPr>
        <w:t xml:space="preserve"> kriterijus. Duomenys pateikti </w:t>
      </w:r>
      <w:r w:rsidR="00BE4094" w:rsidRPr="00F93FFA">
        <w:rPr>
          <w:color w:val="000000"/>
          <w:szCs w:val="22"/>
          <w:lang w:val="lt-LT"/>
        </w:rPr>
        <w:t>6</w:t>
      </w:r>
      <w:r w:rsidRPr="00F93FFA">
        <w:rPr>
          <w:color w:val="000000"/>
          <w:szCs w:val="22"/>
          <w:lang w:val="lt-LT"/>
        </w:rPr>
        <w:t> lentelėje.</w:t>
      </w:r>
    </w:p>
    <w:p w14:paraId="3DEB6129" w14:textId="77777777" w:rsidR="003646A0" w:rsidRPr="00F93FFA" w:rsidRDefault="003646A0" w:rsidP="00DE16D0">
      <w:pPr>
        <w:widowControl w:val="0"/>
        <w:rPr>
          <w:color w:val="000000"/>
          <w:sz w:val="22"/>
          <w:szCs w:val="22"/>
        </w:rPr>
      </w:pPr>
    </w:p>
    <w:p w14:paraId="09FB43D4" w14:textId="77777777" w:rsidR="003646A0" w:rsidRPr="00F93FFA" w:rsidRDefault="00BE4094" w:rsidP="00DE16D0">
      <w:pPr>
        <w:keepNext/>
        <w:keepLines/>
        <w:widowControl w:val="0"/>
        <w:tabs>
          <w:tab w:val="left" w:pos="1080"/>
        </w:tabs>
        <w:rPr>
          <w:b/>
          <w:color w:val="000000"/>
          <w:sz w:val="22"/>
          <w:szCs w:val="22"/>
        </w:rPr>
      </w:pPr>
      <w:r w:rsidRPr="00F93FFA">
        <w:rPr>
          <w:b/>
          <w:color w:val="000000"/>
          <w:sz w:val="22"/>
          <w:szCs w:val="22"/>
        </w:rPr>
        <w:lastRenderedPageBreak/>
        <w:t>6</w:t>
      </w:r>
      <w:r w:rsidR="003646A0" w:rsidRPr="00F93FFA">
        <w:rPr>
          <w:b/>
          <w:color w:val="000000"/>
          <w:sz w:val="22"/>
          <w:szCs w:val="22"/>
        </w:rPr>
        <w:t> lentelė</w:t>
      </w:r>
      <w:r w:rsidR="003646A0" w:rsidRPr="00F93FFA">
        <w:rPr>
          <w:b/>
          <w:color w:val="000000"/>
          <w:sz w:val="22"/>
          <w:szCs w:val="22"/>
        </w:rPr>
        <w:tab/>
        <w:t>Geriausias naviko atsakas STIB2222 (VTSN) tyrimo metu</w:t>
      </w:r>
    </w:p>
    <w:p w14:paraId="0765DF01" w14:textId="77777777" w:rsidR="003646A0" w:rsidRPr="00F93FFA" w:rsidRDefault="003646A0" w:rsidP="00DE16D0">
      <w:pPr>
        <w:keepNext/>
        <w:keepLines/>
        <w:widowControl w:val="0"/>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3646A0" w:rsidRPr="00F93FFA" w14:paraId="56F81BE3" w14:textId="77777777" w:rsidTr="00DE16D0">
        <w:trPr>
          <w:cantSplit/>
        </w:trPr>
        <w:tc>
          <w:tcPr>
            <w:tcW w:w="4643" w:type="dxa"/>
            <w:tcBorders>
              <w:left w:val="nil"/>
              <w:bottom w:val="single" w:sz="4" w:space="0" w:color="auto"/>
              <w:right w:val="nil"/>
            </w:tcBorders>
          </w:tcPr>
          <w:p w14:paraId="6A28EBAC" w14:textId="77777777" w:rsidR="003646A0" w:rsidRPr="00F93FFA" w:rsidRDefault="003646A0" w:rsidP="00DE16D0">
            <w:pPr>
              <w:pStyle w:val="EndnoteText"/>
              <w:keepNext/>
              <w:keepLines/>
              <w:widowControl w:val="0"/>
              <w:tabs>
                <w:tab w:val="clear" w:pos="567"/>
              </w:tabs>
              <w:rPr>
                <w:color w:val="000000"/>
                <w:szCs w:val="22"/>
                <w:lang w:val="lt-LT"/>
              </w:rPr>
            </w:pPr>
          </w:p>
          <w:p w14:paraId="3EE61C2C" w14:textId="77777777" w:rsidR="003646A0" w:rsidRPr="00F93FFA" w:rsidRDefault="003646A0" w:rsidP="00DE16D0">
            <w:pPr>
              <w:pStyle w:val="EndnoteText"/>
              <w:keepNext/>
              <w:keepLines/>
              <w:widowControl w:val="0"/>
              <w:tabs>
                <w:tab w:val="clear" w:pos="567"/>
              </w:tabs>
              <w:rPr>
                <w:color w:val="000000"/>
                <w:szCs w:val="22"/>
                <w:lang w:val="lt-LT"/>
              </w:rPr>
            </w:pPr>
          </w:p>
          <w:p w14:paraId="1CD39309" w14:textId="77777777" w:rsidR="003646A0" w:rsidRPr="00F93FFA" w:rsidRDefault="003646A0" w:rsidP="00DE16D0">
            <w:pPr>
              <w:pStyle w:val="EndnoteText"/>
              <w:keepNext/>
              <w:keepLines/>
              <w:widowControl w:val="0"/>
              <w:tabs>
                <w:tab w:val="clear" w:pos="567"/>
              </w:tabs>
              <w:rPr>
                <w:color w:val="000000"/>
                <w:szCs w:val="22"/>
                <w:lang w:val="lt-LT"/>
              </w:rPr>
            </w:pPr>
          </w:p>
          <w:p w14:paraId="7BBC8BF2"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Geriausias atsakas</w:t>
            </w:r>
          </w:p>
        </w:tc>
        <w:tc>
          <w:tcPr>
            <w:tcW w:w="4643" w:type="dxa"/>
            <w:tcBorders>
              <w:left w:val="nil"/>
              <w:bottom w:val="single" w:sz="4" w:space="0" w:color="auto"/>
              <w:right w:val="nil"/>
            </w:tcBorders>
          </w:tcPr>
          <w:p w14:paraId="0B51AE4A"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Visos dozės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147)</w:t>
            </w:r>
          </w:p>
          <w:p w14:paraId="57980B99"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400 mg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73)</w:t>
            </w:r>
          </w:p>
          <w:p w14:paraId="7F01C7B1"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600 mg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74)</w:t>
            </w:r>
          </w:p>
          <w:p w14:paraId="0256CCB6"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n (%)</w:t>
            </w:r>
          </w:p>
        </w:tc>
      </w:tr>
      <w:tr w:rsidR="003646A0" w:rsidRPr="00F93FFA" w14:paraId="5EA930E6" w14:textId="77777777" w:rsidTr="00DE16D0">
        <w:trPr>
          <w:cantSplit/>
        </w:trPr>
        <w:tc>
          <w:tcPr>
            <w:tcW w:w="4643" w:type="dxa"/>
            <w:tcBorders>
              <w:top w:val="nil"/>
              <w:left w:val="nil"/>
              <w:bottom w:val="nil"/>
              <w:right w:val="nil"/>
            </w:tcBorders>
          </w:tcPr>
          <w:p w14:paraId="0752AF09" w14:textId="77777777" w:rsidR="003646A0" w:rsidRPr="00F93FFA" w:rsidRDefault="003646A0" w:rsidP="00DE16D0">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Visiškas atsakas</w:t>
            </w:r>
          </w:p>
        </w:tc>
        <w:tc>
          <w:tcPr>
            <w:tcW w:w="4643" w:type="dxa"/>
            <w:tcBorders>
              <w:top w:val="nil"/>
              <w:left w:val="nil"/>
              <w:bottom w:val="nil"/>
              <w:right w:val="nil"/>
            </w:tcBorders>
          </w:tcPr>
          <w:p w14:paraId="0A118F0A"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1 (0,7)</w:t>
            </w:r>
          </w:p>
        </w:tc>
      </w:tr>
      <w:tr w:rsidR="003646A0" w:rsidRPr="00F93FFA" w14:paraId="6941F758" w14:textId="77777777" w:rsidTr="00DE16D0">
        <w:trPr>
          <w:cantSplit/>
        </w:trPr>
        <w:tc>
          <w:tcPr>
            <w:tcW w:w="4643" w:type="dxa"/>
            <w:tcBorders>
              <w:top w:val="nil"/>
              <w:left w:val="nil"/>
              <w:bottom w:val="nil"/>
              <w:right w:val="nil"/>
            </w:tcBorders>
          </w:tcPr>
          <w:p w14:paraId="1BC5BF39" w14:textId="77777777" w:rsidR="003646A0" w:rsidRPr="00F93FFA" w:rsidRDefault="003646A0" w:rsidP="00DE16D0">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Dalinis atsakas</w:t>
            </w:r>
          </w:p>
        </w:tc>
        <w:tc>
          <w:tcPr>
            <w:tcW w:w="4643" w:type="dxa"/>
            <w:tcBorders>
              <w:top w:val="nil"/>
              <w:left w:val="nil"/>
              <w:bottom w:val="nil"/>
              <w:right w:val="nil"/>
            </w:tcBorders>
          </w:tcPr>
          <w:p w14:paraId="0C45B51E"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98 (66,7)</w:t>
            </w:r>
          </w:p>
        </w:tc>
      </w:tr>
      <w:tr w:rsidR="003646A0" w:rsidRPr="00F93FFA" w14:paraId="31869739" w14:textId="77777777" w:rsidTr="00DE16D0">
        <w:trPr>
          <w:cantSplit/>
        </w:trPr>
        <w:tc>
          <w:tcPr>
            <w:tcW w:w="4643" w:type="dxa"/>
            <w:tcBorders>
              <w:top w:val="nil"/>
              <w:left w:val="nil"/>
              <w:bottom w:val="nil"/>
              <w:right w:val="nil"/>
            </w:tcBorders>
          </w:tcPr>
          <w:p w14:paraId="22BAD4B2" w14:textId="77777777" w:rsidR="003646A0" w:rsidRPr="00F93FFA" w:rsidRDefault="003646A0" w:rsidP="00DE16D0">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Stabili liga</w:t>
            </w:r>
          </w:p>
        </w:tc>
        <w:tc>
          <w:tcPr>
            <w:tcW w:w="4643" w:type="dxa"/>
            <w:tcBorders>
              <w:top w:val="nil"/>
              <w:left w:val="nil"/>
              <w:bottom w:val="nil"/>
              <w:right w:val="nil"/>
            </w:tcBorders>
          </w:tcPr>
          <w:p w14:paraId="747E6F73"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23 (15,6)</w:t>
            </w:r>
          </w:p>
        </w:tc>
      </w:tr>
      <w:tr w:rsidR="003646A0" w:rsidRPr="00F93FFA" w14:paraId="6373FEB2" w14:textId="77777777" w:rsidTr="00DE16D0">
        <w:trPr>
          <w:cantSplit/>
        </w:trPr>
        <w:tc>
          <w:tcPr>
            <w:tcW w:w="4643" w:type="dxa"/>
            <w:tcBorders>
              <w:top w:val="nil"/>
              <w:left w:val="nil"/>
              <w:bottom w:val="nil"/>
              <w:right w:val="nil"/>
            </w:tcBorders>
          </w:tcPr>
          <w:p w14:paraId="136436B5" w14:textId="77777777" w:rsidR="003646A0" w:rsidRPr="00F93FFA" w:rsidRDefault="003646A0" w:rsidP="00DE16D0">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Progresuojanti liga</w:t>
            </w:r>
          </w:p>
        </w:tc>
        <w:tc>
          <w:tcPr>
            <w:tcW w:w="4643" w:type="dxa"/>
            <w:tcBorders>
              <w:top w:val="nil"/>
              <w:left w:val="nil"/>
              <w:bottom w:val="nil"/>
              <w:right w:val="nil"/>
            </w:tcBorders>
          </w:tcPr>
          <w:p w14:paraId="06937ECC"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18 (12,2)</w:t>
            </w:r>
          </w:p>
        </w:tc>
      </w:tr>
      <w:tr w:rsidR="003646A0" w:rsidRPr="00F93FFA" w14:paraId="4DDAC2BA" w14:textId="77777777" w:rsidTr="00DE16D0">
        <w:trPr>
          <w:cantSplit/>
        </w:trPr>
        <w:tc>
          <w:tcPr>
            <w:tcW w:w="4643" w:type="dxa"/>
            <w:tcBorders>
              <w:top w:val="nil"/>
              <w:left w:val="nil"/>
              <w:bottom w:val="nil"/>
              <w:right w:val="nil"/>
            </w:tcBorders>
          </w:tcPr>
          <w:p w14:paraId="73FEE168" w14:textId="77777777" w:rsidR="003646A0" w:rsidRPr="00F93FFA" w:rsidRDefault="003646A0" w:rsidP="00DE16D0">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Neįvertinama</w:t>
            </w:r>
          </w:p>
        </w:tc>
        <w:tc>
          <w:tcPr>
            <w:tcW w:w="4643" w:type="dxa"/>
            <w:tcBorders>
              <w:top w:val="nil"/>
              <w:left w:val="nil"/>
              <w:bottom w:val="nil"/>
              <w:right w:val="nil"/>
            </w:tcBorders>
          </w:tcPr>
          <w:p w14:paraId="141A3E75" w14:textId="77777777" w:rsidR="003646A0" w:rsidRPr="00F93FFA" w:rsidRDefault="003646A0" w:rsidP="00DE16D0">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5 (3,4)</w:t>
            </w:r>
          </w:p>
        </w:tc>
      </w:tr>
      <w:tr w:rsidR="003646A0" w:rsidRPr="00F93FFA" w14:paraId="09DB3F89" w14:textId="77777777" w:rsidTr="00DE16D0">
        <w:trPr>
          <w:cantSplit/>
        </w:trPr>
        <w:tc>
          <w:tcPr>
            <w:tcW w:w="4643" w:type="dxa"/>
            <w:tcBorders>
              <w:top w:val="nil"/>
              <w:left w:val="nil"/>
              <w:right w:val="nil"/>
            </w:tcBorders>
          </w:tcPr>
          <w:p w14:paraId="5C6D4A90" w14:textId="77777777" w:rsidR="003646A0" w:rsidRPr="00F93FFA" w:rsidRDefault="003646A0" w:rsidP="00DE16D0">
            <w:pPr>
              <w:pStyle w:val="EndnoteText"/>
              <w:keepNext/>
              <w:keepLines/>
              <w:widowControl w:val="0"/>
              <w:tabs>
                <w:tab w:val="clear" w:pos="567"/>
              </w:tabs>
              <w:rPr>
                <w:color w:val="000000"/>
                <w:szCs w:val="22"/>
                <w:lang w:val="lt-LT"/>
              </w:rPr>
            </w:pPr>
            <w:r w:rsidRPr="00F93FFA">
              <w:rPr>
                <w:color w:val="000000"/>
                <w:szCs w:val="22"/>
                <w:lang w:val="lt-LT"/>
              </w:rPr>
              <w:t>Nežinoma</w:t>
            </w:r>
          </w:p>
        </w:tc>
        <w:tc>
          <w:tcPr>
            <w:tcW w:w="4643" w:type="dxa"/>
            <w:tcBorders>
              <w:top w:val="nil"/>
              <w:left w:val="nil"/>
              <w:right w:val="nil"/>
            </w:tcBorders>
          </w:tcPr>
          <w:p w14:paraId="67D24CDA" w14:textId="77777777" w:rsidR="003646A0" w:rsidRPr="00F93FFA" w:rsidRDefault="003646A0" w:rsidP="00DE16D0">
            <w:pPr>
              <w:pStyle w:val="EndnoteText"/>
              <w:keepNext/>
              <w:keepLines/>
              <w:widowControl w:val="0"/>
              <w:tabs>
                <w:tab w:val="clear" w:pos="567"/>
              </w:tabs>
              <w:jc w:val="center"/>
              <w:rPr>
                <w:color w:val="000000"/>
                <w:szCs w:val="22"/>
                <w:lang w:val="lt-LT"/>
              </w:rPr>
            </w:pPr>
            <w:r w:rsidRPr="00F93FFA">
              <w:rPr>
                <w:color w:val="000000"/>
                <w:szCs w:val="22"/>
                <w:lang w:val="lt-LT"/>
              </w:rPr>
              <w:t>2 (1,4)</w:t>
            </w:r>
          </w:p>
        </w:tc>
      </w:tr>
    </w:tbl>
    <w:p w14:paraId="3B21134E" w14:textId="77777777" w:rsidR="003646A0" w:rsidRPr="00F93FFA" w:rsidRDefault="003646A0" w:rsidP="00DE16D0">
      <w:pPr>
        <w:widowControl w:val="0"/>
        <w:rPr>
          <w:color w:val="000000"/>
          <w:sz w:val="22"/>
          <w:szCs w:val="22"/>
        </w:rPr>
      </w:pPr>
    </w:p>
    <w:p w14:paraId="7EEE7B70"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Dviejų dozių grupių atsako dažnis nesiskyrė. Preliminariais duomenimis, reikšmingam skaičiui pacientų, kurių liga buvo stabili, ilgiau gydant buvo gautas dalinis atsakas (stebėjimo periodo mediana 31 mėnesių). Atsako trukmės mediana buvo 13 savaičių (95 % PI 12–23). Periodo iki gydymo nesekmės pacientams, kuriems buvo gautas atsakas, mediana buvo 122 savaitės (95 % PI 106–147), o bendroje tyrimo populiacijoje ji buvo 84 savaitės (95 % PI 71–109). Bendrojo išgyvenamumo mediana nebuvo gauta. Kaplan-Meier išgyvenamumo po 36 mėnesių stebėjimo periodo rodiklis buvo 68 %.</w:t>
      </w:r>
    </w:p>
    <w:p w14:paraId="1E026B4E" w14:textId="77777777" w:rsidR="003646A0" w:rsidRPr="00F93FFA" w:rsidRDefault="003646A0" w:rsidP="00DE16D0">
      <w:pPr>
        <w:pStyle w:val="EndnoteText"/>
        <w:widowControl w:val="0"/>
        <w:tabs>
          <w:tab w:val="clear" w:pos="567"/>
        </w:tabs>
        <w:rPr>
          <w:color w:val="000000"/>
          <w:szCs w:val="22"/>
          <w:lang w:val="lt-LT"/>
        </w:rPr>
      </w:pPr>
    </w:p>
    <w:p w14:paraId="5DDB4D4D" w14:textId="77777777" w:rsidR="003646A0" w:rsidRPr="00F93FFA" w:rsidRDefault="003646A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Dviejų klinikinių tyrimų metu (tyrimas B2222 ir tarpgrupinis tyrimas S0033) Glivec paros dozė puvo padidinta iki 800 mg pacientams, kurių liga progresavo vartojant mažesnes 400 mg ar 600 mg paros dozes. Iki 800 mg paros dozė buvo padidinta iš viso 103 pacientams; 6 pacientams buvo gautas dalinis atsakas, 21 pacientui po dozės padidinimo liga stabilizavosi, bendroji klinikinė nauda buvo 26 %. Remiantis turimais saugumo duomenimis, dozės didinimas nuo mažesnių 400 mg ar 600 mg dozių per parą iki 800 mg per parą Glivec saugumo rodiklių, atrodo nepaveikė.</w:t>
      </w:r>
    </w:p>
    <w:p w14:paraId="41316521" w14:textId="77777777" w:rsidR="003646A0" w:rsidRPr="00F93FFA" w:rsidRDefault="003646A0" w:rsidP="00DE16D0">
      <w:pPr>
        <w:pStyle w:val="EndnoteText"/>
        <w:widowControl w:val="0"/>
        <w:tabs>
          <w:tab w:val="clear" w:pos="567"/>
        </w:tabs>
        <w:rPr>
          <w:color w:val="000000"/>
          <w:szCs w:val="22"/>
          <w:lang w:val="lt-LT"/>
        </w:rPr>
      </w:pPr>
    </w:p>
    <w:p w14:paraId="1F017AE2" w14:textId="77777777" w:rsidR="003646A0" w:rsidRPr="00F93FFA" w:rsidRDefault="003646A0" w:rsidP="00DE16D0">
      <w:pPr>
        <w:pStyle w:val="Nottoc-headings"/>
        <w:widowControl w:val="0"/>
        <w:spacing w:before="0" w:after="0"/>
        <w:rPr>
          <w:rFonts w:ascii="Times New Roman" w:eastAsia="MS Mincho" w:hAnsi="Times New Roman"/>
          <w:b w:val="0"/>
          <w:color w:val="000000"/>
          <w:sz w:val="22"/>
          <w:szCs w:val="22"/>
          <w:u w:val="single"/>
          <w:lang w:val="lt-LT" w:eastAsia="ja-JP"/>
        </w:rPr>
      </w:pPr>
      <w:r w:rsidRPr="00F93FFA">
        <w:rPr>
          <w:rFonts w:ascii="Times New Roman" w:eastAsia="MS Mincho" w:hAnsi="Times New Roman"/>
          <w:b w:val="0"/>
          <w:color w:val="000000"/>
          <w:sz w:val="22"/>
          <w:szCs w:val="22"/>
          <w:u w:val="single"/>
          <w:lang w:val="lt-LT" w:eastAsia="ja-JP"/>
        </w:rPr>
        <w:t>Klinikiniai adjuvantinio VTSN gydymo tyrimai</w:t>
      </w:r>
    </w:p>
    <w:p w14:paraId="16D3E60E" w14:textId="77777777" w:rsidR="003646A0" w:rsidRPr="00F93FFA" w:rsidRDefault="003646A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Pagalbiniam VTSN gydymui naudojamas Glivec buvo tirtas daugiacentrio, dvigubai aklo, ilgalaikio gydymo, placebu kontroliuojamo III fazės klinikinio tyrimo (Z9001), kuriame dalyvavo 773 pacientai, metu. Šie pacientai buvo 18–91 metų amžiaus. Į tyrimą buvo įtraukti pacientai, kuriems histologiškai buvo patvirtinta pirminio VTSN su imunocheminiu būdu nustatyta Kit baltymo ekspresija diagnozė ir kurių naviko didžiausias matmuo buvo ≥ 3 cm bei kuriems prieš 14</w:t>
      </w:r>
      <w:r w:rsidRPr="00F93FFA">
        <w:rPr>
          <w:rFonts w:eastAsia="MS Mincho"/>
          <w:color w:val="000000"/>
          <w:sz w:val="22"/>
          <w:szCs w:val="22"/>
          <w:lang w:val="lt-LT" w:eastAsia="ja-JP"/>
        </w:rPr>
        <w:noBreakHyphen/>
        <w:t>70 dienų iki įtraukimo į tyrimą buvo atlikta radikali pirminio VTSN rezekcija. Po pirminio VTSN rezekcijos pacientai atsitiktiniu būdu buvo suskirstyti į dvi gydymo grupes: Glivec 400 mg per parą arba placebo grupes (gydymas buvo skiriamas vienerius metus).</w:t>
      </w:r>
    </w:p>
    <w:p w14:paraId="5A2D522B"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17B62679" w14:textId="77777777" w:rsidR="003646A0" w:rsidRPr="00F93FFA" w:rsidRDefault="003646A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Pirminė vertinamoji klinikinio tyrimo baigtis buvo išgyvenamumas be ligos recidyvo (angl. recurrence-free survival – RFS), nustatomas kaip laikas nuo randomizacijos dienos iki recidyvo pasireiškimo dienos arba mirties dėl bet kokios priežasties.</w:t>
      </w:r>
    </w:p>
    <w:p w14:paraId="41EEA42F"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7B1D69B3" w14:textId="77777777" w:rsidR="003646A0" w:rsidRPr="00F93FFA" w:rsidRDefault="003646A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Glivec reikšmingai pailgino RFS rodiklį; 75 % pacientų, kuriems nepasireiškė ligos recidyvas 38 mėnesius, lyginant su 20 mėnesių laikotarpiu placebo grupėje (95 % PI, [30 - nevertintinas]; [14 - nevertintinas], atitinkamai); (rizikos santykis = 0,398 [0,259</w:t>
      </w:r>
      <w:r w:rsidRPr="00F93FFA">
        <w:rPr>
          <w:rFonts w:eastAsia="MS Mincho"/>
          <w:color w:val="000000"/>
          <w:sz w:val="22"/>
          <w:szCs w:val="22"/>
          <w:lang w:val="lt-LT" w:eastAsia="ja-JP"/>
        </w:rPr>
        <w:noBreakHyphen/>
        <w:t>0,610], p&lt;0,0001). Vertinant po vienerių gydymo metų, bendrojo RFS rodiklis Glivec grupėje buvo reikšmingai geresnis lyginant su placebo grupe (atitinkamai 97,7 % ir 82,3 %; p&lt;0,0001). Taigi, ligos recidyvo atsiradimo rizika buvo sumažinta apytiksliai 89 %, lyginant su placebu (rizikos santykis = 0,113 [0,049</w:t>
      </w:r>
      <w:r w:rsidRPr="00F93FFA">
        <w:rPr>
          <w:rFonts w:eastAsia="MS Mincho"/>
          <w:color w:val="000000"/>
          <w:sz w:val="22"/>
          <w:szCs w:val="22"/>
          <w:lang w:val="lt-LT" w:eastAsia="ja-JP"/>
        </w:rPr>
        <w:noBreakHyphen/>
        <w:t>0,264]).</w:t>
      </w:r>
    </w:p>
    <w:p w14:paraId="326CF4EF"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18FD46E0" w14:textId="77777777" w:rsidR="003646A0" w:rsidRPr="00F93FFA" w:rsidRDefault="003646A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 xml:space="preserve">Pacientams po pirminio </w:t>
      </w:r>
      <w:r w:rsidRPr="00F93FFA">
        <w:rPr>
          <w:color w:val="000000"/>
          <w:sz w:val="22"/>
          <w:szCs w:val="22"/>
          <w:lang w:val="lt-LT"/>
        </w:rPr>
        <w:t xml:space="preserve">VTSN </w:t>
      </w:r>
      <w:r w:rsidRPr="00F93FFA">
        <w:rPr>
          <w:rFonts w:eastAsia="MS Mincho"/>
          <w:color w:val="000000"/>
          <w:sz w:val="22"/>
          <w:szCs w:val="22"/>
          <w:lang w:val="lt-LT" w:eastAsia="ja-JP"/>
        </w:rPr>
        <w:t xml:space="preserve">operacinio </w:t>
      </w:r>
      <w:r w:rsidRPr="00F93FFA">
        <w:rPr>
          <w:color w:val="000000"/>
          <w:sz w:val="22"/>
          <w:szCs w:val="22"/>
          <w:lang w:val="lt-LT"/>
        </w:rPr>
        <w:t>gydymo l</w:t>
      </w:r>
      <w:r w:rsidRPr="00F93FFA">
        <w:rPr>
          <w:rFonts w:eastAsia="MS Mincho"/>
          <w:color w:val="000000"/>
          <w:sz w:val="22"/>
          <w:szCs w:val="22"/>
          <w:lang w:val="lt-LT" w:eastAsia="ja-JP"/>
        </w:rPr>
        <w:t xml:space="preserve">igos recidyvo rizika </w:t>
      </w:r>
      <w:r w:rsidRPr="00F93FFA">
        <w:rPr>
          <w:color w:val="000000"/>
          <w:sz w:val="22"/>
          <w:szCs w:val="22"/>
          <w:lang w:val="lt-LT"/>
        </w:rPr>
        <w:t xml:space="preserve">buvo įvertinta retrospektyviai, remiantis toliau nurodytais prognostiniais veiksniais: naviko dydžiu, mitozės indeksu ir naviko lokalizacija. Mitozės indekso duomenys surinkti 556 pacientams iš 713 atrinktos gydymui (angl. </w:t>
      </w:r>
      <w:r w:rsidRPr="00F93FFA">
        <w:rPr>
          <w:rFonts w:eastAsia="MS Mincho"/>
          <w:i/>
          <w:color w:val="000000"/>
          <w:sz w:val="22"/>
          <w:szCs w:val="22"/>
          <w:lang w:val="lt-LT" w:eastAsia="ja-JP"/>
        </w:rPr>
        <w:t>intention-to-treat</w:t>
      </w:r>
      <w:r w:rsidRPr="00F93FFA">
        <w:rPr>
          <w:rFonts w:eastAsia="MS Mincho"/>
          <w:color w:val="000000"/>
          <w:sz w:val="22"/>
          <w:szCs w:val="22"/>
          <w:lang w:val="lt-LT" w:eastAsia="ja-JP"/>
        </w:rPr>
        <w:t xml:space="preserve"> – ITT</w:t>
      </w:r>
      <w:r w:rsidRPr="00F93FFA">
        <w:rPr>
          <w:color w:val="000000"/>
          <w:sz w:val="22"/>
          <w:szCs w:val="22"/>
          <w:lang w:val="lt-LT"/>
        </w:rPr>
        <w:t>) populiacijos asmenų. Remiantis Jungtinių valstijų sveikatos nacionalinio instituto (</w:t>
      </w:r>
      <w:r w:rsidRPr="00F93FFA">
        <w:rPr>
          <w:rFonts w:eastAsia="MS Mincho"/>
          <w:color w:val="000000"/>
          <w:sz w:val="22"/>
          <w:szCs w:val="22"/>
          <w:lang w:val="lt-LT" w:eastAsia="ja-JP"/>
        </w:rPr>
        <w:t xml:space="preserve">United States National Institutes of Health - </w:t>
      </w:r>
      <w:r w:rsidRPr="00F93FFA">
        <w:rPr>
          <w:color w:val="000000"/>
          <w:sz w:val="22"/>
          <w:szCs w:val="22"/>
          <w:lang w:val="lt-LT"/>
        </w:rPr>
        <w:t>NIH) ir Ginkluotųjų pajėgų patologijos instituto (</w:t>
      </w:r>
      <w:r w:rsidRPr="00F93FFA">
        <w:rPr>
          <w:rFonts w:eastAsia="MS Mincho"/>
          <w:color w:val="000000"/>
          <w:sz w:val="22"/>
          <w:szCs w:val="22"/>
          <w:lang w:val="lt-LT" w:eastAsia="ja-JP"/>
        </w:rPr>
        <w:t>Armed Forces Institute of Pathology – AFIP)</w:t>
      </w:r>
      <w:r w:rsidRPr="00F93FFA">
        <w:rPr>
          <w:color w:val="000000"/>
          <w:sz w:val="22"/>
          <w:szCs w:val="22"/>
          <w:lang w:val="lt-LT"/>
        </w:rPr>
        <w:t xml:space="preserve"> sudaryta rizikos klasifikacija, pacientų pogrupių analizės rezultatai pateikti </w:t>
      </w:r>
      <w:r w:rsidR="00BE4094" w:rsidRPr="00F93FFA">
        <w:rPr>
          <w:color w:val="000000"/>
          <w:sz w:val="22"/>
          <w:szCs w:val="22"/>
          <w:lang w:val="lt-LT"/>
        </w:rPr>
        <w:t>7</w:t>
      </w:r>
      <w:r w:rsidRPr="00F93FFA">
        <w:rPr>
          <w:color w:val="000000"/>
          <w:sz w:val="22"/>
          <w:szCs w:val="22"/>
          <w:lang w:val="lt-LT"/>
        </w:rPr>
        <w:t> lentelėje. Žemos ir labai žemos rizikos grupėje vaistinio preparato naudos nepastebėta. Bendram išgyvenamumui naudos nepastebėta.</w:t>
      </w:r>
    </w:p>
    <w:p w14:paraId="4794AEE1" w14:textId="77777777" w:rsidR="003646A0" w:rsidRPr="00F93FFA" w:rsidRDefault="003646A0" w:rsidP="00DE16D0">
      <w:pPr>
        <w:pStyle w:val="Text"/>
        <w:widowControl w:val="0"/>
        <w:spacing w:before="0"/>
        <w:jc w:val="left"/>
        <w:rPr>
          <w:lang w:val="lt-LT"/>
        </w:rPr>
      </w:pPr>
    </w:p>
    <w:p w14:paraId="2E05CDB9" w14:textId="77777777" w:rsidR="003646A0" w:rsidRPr="00F93FFA" w:rsidRDefault="00BE4094" w:rsidP="00C94C5B">
      <w:pPr>
        <w:pStyle w:val="Heading6"/>
        <w:keepLines/>
        <w:widowControl w:val="0"/>
        <w:tabs>
          <w:tab w:val="clear" w:pos="567"/>
          <w:tab w:val="clear" w:pos="4536"/>
          <w:tab w:val="left" w:pos="1134"/>
        </w:tabs>
        <w:spacing w:line="240" w:lineRule="auto"/>
        <w:ind w:left="1080" w:hanging="1080"/>
        <w:rPr>
          <w:rFonts w:eastAsia="MS Mincho"/>
          <w:b/>
          <w:i w:val="0"/>
          <w:color w:val="000000"/>
          <w:szCs w:val="22"/>
          <w:lang w:val="lt-LT" w:eastAsia="ja-JP"/>
        </w:rPr>
      </w:pPr>
      <w:r w:rsidRPr="00F93FFA">
        <w:rPr>
          <w:rFonts w:eastAsia="MS Mincho"/>
          <w:b/>
          <w:i w:val="0"/>
          <w:color w:val="000000"/>
          <w:szCs w:val="22"/>
          <w:lang w:val="lt-LT" w:eastAsia="ja-JP"/>
        </w:rPr>
        <w:lastRenderedPageBreak/>
        <w:t>7</w:t>
      </w:r>
      <w:r w:rsidR="003646A0" w:rsidRPr="00F93FFA">
        <w:rPr>
          <w:rFonts w:eastAsia="MS Mincho"/>
          <w:b/>
          <w:i w:val="0"/>
          <w:color w:val="000000"/>
          <w:szCs w:val="22"/>
          <w:lang w:val="lt-LT" w:eastAsia="ja-JP"/>
        </w:rPr>
        <w:t> lentelė</w:t>
      </w:r>
      <w:r w:rsidR="003646A0" w:rsidRPr="00F93FFA">
        <w:rPr>
          <w:rFonts w:eastAsia="MS Mincho"/>
          <w:b/>
          <w:i w:val="0"/>
          <w:color w:val="000000"/>
          <w:szCs w:val="22"/>
          <w:lang w:val="lt-LT" w:eastAsia="ja-JP"/>
        </w:rPr>
        <w:tab/>
        <w:t>Z9001 klinikinio tyrimo RFS analizės pagal NIH ir AFIP rizikos klasifikacijas santrauka</w:t>
      </w:r>
    </w:p>
    <w:p w14:paraId="2FB1FFD6" w14:textId="77777777" w:rsidR="003646A0" w:rsidRPr="00F93FFA" w:rsidRDefault="003646A0" w:rsidP="00C94C5B">
      <w:pPr>
        <w:pStyle w:val="Text"/>
        <w:keepNext/>
        <w:keepLines/>
        <w:widowControl w:val="0"/>
        <w:spacing w:before="0"/>
        <w:rPr>
          <w:sz w:val="22"/>
          <w:szCs w:val="22"/>
          <w:lang w:val="lt-LT"/>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276"/>
        <w:gridCol w:w="1134"/>
        <w:gridCol w:w="2083"/>
        <w:gridCol w:w="1732"/>
        <w:gridCol w:w="1414"/>
        <w:gridCol w:w="1372"/>
      </w:tblGrid>
      <w:tr w:rsidR="003646A0" w:rsidRPr="00F93FFA" w14:paraId="48342700" w14:textId="77777777" w:rsidTr="00C94C5B">
        <w:trPr>
          <w:cantSplit/>
        </w:trPr>
        <w:tc>
          <w:tcPr>
            <w:tcW w:w="1129" w:type="dxa"/>
            <w:vMerge w:val="restart"/>
          </w:tcPr>
          <w:p w14:paraId="5AB06F1C"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Rizikos kriterijai</w:t>
            </w:r>
          </w:p>
        </w:tc>
        <w:tc>
          <w:tcPr>
            <w:tcW w:w="1276" w:type="dxa"/>
            <w:vMerge w:val="restart"/>
            <w:tcBorders>
              <w:right w:val="single" w:sz="4" w:space="0" w:color="auto"/>
            </w:tcBorders>
          </w:tcPr>
          <w:p w14:paraId="3DA3721E"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r w:rsidRPr="00F93FFA">
              <w:rPr>
                <w:rFonts w:ascii="Times New Roman" w:hAnsi="Times New Roman"/>
                <w:b/>
                <w:sz w:val="22"/>
                <w:szCs w:val="22"/>
              </w:rPr>
              <w:t xml:space="preserve">Rizikos lygis </w:t>
            </w:r>
          </w:p>
        </w:tc>
        <w:tc>
          <w:tcPr>
            <w:tcW w:w="1134" w:type="dxa"/>
            <w:vMerge w:val="restart"/>
            <w:tcBorders>
              <w:left w:val="single" w:sz="4" w:space="0" w:color="auto"/>
              <w:right w:val="single" w:sz="4" w:space="0" w:color="auto"/>
            </w:tcBorders>
          </w:tcPr>
          <w:p w14:paraId="425DC6C9"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 xml:space="preserve">Pacientų skaičius% </w:t>
            </w:r>
          </w:p>
        </w:tc>
        <w:tc>
          <w:tcPr>
            <w:tcW w:w="2083" w:type="dxa"/>
            <w:vMerge w:val="restart"/>
            <w:tcBorders>
              <w:left w:val="single" w:sz="4" w:space="0" w:color="auto"/>
              <w:right w:val="single" w:sz="4" w:space="0" w:color="auto"/>
            </w:tcBorders>
          </w:tcPr>
          <w:p w14:paraId="229FD75A"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Atvejų skaičius /</w:t>
            </w:r>
          </w:p>
          <w:p w14:paraId="6915525D"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Pacientų skaičius</w:t>
            </w:r>
          </w:p>
        </w:tc>
        <w:tc>
          <w:tcPr>
            <w:tcW w:w="1732" w:type="dxa"/>
            <w:vMerge w:val="restart"/>
            <w:tcBorders>
              <w:left w:val="single" w:sz="4" w:space="0" w:color="auto"/>
              <w:right w:val="single" w:sz="4" w:space="0" w:color="auto"/>
            </w:tcBorders>
          </w:tcPr>
          <w:p w14:paraId="72059C3D"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Bendrasis rizikos santykis (95 % PI)*</w:t>
            </w:r>
          </w:p>
        </w:tc>
        <w:tc>
          <w:tcPr>
            <w:tcW w:w="2786" w:type="dxa"/>
            <w:gridSpan w:val="2"/>
            <w:tcBorders>
              <w:left w:val="single" w:sz="4" w:space="0" w:color="auto"/>
            </w:tcBorders>
          </w:tcPr>
          <w:p w14:paraId="5C47C3EC"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RFS dažnis (%)</w:t>
            </w:r>
          </w:p>
        </w:tc>
      </w:tr>
      <w:tr w:rsidR="003646A0" w:rsidRPr="00F93FFA" w14:paraId="277B991E" w14:textId="77777777" w:rsidTr="00C94C5B">
        <w:trPr>
          <w:cantSplit/>
        </w:trPr>
        <w:tc>
          <w:tcPr>
            <w:tcW w:w="1129" w:type="dxa"/>
            <w:vMerge/>
          </w:tcPr>
          <w:p w14:paraId="13C904EB"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276" w:type="dxa"/>
            <w:vMerge/>
            <w:tcBorders>
              <w:right w:val="single" w:sz="4" w:space="0" w:color="auto"/>
            </w:tcBorders>
          </w:tcPr>
          <w:p w14:paraId="21CE5DA6"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134" w:type="dxa"/>
            <w:vMerge/>
            <w:tcBorders>
              <w:left w:val="single" w:sz="4" w:space="0" w:color="auto"/>
              <w:right w:val="single" w:sz="4" w:space="0" w:color="auto"/>
            </w:tcBorders>
          </w:tcPr>
          <w:p w14:paraId="04EB7E94"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p>
        </w:tc>
        <w:tc>
          <w:tcPr>
            <w:tcW w:w="2083" w:type="dxa"/>
            <w:vMerge/>
            <w:tcBorders>
              <w:left w:val="single" w:sz="4" w:space="0" w:color="auto"/>
              <w:right w:val="single" w:sz="4" w:space="0" w:color="auto"/>
            </w:tcBorders>
          </w:tcPr>
          <w:p w14:paraId="59639C00"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p>
        </w:tc>
        <w:tc>
          <w:tcPr>
            <w:tcW w:w="1732" w:type="dxa"/>
            <w:vMerge/>
            <w:tcBorders>
              <w:left w:val="single" w:sz="4" w:space="0" w:color="auto"/>
              <w:right w:val="single" w:sz="4" w:space="0" w:color="auto"/>
            </w:tcBorders>
          </w:tcPr>
          <w:p w14:paraId="5D649A98"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414" w:type="dxa"/>
            <w:tcBorders>
              <w:left w:val="single" w:sz="4" w:space="0" w:color="auto"/>
              <w:right w:val="single" w:sz="4" w:space="0" w:color="auto"/>
            </w:tcBorders>
          </w:tcPr>
          <w:p w14:paraId="778B96F3"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12 mėn.</w:t>
            </w:r>
          </w:p>
        </w:tc>
        <w:tc>
          <w:tcPr>
            <w:tcW w:w="1372" w:type="dxa"/>
            <w:tcBorders>
              <w:left w:val="single" w:sz="4" w:space="0" w:color="auto"/>
            </w:tcBorders>
          </w:tcPr>
          <w:p w14:paraId="412AF165"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24 mėn.</w:t>
            </w:r>
          </w:p>
        </w:tc>
      </w:tr>
      <w:tr w:rsidR="003646A0" w:rsidRPr="00F93FFA" w14:paraId="128C98C7" w14:textId="77777777" w:rsidTr="00C94C5B">
        <w:trPr>
          <w:cantSplit/>
        </w:trPr>
        <w:tc>
          <w:tcPr>
            <w:tcW w:w="1129" w:type="dxa"/>
            <w:vMerge/>
          </w:tcPr>
          <w:p w14:paraId="4BADDD2E"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276" w:type="dxa"/>
            <w:vMerge/>
            <w:tcBorders>
              <w:right w:val="single" w:sz="4" w:space="0" w:color="auto"/>
            </w:tcBorders>
          </w:tcPr>
          <w:p w14:paraId="680AF9E9"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134" w:type="dxa"/>
            <w:vMerge/>
            <w:tcBorders>
              <w:left w:val="single" w:sz="4" w:space="0" w:color="auto"/>
              <w:right w:val="single" w:sz="4" w:space="0" w:color="auto"/>
            </w:tcBorders>
          </w:tcPr>
          <w:p w14:paraId="0822556F"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28344B7B"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c>
          <w:tcPr>
            <w:tcW w:w="1732" w:type="dxa"/>
            <w:vMerge/>
            <w:tcBorders>
              <w:left w:val="single" w:sz="4" w:space="0" w:color="auto"/>
              <w:bottom w:val="single" w:sz="4" w:space="0" w:color="auto"/>
              <w:right w:val="single" w:sz="4" w:space="0" w:color="auto"/>
            </w:tcBorders>
          </w:tcPr>
          <w:p w14:paraId="79408473"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p>
        </w:tc>
        <w:tc>
          <w:tcPr>
            <w:tcW w:w="1414" w:type="dxa"/>
            <w:tcBorders>
              <w:left w:val="single" w:sz="4" w:space="0" w:color="auto"/>
              <w:bottom w:val="single" w:sz="4" w:space="0" w:color="auto"/>
              <w:right w:val="single" w:sz="4" w:space="0" w:color="auto"/>
            </w:tcBorders>
          </w:tcPr>
          <w:p w14:paraId="3B2616A8"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c>
          <w:tcPr>
            <w:tcW w:w="1372" w:type="dxa"/>
            <w:tcBorders>
              <w:left w:val="single" w:sz="4" w:space="0" w:color="auto"/>
            </w:tcBorders>
          </w:tcPr>
          <w:p w14:paraId="3F3FEDA5" w14:textId="77777777" w:rsidR="003646A0" w:rsidRPr="00F93FFA" w:rsidRDefault="003646A0" w:rsidP="00C94C5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r>
      <w:tr w:rsidR="003646A0" w:rsidRPr="00F93FFA" w14:paraId="67BF2F65" w14:textId="77777777" w:rsidTr="00C94C5B">
        <w:trPr>
          <w:cantSplit/>
        </w:trPr>
        <w:tc>
          <w:tcPr>
            <w:tcW w:w="1129" w:type="dxa"/>
            <w:vMerge w:val="restart"/>
            <w:shd w:val="clear" w:color="auto" w:fill="auto"/>
          </w:tcPr>
          <w:p w14:paraId="36CDC8DC" w14:textId="77777777" w:rsidR="003646A0" w:rsidRPr="00F93FFA" w:rsidRDefault="003646A0" w:rsidP="00C94C5B">
            <w:pPr>
              <w:keepNext/>
              <w:keepLines/>
              <w:widowControl w:val="0"/>
              <w:tabs>
                <w:tab w:val="left" w:pos="567"/>
              </w:tabs>
              <w:rPr>
                <w:sz w:val="22"/>
                <w:szCs w:val="22"/>
              </w:rPr>
            </w:pPr>
            <w:r w:rsidRPr="00F93FFA">
              <w:rPr>
                <w:sz w:val="22"/>
                <w:szCs w:val="22"/>
              </w:rPr>
              <w:t>NIH</w:t>
            </w:r>
          </w:p>
          <w:p w14:paraId="0F9F6D1A" w14:textId="77777777" w:rsidR="003646A0" w:rsidRPr="00F93FFA" w:rsidRDefault="003646A0" w:rsidP="00C94C5B">
            <w:pPr>
              <w:pStyle w:val="Text"/>
              <w:keepNext/>
              <w:keepLines/>
              <w:widowControl w:val="0"/>
              <w:tabs>
                <w:tab w:val="left" w:pos="567"/>
              </w:tabs>
              <w:spacing w:before="0"/>
              <w:rPr>
                <w:sz w:val="22"/>
                <w:szCs w:val="22"/>
              </w:rPr>
            </w:pPr>
          </w:p>
        </w:tc>
        <w:tc>
          <w:tcPr>
            <w:tcW w:w="1276" w:type="dxa"/>
            <w:tcBorders>
              <w:bottom w:val="nil"/>
              <w:right w:val="single" w:sz="4" w:space="0" w:color="auto"/>
            </w:tcBorders>
            <w:vAlign w:val="bottom"/>
          </w:tcPr>
          <w:p w14:paraId="7229355D" w14:textId="77777777" w:rsidR="003646A0" w:rsidRPr="00F93FFA" w:rsidRDefault="003646A0" w:rsidP="00C94C5B">
            <w:pPr>
              <w:keepNext/>
              <w:keepLines/>
              <w:widowControl w:val="0"/>
              <w:tabs>
                <w:tab w:val="left" w:pos="567"/>
              </w:tabs>
              <w:ind w:left="57" w:hanging="57"/>
              <w:rPr>
                <w:sz w:val="22"/>
                <w:szCs w:val="22"/>
              </w:rPr>
            </w:pPr>
            <w:r w:rsidRPr="00F93FFA">
              <w:rPr>
                <w:sz w:val="22"/>
                <w:szCs w:val="22"/>
              </w:rPr>
              <w:t>Maža</w:t>
            </w:r>
          </w:p>
        </w:tc>
        <w:tc>
          <w:tcPr>
            <w:tcW w:w="1134" w:type="dxa"/>
            <w:tcBorders>
              <w:left w:val="single" w:sz="4" w:space="0" w:color="auto"/>
              <w:bottom w:val="nil"/>
              <w:right w:val="single" w:sz="4" w:space="0" w:color="auto"/>
            </w:tcBorders>
            <w:vAlign w:val="bottom"/>
          </w:tcPr>
          <w:p w14:paraId="31F13675" w14:textId="77777777" w:rsidR="003646A0" w:rsidRPr="00F93FFA" w:rsidRDefault="003646A0" w:rsidP="00C94C5B">
            <w:pPr>
              <w:keepNext/>
              <w:keepLines/>
              <w:widowControl w:val="0"/>
              <w:tabs>
                <w:tab w:val="left" w:pos="567"/>
              </w:tabs>
              <w:ind w:left="57" w:hanging="57"/>
              <w:jc w:val="center"/>
              <w:rPr>
                <w:sz w:val="22"/>
                <w:szCs w:val="22"/>
              </w:rPr>
            </w:pPr>
            <w:r w:rsidRPr="00F93FFA">
              <w:rPr>
                <w:sz w:val="22"/>
                <w:szCs w:val="22"/>
              </w:rPr>
              <w:t>29,5</w:t>
            </w:r>
          </w:p>
        </w:tc>
        <w:tc>
          <w:tcPr>
            <w:tcW w:w="2083" w:type="dxa"/>
            <w:tcBorders>
              <w:left w:val="single" w:sz="4" w:space="0" w:color="auto"/>
              <w:bottom w:val="nil"/>
              <w:right w:val="single" w:sz="4" w:space="0" w:color="auto"/>
            </w:tcBorders>
            <w:vAlign w:val="bottom"/>
          </w:tcPr>
          <w:p w14:paraId="0DC30225" w14:textId="77777777" w:rsidR="003646A0" w:rsidRPr="00F93FFA" w:rsidRDefault="003646A0" w:rsidP="00C94C5B">
            <w:pPr>
              <w:keepNext/>
              <w:keepLines/>
              <w:widowControl w:val="0"/>
              <w:tabs>
                <w:tab w:val="left" w:pos="567"/>
              </w:tabs>
              <w:ind w:left="57" w:hanging="57"/>
              <w:rPr>
                <w:sz w:val="22"/>
                <w:szCs w:val="22"/>
              </w:rPr>
            </w:pPr>
            <w:r w:rsidRPr="00F93FFA">
              <w:rPr>
                <w:sz w:val="22"/>
                <w:szCs w:val="22"/>
              </w:rPr>
              <w:t>0/86 ir 2/90</w:t>
            </w:r>
          </w:p>
        </w:tc>
        <w:tc>
          <w:tcPr>
            <w:tcW w:w="1732" w:type="dxa"/>
            <w:tcBorders>
              <w:left w:val="single" w:sz="4" w:space="0" w:color="auto"/>
              <w:bottom w:val="nil"/>
              <w:right w:val="single" w:sz="4" w:space="0" w:color="auto"/>
            </w:tcBorders>
            <w:vAlign w:val="bottom"/>
          </w:tcPr>
          <w:p w14:paraId="0D35FE8A" w14:textId="77777777" w:rsidR="003646A0" w:rsidRPr="00F93FFA" w:rsidRDefault="003646A0" w:rsidP="00C94C5B">
            <w:pPr>
              <w:keepNext/>
              <w:keepLines/>
              <w:widowControl w:val="0"/>
              <w:tabs>
                <w:tab w:val="left" w:pos="567"/>
              </w:tabs>
              <w:ind w:left="57" w:hanging="57"/>
              <w:rPr>
                <w:sz w:val="22"/>
                <w:szCs w:val="22"/>
              </w:rPr>
            </w:pPr>
            <w:r w:rsidRPr="00F93FFA">
              <w:rPr>
                <w:sz w:val="22"/>
                <w:szCs w:val="22"/>
              </w:rPr>
              <w:t>N.R.</w:t>
            </w:r>
          </w:p>
        </w:tc>
        <w:tc>
          <w:tcPr>
            <w:tcW w:w="1414" w:type="dxa"/>
            <w:tcBorders>
              <w:left w:val="single" w:sz="4" w:space="0" w:color="auto"/>
              <w:bottom w:val="nil"/>
              <w:right w:val="single" w:sz="4" w:space="0" w:color="auto"/>
            </w:tcBorders>
            <w:vAlign w:val="bottom"/>
          </w:tcPr>
          <w:p w14:paraId="6B72B757" w14:textId="77777777" w:rsidR="003646A0" w:rsidRPr="00F93FFA" w:rsidRDefault="003646A0" w:rsidP="00C94C5B">
            <w:pPr>
              <w:keepNext/>
              <w:keepLines/>
              <w:widowControl w:val="0"/>
              <w:tabs>
                <w:tab w:val="left" w:pos="567"/>
              </w:tabs>
              <w:ind w:left="57" w:hanging="57"/>
              <w:rPr>
                <w:sz w:val="22"/>
                <w:szCs w:val="22"/>
              </w:rPr>
            </w:pPr>
            <w:r w:rsidRPr="00F93FFA">
              <w:rPr>
                <w:sz w:val="22"/>
                <w:szCs w:val="22"/>
              </w:rPr>
              <w:t>100 ir 98,7</w:t>
            </w:r>
          </w:p>
        </w:tc>
        <w:tc>
          <w:tcPr>
            <w:tcW w:w="1372" w:type="dxa"/>
            <w:tcBorders>
              <w:left w:val="single" w:sz="4" w:space="0" w:color="auto"/>
              <w:bottom w:val="nil"/>
            </w:tcBorders>
            <w:vAlign w:val="bottom"/>
          </w:tcPr>
          <w:p w14:paraId="2AF08230" w14:textId="77777777" w:rsidR="003646A0" w:rsidRPr="00F93FFA" w:rsidRDefault="003646A0" w:rsidP="00C94C5B">
            <w:pPr>
              <w:keepNext/>
              <w:keepLines/>
              <w:widowControl w:val="0"/>
              <w:tabs>
                <w:tab w:val="left" w:pos="567"/>
              </w:tabs>
              <w:ind w:left="57" w:hanging="57"/>
              <w:rPr>
                <w:sz w:val="22"/>
                <w:szCs w:val="22"/>
              </w:rPr>
            </w:pPr>
            <w:r w:rsidRPr="00F93FFA">
              <w:rPr>
                <w:sz w:val="22"/>
                <w:szCs w:val="22"/>
              </w:rPr>
              <w:t>100 ir 95,5</w:t>
            </w:r>
          </w:p>
        </w:tc>
      </w:tr>
      <w:tr w:rsidR="003646A0" w:rsidRPr="00F93FFA" w14:paraId="77CE714F" w14:textId="77777777" w:rsidTr="00C94C5B">
        <w:trPr>
          <w:cantSplit/>
        </w:trPr>
        <w:tc>
          <w:tcPr>
            <w:tcW w:w="1129" w:type="dxa"/>
            <w:vMerge/>
            <w:shd w:val="clear" w:color="auto" w:fill="auto"/>
          </w:tcPr>
          <w:p w14:paraId="2C8A2C3B" w14:textId="77777777" w:rsidR="003646A0" w:rsidRPr="00F93FFA" w:rsidRDefault="003646A0" w:rsidP="00C94C5B">
            <w:pPr>
              <w:keepNext/>
              <w:keepLines/>
              <w:widowControl w:val="0"/>
              <w:tabs>
                <w:tab w:val="left" w:pos="567"/>
              </w:tabs>
              <w:rPr>
                <w:b/>
                <w:sz w:val="22"/>
                <w:szCs w:val="22"/>
              </w:rPr>
            </w:pPr>
          </w:p>
        </w:tc>
        <w:tc>
          <w:tcPr>
            <w:tcW w:w="1276" w:type="dxa"/>
            <w:tcBorders>
              <w:top w:val="nil"/>
              <w:bottom w:val="nil"/>
              <w:right w:val="single" w:sz="4" w:space="0" w:color="auto"/>
            </w:tcBorders>
            <w:vAlign w:val="bottom"/>
          </w:tcPr>
          <w:p w14:paraId="4BCF948C"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Vidutinė</w:t>
            </w:r>
          </w:p>
        </w:tc>
        <w:tc>
          <w:tcPr>
            <w:tcW w:w="1134" w:type="dxa"/>
            <w:tcBorders>
              <w:top w:val="nil"/>
              <w:left w:val="single" w:sz="4" w:space="0" w:color="auto"/>
              <w:bottom w:val="nil"/>
              <w:right w:val="single" w:sz="4" w:space="0" w:color="auto"/>
            </w:tcBorders>
            <w:vAlign w:val="bottom"/>
          </w:tcPr>
          <w:p w14:paraId="758292C7" w14:textId="77777777" w:rsidR="003646A0" w:rsidRPr="00F93FFA" w:rsidRDefault="003646A0" w:rsidP="00C94C5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2D45C6EB"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4/75 ir 6/78</w:t>
            </w:r>
          </w:p>
        </w:tc>
        <w:tc>
          <w:tcPr>
            <w:tcW w:w="1732" w:type="dxa"/>
            <w:tcBorders>
              <w:top w:val="nil"/>
              <w:left w:val="single" w:sz="4" w:space="0" w:color="auto"/>
              <w:bottom w:val="nil"/>
              <w:right w:val="single" w:sz="4" w:space="0" w:color="auto"/>
            </w:tcBorders>
            <w:vAlign w:val="bottom"/>
          </w:tcPr>
          <w:p w14:paraId="68ECEB21"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0,59 (0,17; 2,10)</w:t>
            </w:r>
          </w:p>
        </w:tc>
        <w:tc>
          <w:tcPr>
            <w:tcW w:w="1414" w:type="dxa"/>
            <w:tcBorders>
              <w:top w:val="nil"/>
              <w:left w:val="single" w:sz="4" w:space="0" w:color="auto"/>
              <w:bottom w:val="nil"/>
              <w:right w:val="single" w:sz="4" w:space="0" w:color="auto"/>
            </w:tcBorders>
            <w:vAlign w:val="bottom"/>
          </w:tcPr>
          <w:p w14:paraId="64052EF2"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94,8</w:t>
            </w:r>
          </w:p>
        </w:tc>
        <w:tc>
          <w:tcPr>
            <w:tcW w:w="1372" w:type="dxa"/>
            <w:tcBorders>
              <w:top w:val="nil"/>
              <w:left w:val="single" w:sz="4" w:space="0" w:color="auto"/>
              <w:bottom w:val="nil"/>
            </w:tcBorders>
            <w:vAlign w:val="bottom"/>
          </w:tcPr>
          <w:p w14:paraId="35E6F193"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97,8 ir 89,5</w:t>
            </w:r>
          </w:p>
        </w:tc>
      </w:tr>
      <w:tr w:rsidR="003646A0" w:rsidRPr="00F93FFA" w14:paraId="38A7A605" w14:textId="77777777" w:rsidTr="00C94C5B">
        <w:trPr>
          <w:cantSplit/>
        </w:trPr>
        <w:tc>
          <w:tcPr>
            <w:tcW w:w="1129" w:type="dxa"/>
            <w:vMerge/>
            <w:shd w:val="clear" w:color="auto" w:fill="auto"/>
          </w:tcPr>
          <w:p w14:paraId="45DDECE5"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p>
        </w:tc>
        <w:tc>
          <w:tcPr>
            <w:tcW w:w="1276" w:type="dxa"/>
            <w:tcBorders>
              <w:top w:val="nil"/>
              <w:right w:val="single" w:sz="4" w:space="0" w:color="auto"/>
            </w:tcBorders>
            <w:vAlign w:val="bottom"/>
          </w:tcPr>
          <w:p w14:paraId="6DD5D725"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Didelė</w:t>
            </w:r>
          </w:p>
        </w:tc>
        <w:tc>
          <w:tcPr>
            <w:tcW w:w="1134" w:type="dxa"/>
            <w:tcBorders>
              <w:top w:val="nil"/>
              <w:left w:val="single" w:sz="4" w:space="0" w:color="auto"/>
              <w:right w:val="single" w:sz="4" w:space="0" w:color="auto"/>
            </w:tcBorders>
            <w:vAlign w:val="bottom"/>
          </w:tcPr>
          <w:p w14:paraId="3FAB8AFF" w14:textId="77777777" w:rsidR="003646A0" w:rsidRPr="00F93FFA" w:rsidRDefault="003646A0" w:rsidP="00C94C5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3300297C"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21/140 ir 51/127</w:t>
            </w:r>
          </w:p>
        </w:tc>
        <w:tc>
          <w:tcPr>
            <w:tcW w:w="1732" w:type="dxa"/>
            <w:tcBorders>
              <w:top w:val="nil"/>
              <w:left w:val="single" w:sz="4" w:space="0" w:color="auto"/>
              <w:right w:val="single" w:sz="4" w:space="0" w:color="auto"/>
            </w:tcBorders>
            <w:vAlign w:val="bottom"/>
          </w:tcPr>
          <w:p w14:paraId="28445383"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0,29 (0,18; 0,49)</w:t>
            </w:r>
          </w:p>
        </w:tc>
        <w:tc>
          <w:tcPr>
            <w:tcW w:w="1414" w:type="dxa"/>
            <w:tcBorders>
              <w:top w:val="nil"/>
              <w:left w:val="single" w:sz="4" w:space="0" w:color="auto"/>
              <w:right w:val="single" w:sz="4" w:space="0" w:color="auto"/>
            </w:tcBorders>
            <w:vAlign w:val="bottom"/>
          </w:tcPr>
          <w:p w14:paraId="60449DC8"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94,8 ir 64,0</w:t>
            </w:r>
          </w:p>
        </w:tc>
        <w:tc>
          <w:tcPr>
            <w:tcW w:w="1372" w:type="dxa"/>
            <w:tcBorders>
              <w:top w:val="nil"/>
              <w:left w:val="single" w:sz="4" w:space="0" w:color="auto"/>
            </w:tcBorders>
            <w:vAlign w:val="bottom"/>
          </w:tcPr>
          <w:p w14:paraId="4365EFA7"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80,7 ir 46,6</w:t>
            </w:r>
          </w:p>
        </w:tc>
      </w:tr>
      <w:tr w:rsidR="003646A0" w:rsidRPr="00F93FFA" w14:paraId="7E206593" w14:textId="77777777" w:rsidTr="00C94C5B">
        <w:trPr>
          <w:cantSplit/>
        </w:trPr>
        <w:tc>
          <w:tcPr>
            <w:tcW w:w="1129" w:type="dxa"/>
            <w:vMerge w:val="restart"/>
            <w:shd w:val="clear" w:color="auto" w:fill="auto"/>
          </w:tcPr>
          <w:p w14:paraId="1298EB2E"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AFIP</w:t>
            </w:r>
          </w:p>
          <w:p w14:paraId="0F8303A1"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p>
        </w:tc>
        <w:tc>
          <w:tcPr>
            <w:tcW w:w="1276" w:type="dxa"/>
            <w:tcBorders>
              <w:bottom w:val="nil"/>
              <w:right w:val="single" w:sz="4" w:space="0" w:color="auto"/>
            </w:tcBorders>
            <w:vAlign w:val="bottom"/>
          </w:tcPr>
          <w:p w14:paraId="302EE8A4"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Labai maža</w:t>
            </w:r>
          </w:p>
        </w:tc>
        <w:tc>
          <w:tcPr>
            <w:tcW w:w="1134" w:type="dxa"/>
            <w:tcBorders>
              <w:left w:val="single" w:sz="4" w:space="0" w:color="auto"/>
              <w:bottom w:val="nil"/>
              <w:right w:val="single" w:sz="4" w:space="0" w:color="auto"/>
            </w:tcBorders>
            <w:vAlign w:val="bottom"/>
          </w:tcPr>
          <w:p w14:paraId="129FBB6A" w14:textId="77777777" w:rsidR="003646A0" w:rsidRPr="00F93FFA" w:rsidRDefault="003646A0" w:rsidP="00C94C5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14E59133"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0/52 ir 2/63</w:t>
            </w:r>
          </w:p>
        </w:tc>
        <w:tc>
          <w:tcPr>
            <w:tcW w:w="1732" w:type="dxa"/>
            <w:tcBorders>
              <w:left w:val="single" w:sz="4" w:space="0" w:color="auto"/>
              <w:bottom w:val="nil"/>
              <w:right w:val="single" w:sz="4" w:space="0" w:color="auto"/>
            </w:tcBorders>
            <w:vAlign w:val="bottom"/>
          </w:tcPr>
          <w:p w14:paraId="46001423"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N.R.</w:t>
            </w:r>
          </w:p>
        </w:tc>
        <w:tc>
          <w:tcPr>
            <w:tcW w:w="1414" w:type="dxa"/>
            <w:tcBorders>
              <w:left w:val="single" w:sz="4" w:space="0" w:color="auto"/>
              <w:bottom w:val="nil"/>
              <w:right w:val="single" w:sz="4" w:space="0" w:color="auto"/>
            </w:tcBorders>
            <w:vAlign w:val="bottom"/>
          </w:tcPr>
          <w:p w14:paraId="0C116EEA"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98,1</w:t>
            </w:r>
          </w:p>
        </w:tc>
        <w:tc>
          <w:tcPr>
            <w:tcW w:w="1372" w:type="dxa"/>
            <w:tcBorders>
              <w:left w:val="single" w:sz="4" w:space="0" w:color="auto"/>
              <w:bottom w:val="nil"/>
            </w:tcBorders>
            <w:vAlign w:val="bottom"/>
          </w:tcPr>
          <w:p w14:paraId="13D8C593"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93,0</w:t>
            </w:r>
          </w:p>
        </w:tc>
      </w:tr>
      <w:tr w:rsidR="003646A0" w:rsidRPr="00F93FFA" w14:paraId="1CB2CD86" w14:textId="77777777" w:rsidTr="00C94C5B">
        <w:trPr>
          <w:cantSplit/>
        </w:trPr>
        <w:tc>
          <w:tcPr>
            <w:tcW w:w="1129" w:type="dxa"/>
            <w:vMerge/>
            <w:shd w:val="clear" w:color="auto" w:fill="auto"/>
          </w:tcPr>
          <w:p w14:paraId="3BE5BC0D"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p>
        </w:tc>
        <w:tc>
          <w:tcPr>
            <w:tcW w:w="1276" w:type="dxa"/>
            <w:tcBorders>
              <w:top w:val="nil"/>
              <w:bottom w:val="nil"/>
              <w:right w:val="single" w:sz="4" w:space="0" w:color="auto"/>
            </w:tcBorders>
            <w:vAlign w:val="bottom"/>
          </w:tcPr>
          <w:p w14:paraId="776C1E1A"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Maža</w:t>
            </w:r>
          </w:p>
        </w:tc>
        <w:tc>
          <w:tcPr>
            <w:tcW w:w="1134" w:type="dxa"/>
            <w:tcBorders>
              <w:top w:val="nil"/>
              <w:left w:val="single" w:sz="4" w:space="0" w:color="auto"/>
              <w:bottom w:val="nil"/>
              <w:right w:val="single" w:sz="4" w:space="0" w:color="auto"/>
            </w:tcBorders>
            <w:vAlign w:val="bottom"/>
          </w:tcPr>
          <w:p w14:paraId="09CBD46B" w14:textId="77777777" w:rsidR="003646A0" w:rsidRPr="00F93FFA" w:rsidRDefault="003646A0" w:rsidP="00C94C5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6BA0C1D8"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2/70 ir 0/69</w:t>
            </w:r>
          </w:p>
        </w:tc>
        <w:tc>
          <w:tcPr>
            <w:tcW w:w="1732" w:type="dxa"/>
            <w:tcBorders>
              <w:top w:val="nil"/>
              <w:left w:val="single" w:sz="4" w:space="0" w:color="auto"/>
              <w:bottom w:val="nil"/>
              <w:right w:val="single" w:sz="4" w:space="0" w:color="auto"/>
            </w:tcBorders>
            <w:vAlign w:val="bottom"/>
          </w:tcPr>
          <w:p w14:paraId="1139656C"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N.R.</w:t>
            </w:r>
          </w:p>
        </w:tc>
        <w:tc>
          <w:tcPr>
            <w:tcW w:w="1414" w:type="dxa"/>
            <w:tcBorders>
              <w:top w:val="nil"/>
              <w:left w:val="single" w:sz="4" w:space="0" w:color="auto"/>
              <w:bottom w:val="nil"/>
              <w:right w:val="single" w:sz="4" w:space="0" w:color="auto"/>
            </w:tcBorders>
            <w:vAlign w:val="bottom"/>
          </w:tcPr>
          <w:p w14:paraId="61F48DB7"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100</w:t>
            </w:r>
          </w:p>
        </w:tc>
        <w:tc>
          <w:tcPr>
            <w:tcW w:w="1372" w:type="dxa"/>
            <w:tcBorders>
              <w:top w:val="nil"/>
              <w:left w:val="single" w:sz="4" w:space="0" w:color="auto"/>
              <w:bottom w:val="nil"/>
            </w:tcBorders>
            <w:vAlign w:val="bottom"/>
          </w:tcPr>
          <w:p w14:paraId="7DED8922"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97,8 ir 100</w:t>
            </w:r>
          </w:p>
        </w:tc>
      </w:tr>
      <w:tr w:rsidR="003646A0" w:rsidRPr="00F93FFA" w14:paraId="0B3D7EFF" w14:textId="77777777" w:rsidTr="00C94C5B">
        <w:trPr>
          <w:cantSplit/>
        </w:trPr>
        <w:tc>
          <w:tcPr>
            <w:tcW w:w="1129" w:type="dxa"/>
            <w:vMerge/>
            <w:shd w:val="clear" w:color="auto" w:fill="auto"/>
          </w:tcPr>
          <w:p w14:paraId="12833E03" w14:textId="77777777" w:rsidR="003646A0" w:rsidRPr="00F93FFA" w:rsidRDefault="003646A0" w:rsidP="00C94C5B">
            <w:pPr>
              <w:pStyle w:val="Table"/>
              <w:widowControl w:val="0"/>
              <w:tabs>
                <w:tab w:val="left" w:pos="567"/>
              </w:tabs>
              <w:spacing w:before="0" w:after="0"/>
              <w:rPr>
                <w:rFonts w:ascii="Times New Roman" w:hAnsi="Times New Roman"/>
                <w:b/>
                <w:sz w:val="22"/>
                <w:szCs w:val="22"/>
              </w:rPr>
            </w:pPr>
          </w:p>
        </w:tc>
        <w:tc>
          <w:tcPr>
            <w:tcW w:w="1276" w:type="dxa"/>
            <w:tcBorders>
              <w:top w:val="nil"/>
              <w:bottom w:val="nil"/>
              <w:right w:val="single" w:sz="4" w:space="0" w:color="auto"/>
            </w:tcBorders>
            <w:vAlign w:val="bottom"/>
          </w:tcPr>
          <w:p w14:paraId="4FEEB2A2"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Vidutinė</w:t>
            </w:r>
          </w:p>
        </w:tc>
        <w:tc>
          <w:tcPr>
            <w:tcW w:w="1134" w:type="dxa"/>
            <w:tcBorders>
              <w:top w:val="nil"/>
              <w:left w:val="single" w:sz="4" w:space="0" w:color="auto"/>
              <w:bottom w:val="nil"/>
              <w:right w:val="single" w:sz="4" w:space="0" w:color="auto"/>
            </w:tcBorders>
            <w:vAlign w:val="bottom"/>
          </w:tcPr>
          <w:p w14:paraId="1347DDE0" w14:textId="77777777" w:rsidR="003646A0" w:rsidRPr="00F93FFA" w:rsidRDefault="003646A0" w:rsidP="00C94C5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471798DD"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2/70 ir 11/67</w:t>
            </w:r>
          </w:p>
        </w:tc>
        <w:tc>
          <w:tcPr>
            <w:tcW w:w="1732" w:type="dxa"/>
            <w:tcBorders>
              <w:top w:val="nil"/>
              <w:left w:val="single" w:sz="4" w:space="0" w:color="auto"/>
              <w:bottom w:val="nil"/>
              <w:right w:val="single" w:sz="4" w:space="0" w:color="auto"/>
            </w:tcBorders>
            <w:vAlign w:val="bottom"/>
          </w:tcPr>
          <w:p w14:paraId="6F5042DB"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0,16 (0,03; 0,70)</w:t>
            </w:r>
          </w:p>
        </w:tc>
        <w:tc>
          <w:tcPr>
            <w:tcW w:w="1414" w:type="dxa"/>
            <w:tcBorders>
              <w:top w:val="nil"/>
              <w:left w:val="single" w:sz="4" w:space="0" w:color="auto"/>
              <w:bottom w:val="nil"/>
              <w:right w:val="single" w:sz="4" w:space="0" w:color="auto"/>
            </w:tcBorders>
            <w:vAlign w:val="bottom"/>
          </w:tcPr>
          <w:p w14:paraId="7521ACF6"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97,9 ir 90,8</w:t>
            </w:r>
          </w:p>
        </w:tc>
        <w:tc>
          <w:tcPr>
            <w:tcW w:w="1372" w:type="dxa"/>
            <w:tcBorders>
              <w:top w:val="nil"/>
              <w:left w:val="single" w:sz="4" w:space="0" w:color="auto"/>
              <w:bottom w:val="nil"/>
            </w:tcBorders>
            <w:vAlign w:val="bottom"/>
          </w:tcPr>
          <w:p w14:paraId="27F55EAB"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97,9 ir 73,3</w:t>
            </w:r>
          </w:p>
        </w:tc>
      </w:tr>
      <w:tr w:rsidR="003646A0" w:rsidRPr="00F93FFA" w14:paraId="059EF718" w14:textId="77777777" w:rsidTr="00C94C5B">
        <w:trPr>
          <w:cantSplit/>
        </w:trPr>
        <w:tc>
          <w:tcPr>
            <w:tcW w:w="1129" w:type="dxa"/>
            <w:vMerge/>
            <w:tcBorders>
              <w:bottom w:val="single" w:sz="4" w:space="0" w:color="auto"/>
            </w:tcBorders>
            <w:shd w:val="clear" w:color="auto" w:fill="auto"/>
          </w:tcPr>
          <w:p w14:paraId="513DAAF1"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p>
        </w:tc>
        <w:tc>
          <w:tcPr>
            <w:tcW w:w="1276" w:type="dxa"/>
            <w:tcBorders>
              <w:top w:val="nil"/>
              <w:bottom w:val="single" w:sz="4" w:space="0" w:color="auto"/>
              <w:right w:val="single" w:sz="4" w:space="0" w:color="auto"/>
            </w:tcBorders>
            <w:vAlign w:val="bottom"/>
          </w:tcPr>
          <w:p w14:paraId="45D3C321"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Didelė</w:t>
            </w:r>
          </w:p>
        </w:tc>
        <w:tc>
          <w:tcPr>
            <w:tcW w:w="1134" w:type="dxa"/>
            <w:tcBorders>
              <w:top w:val="nil"/>
              <w:left w:val="single" w:sz="4" w:space="0" w:color="auto"/>
              <w:bottom w:val="single" w:sz="4" w:space="0" w:color="auto"/>
              <w:right w:val="single" w:sz="4" w:space="0" w:color="auto"/>
            </w:tcBorders>
            <w:vAlign w:val="bottom"/>
          </w:tcPr>
          <w:p w14:paraId="67F1B22F" w14:textId="77777777" w:rsidR="003646A0" w:rsidRPr="00F93FFA" w:rsidRDefault="003646A0" w:rsidP="00C94C5B">
            <w:pPr>
              <w:pStyle w:val="Table"/>
              <w:widowControl w:val="0"/>
              <w:tabs>
                <w:tab w:val="left" w:pos="567"/>
              </w:tabs>
              <w:spacing w:before="0" w:after="0"/>
              <w:ind w:right="-3"/>
              <w:jc w:val="center"/>
              <w:rPr>
                <w:rFonts w:ascii="Times New Roman" w:hAnsi="Times New Roman"/>
                <w:sz w:val="22"/>
                <w:szCs w:val="22"/>
              </w:rPr>
            </w:pPr>
            <w:r w:rsidRPr="00F93FFA">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3E4DB62D"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16/84 ir 39/81</w:t>
            </w:r>
          </w:p>
        </w:tc>
        <w:tc>
          <w:tcPr>
            <w:tcW w:w="1732" w:type="dxa"/>
            <w:tcBorders>
              <w:top w:val="nil"/>
              <w:left w:val="single" w:sz="4" w:space="0" w:color="auto"/>
              <w:bottom w:val="single" w:sz="4" w:space="0" w:color="auto"/>
              <w:right w:val="single" w:sz="4" w:space="0" w:color="auto"/>
            </w:tcBorders>
            <w:vAlign w:val="bottom"/>
          </w:tcPr>
          <w:p w14:paraId="4652B4EA"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0,27 (0,15; 0,48)</w:t>
            </w:r>
          </w:p>
        </w:tc>
        <w:tc>
          <w:tcPr>
            <w:tcW w:w="1414" w:type="dxa"/>
            <w:tcBorders>
              <w:top w:val="nil"/>
              <w:left w:val="single" w:sz="4" w:space="0" w:color="auto"/>
              <w:bottom w:val="single" w:sz="4" w:space="0" w:color="auto"/>
              <w:right w:val="single" w:sz="4" w:space="0" w:color="auto"/>
            </w:tcBorders>
            <w:vAlign w:val="bottom"/>
          </w:tcPr>
          <w:p w14:paraId="6DF3434E"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98,7 ir 56,1</w:t>
            </w:r>
          </w:p>
        </w:tc>
        <w:tc>
          <w:tcPr>
            <w:tcW w:w="1372" w:type="dxa"/>
            <w:tcBorders>
              <w:top w:val="nil"/>
              <w:left w:val="single" w:sz="4" w:space="0" w:color="auto"/>
              <w:bottom w:val="single" w:sz="4" w:space="0" w:color="auto"/>
            </w:tcBorders>
            <w:vAlign w:val="bottom"/>
          </w:tcPr>
          <w:p w14:paraId="286A006C" w14:textId="77777777" w:rsidR="003646A0" w:rsidRPr="00F93FFA" w:rsidRDefault="003646A0" w:rsidP="00C94C5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79,9 ir 41,5</w:t>
            </w:r>
          </w:p>
        </w:tc>
      </w:tr>
    </w:tbl>
    <w:p w14:paraId="3E7A0E9D" w14:textId="77777777" w:rsidR="003646A0" w:rsidRPr="00F93FFA" w:rsidRDefault="003646A0" w:rsidP="00C94C5B">
      <w:pPr>
        <w:pStyle w:val="Text"/>
        <w:keepNext/>
        <w:keepLines/>
        <w:widowControl w:val="0"/>
        <w:spacing w:before="0"/>
        <w:rPr>
          <w:sz w:val="22"/>
          <w:szCs w:val="22"/>
          <w:lang w:val="lt-LT"/>
        </w:rPr>
      </w:pPr>
      <w:r w:rsidRPr="00F93FFA">
        <w:rPr>
          <w:sz w:val="22"/>
          <w:szCs w:val="22"/>
          <w:lang w:val="lt-LT"/>
        </w:rPr>
        <w:t>*Visas stebėjimo laikotarpis; NR – Nenustatytas</w:t>
      </w:r>
    </w:p>
    <w:p w14:paraId="6B8F6E08"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787D104E" w14:textId="77777777" w:rsidR="003646A0" w:rsidRPr="00F93FFA" w:rsidRDefault="003646A0" w:rsidP="00DE16D0">
      <w:pPr>
        <w:widowControl w:val="0"/>
        <w:rPr>
          <w:rFonts w:eastAsia="MS Mincho"/>
          <w:iCs/>
          <w:sz w:val="22"/>
          <w:szCs w:val="22"/>
          <w:lang w:eastAsia="ja-JP"/>
        </w:rPr>
      </w:pPr>
      <w:r w:rsidRPr="00F93FFA">
        <w:rPr>
          <w:rFonts w:eastAsia="MS Mincho"/>
          <w:sz w:val="22"/>
          <w:szCs w:val="22"/>
          <w:lang w:eastAsia="ja-JP"/>
        </w:rPr>
        <w:t xml:space="preserve">Atlikto antrojo daugiacentrio atvirojo III fazės tyrimo (SSG XVIII/AIO) metu buvo lyginamas </w:t>
      </w:r>
      <w:r w:rsidRPr="00F93FFA">
        <w:rPr>
          <w:color w:val="000000"/>
          <w:sz w:val="22"/>
          <w:szCs w:val="22"/>
        </w:rPr>
        <w:t xml:space="preserve">VTSN sergančių pacientų po chirurginės naviko rezekcijos </w:t>
      </w:r>
      <w:r w:rsidRPr="00F93FFA">
        <w:rPr>
          <w:rFonts w:eastAsia="MS Mincho"/>
          <w:sz w:val="22"/>
          <w:szCs w:val="22"/>
          <w:lang w:eastAsia="ja-JP"/>
        </w:rPr>
        <w:t xml:space="preserve">12 mėnesių trukmės gydymas su 36 mėnesių trukmės gydymu 400 mg Glivec paros doze, kai buvo viena iš toliau nurodytų sąlygų: naviko skersmuo </w:t>
      </w:r>
      <w:r w:rsidRPr="00F93FFA">
        <w:rPr>
          <w:rFonts w:eastAsia="MS Mincho"/>
          <w:iCs/>
          <w:sz w:val="22"/>
          <w:szCs w:val="22"/>
          <w:lang w:eastAsia="ja-JP"/>
        </w:rPr>
        <w:t>&gt; 5</w:t>
      </w:r>
      <w:r w:rsidRPr="00F93FFA">
        <w:rPr>
          <w:rFonts w:eastAsia="MS Mincho"/>
          <w:sz w:val="22"/>
          <w:szCs w:val="22"/>
          <w:lang w:eastAsia="ja-JP"/>
        </w:rPr>
        <w:t> </w:t>
      </w:r>
      <w:r w:rsidRPr="00F93FFA">
        <w:rPr>
          <w:rFonts w:eastAsia="MS Mincho"/>
          <w:iCs/>
          <w:sz w:val="22"/>
          <w:szCs w:val="22"/>
          <w:lang w:eastAsia="ja-JP"/>
        </w:rPr>
        <w:t xml:space="preserve">cm ir mitozių skaičius &gt; 5/50 didelės didinamosios galios laukų (DDGL); arba </w:t>
      </w:r>
      <w:r w:rsidRPr="00F93FFA">
        <w:rPr>
          <w:rFonts w:eastAsia="MS Mincho"/>
          <w:sz w:val="22"/>
          <w:szCs w:val="22"/>
          <w:lang w:eastAsia="ja-JP"/>
        </w:rPr>
        <w:t xml:space="preserve">naviko skersmuo </w:t>
      </w:r>
      <w:r w:rsidRPr="00F93FFA">
        <w:rPr>
          <w:rFonts w:eastAsia="MS Mincho"/>
          <w:iCs/>
          <w:sz w:val="22"/>
          <w:szCs w:val="22"/>
          <w:lang w:eastAsia="ja-JP"/>
        </w:rPr>
        <w:t>&gt; 10</w:t>
      </w:r>
      <w:r w:rsidRPr="00F93FFA">
        <w:rPr>
          <w:rFonts w:eastAsia="MS Mincho"/>
          <w:sz w:val="22"/>
          <w:szCs w:val="22"/>
          <w:lang w:eastAsia="ja-JP"/>
        </w:rPr>
        <w:t> </w:t>
      </w:r>
      <w:r w:rsidRPr="00F93FFA">
        <w:rPr>
          <w:rFonts w:eastAsia="MS Mincho"/>
          <w:iCs/>
          <w:sz w:val="22"/>
          <w:szCs w:val="22"/>
          <w:lang w:eastAsia="ja-JP"/>
        </w:rPr>
        <w:t>cm ir bet koks mitozių skaičius; arba bet kokio skersmens navikas ir mitozių skaičius &gt; 10/50 DDGL; arba navikas plyšęs į pilvaplėvės ertmę. Tyrime sutiko dalyvauti ir buvo atrinkti iš viso 397</w:t>
      </w:r>
      <w:r w:rsidRPr="00F93FFA">
        <w:rPr>
          <w:rFonts w:eastAsia="MS Mincho"/>
          <w:sz w:val="22"/>
          <w:szCs w:val="22"/>
          <w:lang w:eastAsia="ja-JP"/>
        </w:rPr>
        <w:t> </w:t>
      </w:r>
      <w:r w:rsidRPr="00F93FFA">
        <w:rPr>
          <w:rFonts w:eastAsia="MS Mincho"/>
          <w:iCs/>
          <w:sz w:val="22"/>
          <w:szCs w:val="22"/>
          <w:lang w:eastAsia="ja-JP"/>
        </w:rPr>
        <w:t>pacientai (199</w:t>
      </w:r>
      <w:r w:rsidRPr="00F93FFA">
        <w:rPr>
          <w:rFonts w:eastAsia="MS Mincho"/>
          <w:sz w:val="22"/>
          <w:szCs w:val="22"/>
          <w:lang w:eastAsia="ja-JP"/>
        </w:rPr>
        <w:t> </w:t>
      </w:r>
      <w:r w:rsidRPr="00F93FFA">
        <w:rPr>
          <w:rFonts w:eastAsia="MS Mincho"/>
          <w:iCs/>
          <w:sz w:val="22"/>
          <w:szCs w:val="22"/>
          <w:lang w:eastAsia="ja-JP"/>
        </w:rPr>
        <w:t>pacientams skirtas 12 mėnesių trukmės gydymas, o 198</w:t>
      </w:r>
      <w:r w:rsidRPr="00F93FFA">
        <w:rPr>
          <w:rFonts w:eastAsia="MS Mincho"/>
          <w:sz w:val="22"/>
          <w:szCs w:val="22"/>
          <w:lang w:eastAsia="ja-JP"/>
        </w:rPr>
        <w:t> </w:t>
      </w:r>
      <w:r w:rsidRPr="00F93FFA">
        <w:rPr>
          <w:rFonts w:eastAsia="MS Mincho"/>
          <w:iCs/>
          <w:sz w:val="22"/>
          <w:szCs w:val="22"/>
          <w:lang w:eastAsia="ja-JP"/>
        </w:rPr>
        <w:t xml:space="preserve">pacientams skirtas 36 mėnesių trukmės gydymas), jų amžiaus mediana buvo </w:t>
      </w:r>
      <w:r w:rsidRPr="00F93FFA">
        <w:rPr>
          <w:rFonts w:eastAsia="MS Mincho"/>
          <w:bCs/>
          <w:iCs/>
          <w:sz w:val="22"/>
          <w:szCs w:val="22"/>
          <w:lang w:eastAsia="ja-JP"/>
        </w:rPr>
        <w:t>61</w:t>
      </w:r>
      <w:r w:rsidRPr="00F93FFA">
        <w:rPr>
          <w:rFonts w:eastAsia="MS Mincho"/>
          <w:sz w:val="22"/>
          <w:szCs w:val="22"/>
          <w:lang w:eastAsia="ja-JP"/>
        </w:rPr>
        <w:t> metai</w:t>
      </w:r>
      <w:r w:rsidRPr="00F93FFA">
        <w:rPr>
          <w:rFonts w:eastAsia="MS Mincho"/>
          <w:iCs/>
          <w:sz w:val="22"/>
          <w:szCs w:val="22"/>
          <w:lang w:eastAsia="ja-JP"/>
        </w:rPr>
        <w:t xml:space="preserve"> (svyravo nuo 22 iki 84</w:t>
      </w:r>
      <w:r w:rsidRPr="00F93FFA">
        <w:rPr>
          <w:rFonts w:eastAsia="MS Mincho"/>
          <w:sz w:val="22"/>
          <w:szCs w:val="22"/>
          <w:lang w:eastAsia="ja-JP"/>
        </w:rPr>
        <w:t> metų</w:t>
      </w:r>
      <w:r w:rsidRPr="00F93FFA">
        <w:rPr>
          <w:rFonts w:eastAsia="MS Mincho"/>
          <w:iCs/>
          <w:sz w:val="22"/>
          <w:szCs w:val="22"/>
          <w:lang w:eastAsia="ja-JP"/>
        </w:rPr>
        <w:t>). Vidutinė stebėjimo laikotarpio mediana buvo 54</w:t>
      </w:r>
      <w:r w:rsidRPr="00F93FFA">
        <w:rPr>
          <w:rFonts w:eastAsia="MS Mincho"/>
          <w:sz w:val="22"/>
          <w:szCs w:val="22"/>
          <w:lang w:eastAsia="ja-JP"/>
        </w:rPr>
        <w:t> </w:t>
      </w:r>
      <w:r w:rsidRPr="00F93FFA">
        <w:rPr>
          <w:rFonts w:eastAsia="MS Mincho"/>
          <w:iCs/>
          <w:sz w:val="22"/>
          <w:szCs w:val="22"/>
          <w:lang w:eastAsia="ja-JP"/>
        </w:rPr>
        <w:t xml:space="preserve">mėnesiai (nuo </w:t>
      </w:r>
      <w:r w:rsidRPr="00F93FFA">
        <w:rPr>
          <w:rFonts w:eastAsia="MS Mincho"/>
          <w:color w:val="000000"/>
          <w:sz w:val="22"/>
          <w:szCs w:val="22"/>
          <w:lang w:eastAsia="ja-JP"/>
        </w:rPr>
        <w:t xml:space="preserve">randomizacijos </w:t>
      </w:r>
      <w:r w:rsidRPr="00F93FFA">
        <w:rPr>
          <w:rFonts w:eastAsia="MS Mincho"/>
          <w:iCs/>
          <w:sz w:val="22"/>
          <w:szCs w:val="22"/>
          <w:lang w:eastAsia="ja-JP"/>
        </w:rPr>
        <w:t>dienos iki tyrimo pabaigos), nuo pirmojo paciento atrankos iki tyrimo pabaigos dienos praėjo iš viso 83</w:t>
      </w:r>
      <w:r w:rsidRPr="00F93FFA">
        <w:rPr>
          <w:rFonts w:eastAsia="MS Mincho"/>
          <w:sz w:val="22"/>
          <w:szCs w:val="22"/>
          <w:lang w:eastAsia="ja-JP"/>
        </w:rPr>
        <w:t> </w:t>
      </w:r>
      <w:r w:rsidRPr="00F93FFA">
        <w:rPr>
          <w:rFonts w:eastAsia="MS Mincho"/>
          <w:iCs/>
          <w:sz w:val="22"/>
          <w:szCs w:val="22"/>
          <w:lang w:eastAsia="ja-JP"/>
        </w:rPr>
        <w:t>mėnesiai.</w:t>
      </w:r>
    </w:p>
    <w:p w14:paraId="70E773A6" w14:textId="77777777" w:rsidR="003646A0" w:rsidRPr="00F93FFA" w:rsidRDefault="003646A0" w:rsidP="00DE16D0">
      <w:pPr>
        <w:widowControl w:val="0"/>
        <w:rPr>
          <w:rFonts w:eastAsia="MS Mincho"/>
          <w:iCs/>
          <w:sz w:val="22"/>
          <w:szCs w:val="22"/>
          <w:lang w:eastAsia="ja-JP"/>
        </w:rPr>
      </w:pPr>
    </w:p>
    <w:p w14:paraId="7A4C961F" w14:textId="77777777" w:rsidR="003646A0" w:rsidRPr="00F93FFA" w:rsidRDefault="003646A0" w:rsidP="00DE16D0">
      <w:pPr>
        <w:widowControl w:val="0"/>
        <w:rPr>
          <w:rFonts w:eastAsia="MS Mincho"/>
          <w:sz w:val="22"/>
          <w:szCs w:val="22"/>
          <w:lang w:eastAsia="ja-JP"/>
        </w:rPr>
      </w:pPr>
      <w:r w:rsidRPr="00F93FFA">
        <w:rPr>
          <w:rFonts w:eastAsia="MS Mincho"/>
          <w:sz w:val="22"/>
          <w:szCs w:val="22"/>
          <w:lang w:eastAsia="ja-JP"/>
        </w:rPr>
        <w:t xml:space="preserve">Pirminė tyrimo vertinamoji baigtis buvo </w:t>
      </w:r>
      <w:r w:rsidRPr="00F93FFA">
        <w:rPr>
          <w:rFonts w:eastAsia="MS Mincho"/>
          <w:color w:val="000000"/>
          <w:sz w:val="22"/>
          <w:szCs w:val="22"/>
          <w:lang w:eastAsia="ja-JP"/>
        </w:rPr>
        <w:t xml:space="preserve">išgyvenamumas be ligos recidyvo (angl. </w:t>
      </w:r>
      <w:r w:rsidRPr="00F93FFA">
        <w:rPr>
          <w:rFonts w:eastAsia="MS Mincho"/>
          <w:i/>
          <w:color w:val="000000"/>
          <w:sz w:val="22"/>
          <w:szCs w:val="22"/>
          <w:lang w:eastAsia="ja-JP"/>
        </w:rPr>
        <w:t>recurrence-free survival – RFS</w:t>
      </w:r>
      <w:r w:rsidRPr="00F93FFA">
        <w:rPr>
          <w:rFonts w:eastAsia="MS Mincho"/>
          <w:color w:val="000000"/>
          <w:sz w:val="22"/>
          <w:szCs w:val="22"/>
          <w:lang w:eastAsia="ja-JP"/>
        </w:rPr>
        <w:t>), nustatomas kaip laikas nuo randomizacijos dienos iki recidyvo pasireiškimo dienos arba mirties dėl bet kokios priežasties</w:t>
      </w:r>
      <w:r w:rsidRPr="00F93FFA">
        <w:rPr>
          <w:rFonts w:eastAsia="MS Mincho"/>
          <w:sz w:val="22"/>
          <w:szCs w:val="22"/>
          <w:lang w:eastAsia="ja-JP"/>
        </w:rPr>
        <w:t>.</w:t>
      </w:r>
    </w:p>
    <w:p w14:paraId="672815FA" w14:textId="77777777" w:rsidR="003646A0" w:rsidRPr="00F93FFA" w:rsidRDefault="003646A0" w:rsidP="00DE16D0">
      <w:pPr>
        <w:widowControl w:val="0"/>
        <w:rPr>
          <w:rFonts w:eastAsia="MS Mincho"/>
          <w:sz w:val="22"/>
          <w:szCs w:val="22"/>
          <w:lang w:eastAsia="ja-JP"/>
        </w:rPr>
      </w:pPr>
    </w:p>
    <w:p w14:paraId="07DFF542" w14:textId="77777777" w:rsidR="003646A0" w:rsidRPr="00F93FFA" w:rsidRDefault="003646A0" w:rsidP="00DE16D0">
      <w:pPr>
        <w:widowControl w:val="0"/>
        <w:rPr>
          <w:rFonts w:eastAsia="MS Mincho"/>
          <w:iCs/>
          <w:color w:val="000000"/>
          <w:sz w:val="22"/>
          <w:szCs w:val="22"/>
          <w:lang w:eastAsia="ja-JP"/>
        </w:rPr>
      </w:pPr>
      <w:r w:rsidRPr="00F93FFA">
        <w:rPr>
          <w:rFonts w:eastAsia="MS Mincho"/>
          <w:iCs/>
          <w:sz w:val="22"/>
          <w:szCs w:val="22"/>
          <w:lang w:eastAsia="ja-JP"/>
        </w:rPr>
        <w:t>Trisdešimt šešių (36) mėnesių trukmės gydymas Glivec reikšmingai pailgino RFS rodiklį, lyginant su 12</w:t>
      </w:r>
      <w:r w:rsidRPr="00F93FFA">
        <w:rPr>
          <w:rFonts w:eastAsia="MS Mincho"/>
          <w:sz w:val="22"/>
          <w:szCs w:val="22"/>
          <w:lang w:eastAsia="ja-JP"/>
        </w:rPr>
        <w:t> </w:t>
      </w:r>
      <w:r w:rsidRPr="00F93FFA">
        <w:rPr>
          <w:rFonts w:eastAsia="MS Mincho"/>
          <w:iCs/>
          <w:sz w:val="22"/>
          <w:szCs w:val="22"/>
          <w:lang w:eastAsia="ja-JP"/>
        </w:rPr>
        <w:t xml:space="preserve">mėnesių trukmės gydymu Glivec </w:t>
      </w:r>
      <w:r w:rsidRPr="00F93FFA">
        <w:rPr>
          <w:rFonts w:eastAsia="MS Mincho"/>
          <w:iCs/>
          <w:color w:val="000000"/>
          <w:sz w:val="22"/>
          <w:szCs w:val="22"/>
          <w:lang w:eastAsia="ja-JP"/>
        </w:rPr>
        <w:t xml:space="preserve">(bendrasis rizikos santykis (RS) lygus 0,46 [0,32, 0,65], p&lt;0,0001) (žr. </w:t>
      </w:r>
      <w:r w:rsidR="00BE4094" w:rsidRPr="00F93FFA">
        <w:rPr>
          <w:rFonts w:eastAsia="MS Mincho"/>
          <w:iCs/>
          <w:color w:val="000000"/>
          <w:sz w:val="22"/>
          <w:szCs w:val="22"/>
          <w:lang w:eastAsia="ja-JP"/>
        </w:rPr>
        <w:t>8</w:t>
      </w:r>
      <w:r w:rsidRPr="00F93FFA">
        <w:rPr>
          <w:rFonts w:eastAsia="MS Mincho"/>
          <w:iCs/>
          <w:color w:val="000000"/>
          <w:sz w:val="22"/>
          <w:szCs w:val="22"/>
          <w:lang w:eastAsia="ja-JP"/>
        </w:rPr>
        <w:t xml:space="preserve"> lentelę, </w:t>
      </w:r>
      <w:r w:rsidRPr="00F93FFA">
        <w:rPr>
          <w:rFonts w:eastAsia="MS Mincho"/>
          <w:sz w:val="22"/>
          <w:szCs w:val="22"/>
        </w:rPr>
        <w:t>1 pav.</w:t>
      </w:r>
      <w:r w:rsidRPr="00F93FFA">
        <w:rPr>
          <w:rFonts w:eastAsia="MS Mincho"/>
          <w:iCs/>
          <w:color w:val="000000"/>
          <w:sz w:val="22"/>
          <w:szCs w:val="22"/>
          <w:lang w:eastAsia="ja-JP"/>
        </w:rPr>
        <w:t>).</w:t>
      </w:r>
    </w:p>
    <w:p w14:paraId="35D0ABDC" w14:textId="77777777" w:rsidR="003646A0" w:rsidRPr="00F93FFA" w:rsidRDefault="003646A0" w:rsidP="00DE16D0">
      <w:pPr>
        <w:widowControl w:val="0"/>
        <w:rPr>
          <w:rFonts w:eastAsia="MS Mincho"/>
          <w:iCs/>
          <w:color w:val="000000"/>
          <w:sz w:val="22"/>
          <w:szCs w:val="22"/>
          <w:lang w:eastAsia="ja-JP"/>
        </w:rPr>
      </w:pPr>
    </w:p>
    <w:p w14:paraId="215DEA52" w14:textId="75E72BBF" w:rsidR="003646A0" w:rsidRPr="00F93FFA" w:rsidRDefault="003646A0" w:rsidP="00DE16D0">
      <w:pPr>
        <w:widowControl w:val="0"/>
        <w:rPr>
          <w:rFonts w:eastAsia="MS Mincho"/>
          <w:iCs/>
          <w:color w:val="000000"/>
          <w:sz w:val="22"/>
          <w:szCs w:val="22"/>
          <w:lang w:eastAsia="ja-JP"/>
        </w:rPr>
      </w:pPr>
      <w:r w:rsidRPr="00F93FFA">
        <w:rPr>
          <w:rFonts w:eastAsia="MS Mincho"/>
          <w:iCs/>
          <w:color w:val="000000"/>
          <w:sz w:val="22"/>
          <w:szCs w:val="22"/>
          <w:lang w:eastAsia="ja-JP"/>
        </w:rPr>
        <w:t>Be to, t</w:t>
      </w:r>
      <w:r w:rsidRPr="00F93FFA">
        <w:rPr>
          <w:rFonts w:eastAsia="MS Mincho"/>
          <w:iCs/>
          <w:sz w:val="22"/>
          <w:szCs w:val="22"/>
          <w:lang w:eastAsia="ja-JP"/>
        </w:rPr>
        <w:t>risdešimt šešių (36) mėnesių trukmės gydymas Glivec reikšmingai pailgino bendrojo išgyvenamumo rodiklį, lyginant su 12</w:t>
      </w:r>
      <w:r w:rsidRPr="00F93FFA">
        <w:rPr>
          <w:rFonts w:eastAsia="MS Mincho"/>
          <w:sz w:val="22"/>
          <w:szCs w:val="22"/>
          <w:lang w:eastAsia="ja-JP"/>
        </w:rPr>
        <w:t> </w:t>
      </w:r>
      <w:r w:rsidRPr="00F93FFA">
        <w:rPr>
          <w:rFonts w:eastAsia="MS Mincho"/>
          <w:iCs/>
          <w:sz w:val="22"/>
          <w:szCs w:val="22"/>
          <w:lang w:eastAsia="ja-JP"/>
        </w:rPr>
        <w:t xml:space="preserve">mėnesių trukmės gydymu Glivec </w:t>
      </w:r>
      <w:r w:rsidRPr="00F93FFA">
        <w:rPr>
          <w:rFonts w:eastAsia="MS Mincho"/>
          <w:iCs/>
          <w:color w:val="000000"/>
          <w:sz w:val="22"/>
          <w:szCs w:val="22"/>
          <w:lang w:eastAsia="ja-JP"/>
        </w:rPr>
        <w:t>(RS</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0,45 [0,22, 0,89], p</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 xml:space="preserve">0,0187) (žr. </w:t>
      </w:r>
      <w:r w:rsidR="00BE4094" w:rsidRPr="00F93FFA">
        <w:rPr>
          <w:rFonts w:eastAsia="MS Mincho"/>
          <w:iCs/>
          <w:color w:val="000000"/>
          <w:sz w:val="22"/>
          <w:szCs w:val="22"/>
          <w:lang w:eastAsia="ja-JP"/>
        </w:rPr>
        <w:t>8</w:t>
      </w:r>
      <w:r w:rsidRPr="00F93FFA">
        <w:rPr>
          <w:rFonts w:eastAsia="MS Mincho"/>
          <w:iCs/>
          <w:color w:val="000000"/>
          <w:sz w:val="22"/>
          <w:szCs w:val="22"/>
          <w:lang w:eastAsia="ja-JP"/>
        </w:rPr>
        <w:t> lentelę, 2</w:t>
      </w:r>
      <w:r w:rsidRPr="00F93FFA">
        <w:rPr>
          <w:rFonts w:eastAsia="MS Mincho"/>
          <w:sz w:val="22"/>
          <w:szCs w:val="22"/>
        </w:rPr>
        <w:t> pav.</w:t>
      </w:r>
      <w:r w:rsidRPr="00F93FFA">
        <w:rPr>
          <w:rFonts w:eastAsia="MS Mincho"/>
          <w:iCs/>
          <w:color w:val="000000"/>
          <w:sz w:val="22"/>
          <w:szCs w:val="22"/>
          <w:lang w:eastAsia="ja-JP"/>
        </w:rPr>
        <w:t>).</w:t>
      </w:r>
    </w:p>
    <w:p w14:paraId="2AF305A3" w14:textId="77777777" w:rsidR="003646A0" w:rsidRPr="00F93FFA" w:rsidRDefault="003646A0" w:rsidP="00DE16D0">
      <w:pPr>
        <w:widowControl w:val="0"/>
        <w:rPr>
          <w:rFonts w:eastAsia="MS Mincho"/>
          <w:iCs/>
          <w:color w:val="000000"/>
          <w:sz w:val="22"/>
          <w:szCs w:val="22"/>
          <w:lang w:eastAsia="ja-JP"/>
        </w:rPr>
      </w:pPr>
    </w:p>
    <w:p w14:paraId="482BFA62" w14:textId="77777777" w:rsidR="003646A0" w:rsidRPr="00F93FFA" w:rsidRDefault="003646A0" w:rsidP="00DE16D0">
      <w:pPr>
        <w:widowControl w:val="0"/>
        <w:rPr>
          <w:rFonts w:eastAsia="MS Mincho"/>
          <w:iCs/>
          <w:color w:val="000000"/>
          <w:sz w:val="22"/>
          <w:szCs w:val="22"/>
          <w:lang w:eastAsia="ja-JP"/>
        </w:rPr>
      </w:pPr>
      <w:r w:rsidRPr="00F93FFA">
        <w:rPr>
          <w:rFonts w:eastAsia="MS Mincho"/>
          <w:iCs/>
          <w:color w:val="000000"/>
          <w:sz w:val="22"/>
          <w:szCs w:val="22"/>
          <w:lang w:eastAsia="ja-JP"/>
        </w:rPr>
        <w:t>Ilgesnė gydymo trukmė (&gt; 36 mėnesių) gali atitolinti kitų recidyvų pasireiškimo pradžią; tačiau šių duomenų reikšmė bendrajam išgyvenamumui iki šiol nežinoma.</w:t>
      </w:r>
    </w:p>
    <w:p w14:paraId="5A3155F8" w14:textId="77777777" w:rsidR="003646A0" w:rsidRPr="00F93FFA" w:rsidRDefault="003646A0" w:rsidP="00DE16D0">
      <w:pPr>
        <w:widowControl w:val="0"/>
        <w:rPr>
          <w:rFonts w:eastAsia="MS Mincho"/>
          <w:iCs/>
          <w:color w:val="000000"/>
          <w:sz w:val="22"/>
          <w:szCs w:val="22"/>
          <w:lang w:eastAsia="ja-JP"/>
        </w:rPr>
      </w:pPr>
    </w:p>
    <w:p w14:paraId="31BBF92A" w14:textId="77777777" w:rsidR="003646A0" w:rsidRPr="00F93FFA" w:rsidRDefault="003646A0" w:rsidP="00DE16D0">
      <w:pPr>
        <w:widowControl w:val="0"/>
        <w:rPr>
          <w:rFonts w:eastAsia="MS Mincho"/>
          <w:iCs/>
          <w:color w:val="000000"/>
          <w:sz w:val="22"/>
          <w:szCs w:val="22"/>
          <w:lang w:eastAsia="ja-JP"/>
        </w:rPr>
      </w:pPr>
      <w:r w:rsidRPr="00F93FFA">
        <w:rPr>
          <w:rFonts w:eastAsia="MS Mincho"/>
          <w:iCs/>
          <w:sz w:val="22"/>
          <w:szCs w:val="22"/>
          <w:lang w:eastAsia="ja-JP"/>
        </w:rPr>
        <w:t>12</w:t>
      </w:r>
      <w:r w:rsidRPr="00F93FFA">
        <w:rPr>
          <w:rFonts w:eastAsia="MS Mincho"/>
          <w:sz w:val="22"/>
          <w:szCs w:val="22"/>
          <w:lang w:eastAsia="ja-JP"/>
        </w:rPr>
        <w:t> </w:t>
      </w:r>
      <w:r w:rsidRPr="00F93FFA">
        <w:rPr>
          <w:rFonts w:eastAsia="MS Mincho"/>
          <w:iCs/>
          <w:sz w:val="22"/>
          <w:szCs w:val="22"/>
          <w:lang w:eastAsia="ja-JP"/>
        </w:rPr>
        <w:t xml:space="preserve">mėnesių trukmės ir </w:t>
      </w:r>
      <w:r w:rsidRPr="00F93FFA">
        <w:rPr>
          <w:rFonts w:eastAsia="MS Mincho"/>
          <w:iCs/>
          <w:color w:val="000000"/>
          <w:sz w:val="22"/>
          <w:szCs w:val="22"/>
          <w:lang w:eastAsia="ja-JP"/>
        </w:rPr>
        <w:t>36 mėnesių trukmės gydymo grupėse bendrasis mirčių atvejų skaičius buvo, atitinkamai, 25 ir 12.</w:t>
      </w:r>
    </w:p>
    <w:p w14:paraId="13529395" w14:textId="77777777" w:rsidR="003646A0" w:rsidRPr="00F93FFA" w:rsidRDefault="003646A0" w:rsidP="00DE16D0">
      <w:pPr>
        <w:widowControl w:val="0"/>
        <w:rPr>
          <w:rFonts w:eastAsia="MS Mincho"/>
          <w:iCs/>
          <w:sz w:val="22"/>
          <w:szCs w:val="22"/>
          <w:lang w:eastAsia="ja-JP"/>
        </w:rPr>
      </w:pPr>
    </w:p>
    <w:p w14:paraId="61F46E01" w14:textId="77777777" w:rsidR="003646A0" w:rsidRPr="00F93FFA" w:rsidRDefault="003646A0" w:rsidP="00DE16D0">
      <w:pPr>
        <w:widowControl w:val="0"/>
        <w:rPr>
          <w:rFonts w:eastAsia="MS Mincho"/>
          <w:iCs/>
          <w:sz w:val="22"/>
          <w:szCs w:val="22"/>
          <w:lang w:eastAsia="ja-JP"/>
        </w:rPr>
      </w:pPr>
      <w:r w:rsidRPr="00F93FFA">
        <w:rPr>
          <w:rFonts w:eastAsia="MS Mincho"/>
          <w:iCs/>
          <w:sz w:val="22"/>
          <w:szCs w:val="22"/>
          <w:lang w:eastAsia="ja-JP"/>
        </w:rPr>
        <w:t xml:space="preserve">Atlikus gydymui atrinktos populiacijos analizę (t. y., įtraukiant visos tyrimo populiacijos duomenis) nustatyta, kad 36 mėnesių trukmės gydymas imatinibu buvo veiksmingesnis nei 12 mėnesių trukmės gydymas. Atlikus planuotą pogrupių analizę pagal mutacijos tipą nustatyta, kad 36 mėnesius gydant pacientus, kuriems nustatytos 11 egzono mutacijos, RFS rodiklio rizikos santykis buvo 0,35 [95 % PI: 0,22, 0,56]. Kadangi pasireiškusių recidyvų skaičius buvo nedidelis, negalima pateikti jokių išvadų apie </w:t>
      </w:r>
      <w:r w:rsidR="00A70D12" w:rsidRPr="00F93FFA">
        <w:rPr>
          <w:rFonts w:eastAsia="MS Mincho"/>
          <w:iCs/>
          <w:sz w:val="22"/>
          <w:szCs w:val="22"/>
          <w:lang w:eastAsia="ja-JP"/>
        </w:rPr>
        <w:t xml:space="preserve">vaistinio preparato </w:t>
      </w:r>
      <w:r w:rsidRPr="00F93FFA">
        <w:rPr>
          <w:rFonts w:eastAsia="MS Mincho"/>
          <w:iCs/>
          <w:sz w:val="22"/>
          <w:szCs w:val="22"/>
          <w:lang w:eastAsia="ja-JP"/>
        </w:rPr>
        <w:t>poveikį pacientų, kuriems nustatytos kitos retesnės mutacijos, pogrupiams.</w:t>
      </w:r>
    </w:p>
    <w:p w14:paraId="792D0303" w14:textId="77777777" w:rsidR="003646A0" w:rsidRPr="00F93FFA" w:rsidRDefault="003646A0" w:rsidP="00DE16D0">
      <w:pPr>
        <w:widowControl w:val="0"/>
        <w:rPr>
          <w:rFonts w:eastAsia="MS Mincho"/>
          <w:iCs/>
          <w:sz w:val="22"/>
          <w:szCs w:val="22"/>
          <w:lang w:eastAsia="ja-JP"/>
        </w:rPr>
      </w:pPr>
    </w:p>
    <w:p w14:paraId="4ED98472" w14:textId="77777777" w:rsidR="003646A0" w:rsidRPr="00F93FFA" w:rsidRDefault="00BE4094" w:rsidP="00C94C5B">
      <w:pPr>
        <w:keepNext/>
        <w:keepLines/>
        <w:widowControl w:val="0"/>
        <w:ind w:left="1134" w:hanging="1134"/>
        <w:rPr>
          <w:rFonts w:eastAsia="MS Mincho"/>
          <w:b/>
          <w:sz w:val="22"/>
          <w:szCs w:val="22"/>
          <w:lang w:eastAsia="ja-JP"/>
        </w:rPr>
      </w:pPr>
      <w:r w:rsidRPr="00F93FFA">
        <w:rPr>
          <w:rFonts w:eastAsia="MS Mincho"/>
          <w:b/>
          <w:sz w:val="22"/>
          <w:szCs w:val="22"/>
        </w:rPr>
        <w:lastRenderedPageBreak/>
        <w:t>8</w:t>
      </w:r>
      <w:r w:rsidR="003646A0" w:rsidRPr="00F93FFA">
        <w:rPr>
          <w:rFonts w:eastAsia="MS Mincho"/>
          <w:b/>
          <w:sz w:val="22"/>
          <w:szCs w:val="22"/>
        </w:rPr>
        <w:t> lentelė</w:t>
      </w:r>
      <w:r w:rsidR="003646A0" w:rsidRPr="00F93FFA">
        <w:rPr>
          <w:rFonts w:eastAsia="MS Mincho"/>
          <w:sz w:val="22"/>
          <w:szCs w:val="22"/>
        </w:rPr>
        <w:tab/>
      </w:r>
      <w:r w:rsidR="003646A0" w:rsidRPr="00F93FFA">
        <w:rPr>
          <w:rFonts w:eastAsia="MS Mincho"/>
          <w:b/>
          <w:sz w:val="22"/>
          <w:szCs w:val="22"/>
          <w:lang w:eastAsia="ja-JP"/>
        </w:rPr>
        <w:t>12 mėnesių ir 36 mėnesių trukmės gydymas Glivec (SSGXVIII/AIO klinikinis tyrimas)</w:t>
      </w:r>
    </w:p>
    <w:p w14:paraId="09BAFB15" w14:textId="77777777" w:rsidR="003646A0" w:rsidRPr="00F93FFA" w:rsidRDefault="003646A0" w:rsidP="00C94C5B">
      <w:pPr>
        <w:keepNext/>
        <w:keepLines/>
        <w:widowControl w:val="0"/>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3646A0" w:rsidRPr="00F93FFA" w14:paraId="1FC2851B" w14:textId="77777777" w:rsidTr="00C94C5B">
        <w:trPr>
          <w:cantSplit/>
        </w:trPr>
        <w:tc>
          <w:tcPr>
            <w:tcW w:w="3099" w:type="dxa"/>
            <w:tcBorders>
              <w:top w:val="single" w:sz="4" w:space="0" w:color="auto"/>
              <w:bottom w:val="nil"/>
            </w:tcBorders>
            <w:shd w:val="clear" w:color="auto" w:fill="auto"/>
          </w:tcPr>
          <w:p w14:paraId="653F1D28" w14:textId="77777777" w:rsidR="003646A0" w:rsidRPr="00F93FFA" w:rsidRDefault="003646A0" w:rsidP="00C94C5B">
            <w:pPr>
              <w:keepNext/>
              <w:keepLines/>
              <w:widowControl w:val="0"/>
              <w:tabs>
                <w:tab w:val="left" w:pos="284"/>
              </w:tabs>
              <w:rPr>
                <w:rFonts w:eastAsia="MS Mincho"/>
                <w:sz w:val="22"/>
                <w:szCs w:val="22"/>
              </w:rPr>
            </w:pPr>
          </w:p>
        </w:tc>
        <w:tc>
          <w:tcPr>
            <w:tcW w:w="3100" w:type="dxa"/>
            <w:tcBorders>
              <w:top w:val="single" w:sz="4" w:space="0" w:color="auto"/>
              <w:bottom w:val="nil"/>
            </w:tcBorders>
            <w:shd w:val="clear" w:color="auto" w:fill="auto"/>
          </w:tcPr>
          <w:p w14:paraId="414E8124"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12 mėnesių trukmės gydymo grupė</w:t>
            </w:r>
          </w:p>
        </w:tc>
        <w:tc>
          <w:tcPr>
            <w:tcW w:w="3100" w:type="dxa"/>
            <w:tcBorders>
              <w:top w:val="single" w:sz="4" w:space="0" w:color="auto"/>
              <w:bottom w:val="nil"/>
            </w:tcBorders>
            <w:shd w:val="clear" w:color="auto" w:fill="auto"/>
          </w:tcPr>
          <w:p w14:paraId="7BBD1459"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36 mėnesių trukmės gydymo grupė</w:t>
            </w:r>
          </w:p>
        </w:tc>
      </w:tr>
      <w:tr w:rsidR="003646A0" w:rsidRPr="00F93FFA" w14:paraId="639D4C37" w14:textId="77777777" w:rsidTr="00C94C5B">
        <w:trPr>
          <w:cantSplit/>
        </w:trPr>
        <w:tc>
          <w:tcPr>
            <w:tcW w:w="3099" w:type="dxa"/>
            <w:tcBorders>
              <w:top w:val="nil"/>
            </w:tcBorders>
            <w:shd w:val="clear" w:color="auto" w:fill="auto"/>
          </w:tcPr>
          <w:p w14:paraId="04793082"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RFS rodiklis</w:t>
            </w:r>
          </w:p>
        </w:tc>
        <w:tc>
          <w:tcPr>
            <w:tcW w:w="3100" w:type="dxa"/>
            <w:tcBorders>
              <w:top w:val="nil"/>
            </w:tcBorders>
            <w:shd w:val="clear" w:color="auto" w:fill="auto"/>
          </w:tcPr>
          <w:p w14:paraId="38469A95"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%(PI)</w:t>
            </w:r>
          </w:p>
        </w:tc>
        <w:tc>
          <w:tcPr>
            <w:tcW w:w="3100" w:type="dxa"/>
            <w:tcBorders>
              <w:top w:val="nil"/>
            </w:tcBorders>
            <w:shd w:val="clear" w:color="auto" w:fill="auto"/>
          </w:tcPr>
          <w:p w14:paraId="07A5182E"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%(PI)</w:t>
            </w:r>
          </w:p>
        </w:tc>
      </w:tr>
      <w:tr w:rsidR="003646A0" w:rsidRPr="00F93FFA" w14:paraId="7DB97F53" w14:textId="77777777" w:rsidTr="00C94C5B">
        <w:trPr>
          <w:cantSplit/>
        </w:trPr>
        <w:tc>
          <w:tcPr>
            <w:tcW w:w="3099" w:type="dxa"/>
            <w:shd w:val="clear" w:color="auto" w:fill="auto"/>
          </w:tcPr>
          <w:p w14:paraId="2481B9F7"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12</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1FC8065C"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93,7 (89,2</w:t>
            </w:r>
            <w:r w:rsidRPr="00F93FFA">
              <w:rPr>
                <w:rFonts w:eastAsia="MS Mincho"/>
                <w:sz w:val="22"/>
                <w:szCs w:val="22"/>
              </w:rPr>
              <w:noBreakHyphen/>
              <w:t>96,4)</w:t>
            </w:r>
          </w:p>
        </w:tc>
        <w:tc>
          <w:tcPr>
            <w:tcW w:w="3100" w:type="dxa"/>
            <w:shd w:val="clear" w:color="auto" w:fill="auto"/>
          </w:tcPr>
          <w:p w14:paraId="57A8B1CA"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95,9 (91,9</w:t>
            </w:r>
            <w:r w:rsidRPr="00F93FFA">
              <w:rPr>
                <w:rFonts w:eastAsia="MS Mincho"/>
                <w:sz w:val="22"/>
                <w:szCs w:val="22"/>
              </w:rPr>
              <w:noBreakHyphen/>
              <w:t>97,9)</w:t>
            </w:r>
          </w:p>
        </w:tc>
      </w:tr>
      <w:tr w:rsidR="003646A0" w:rsidRPr="00F93FFA" w14:paraId="635D8937" w14:textId="77777777" w:rsidTr="00C94C5B">
        <w:trPr>
          <w:cantSplit/>
        </w:trPr>
        <w:tc>
          <w:tcPr>
            <w:tcW w:w="3099" w:type="dxa"/>
            <w:shd w:val="clear" w:color="auto" w:fill="auto"/>
          </w:tcPr>
          <w:p w14:paraId="50569766"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24</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24FB14D3"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75,4 (68,6</w:t>
            </w:r>
            <w:r w:rsidRPr="00F93FFA">
              <w:rPr>
                <w:rFonts w:eastAsia="MS Mincho"/>
                <w:sz w:val="22"/>
                <w:szCs w:val="22"/>
              </w:rPr>
              <w:noBreakHyphen/>
              <w:t>81,0)</w:t>
            </w:r>
          </w:p>
        </w:tc>
        <w:tc>
          <w:tcPr>
            <w:tcW w:w="3100" w:type="dxa"/>
            <w:shd w:val="clear" w:color="auto" w:fill="auto"/>
          </w:tcPr>
          <w:p w14:paraId="4F5AA44A"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90,7 (85,6</w:t>
            </w:r>
            <w:r w:rsidRPr="00F93FFA">
              <w:rPr>
                <w:rFonts w:eastAsia="MS Mincho"/>
                <w:sz w:val="22"/>
                <w:szCs w:val="22"/>
              </w:rPr>
              <w:noBreakHyphen/>
              <w:t>94,0)</w:t>
            </w:r>
          </w:p>
        </w:tc>
      </w:tr>
      <w:tr w:rsidR="003646A0" w:rsidRPr="00F93FFA" w14:paraId="396692E0" w14:textId="77777777" w:rsidTr="00C94C5B">
        <w:trPr>
          <w:cantSplit/>
        </w:trPr>
        <w:tc>
          <w:tcPr>
            <w:tcW w:w="3099" w:type="dxa"/>
            <w:shd w:val="clear" w:color="auto" w:fill="auto"/>
          </w:tcPr>
          <w:p w14:paraId="1665F71F"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36</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60C62891"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60,1 (52,5</w:t>
            </w:r>
            <w:r w:rsidRPr="00F93FFA">
              <w:rPr>
                <w:rFonts w:eastAsia="MS Mincho"/>
                <w:sz w:val="22"/>
                <w:szCs w:val="22"/>
              </w:rPr>
              <w:noBreakHyphen/>
              <w:t>66,9)</w:t>
            </w:r>
          </w:p>
        </w:tc>
        <w:tc>
          <w:tcPr>
            <w:tcW w:w="3100" w:type="dxa"/>
            <w:shd w:val="clear" w:color="auto" w:fill="auto"/>
          </w:tcPr>
          <w:p w14:paraId="2D0F2762"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86,6 (80,8</w:t>
            </w:r>
            <w:r w:rsidRPr="00F93FFA">
              <w:rPr>
                <w:rFonts w:eastAsia="MS Mincho"/>
                <w:sz w:val="22"/>
                <w:szCs w:val="22"/>
              </w:rPr>
              <w:noBreakHyphen/>
              <w:t>90,8)</w:t>
            </w:r>
          </w:p>
        </w:tc>
      </w:tr>
      <w:tr w:rsidR="003646A0" w:rsidRPr="00F93FFA" w14:paraId="14EE30A5" w14:textId="77777777" w:rsidTr="00C94C5B">
        <w:trPr>
          <w:cantSplit/>
        </w:trPr>
        <w:tc>
          <w:tcPr>
            <w:tcW w:w="3099" w:type="dxa"/>
            <w:shd w:val="clear" w:color="auto" w:fill="auto"/>
          </w:tcPr>
          <w:p w14:paraId="2F1D5EA9"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48</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14C55795"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52,3 (44,0</w:t>
            </w:r>
            <w:r w:rsidRPr="00F93FFA">
              <w:rPr>
                <w:rFonts w:eastAsia="MS Mincho"/>
                <w:sz w:val="22"/>
                <w:szCs w:val="22"/>
              </w:rPr>
              <w:noBreakHyphen/>
              <w:t>59,8)</w:t>
            </w:r>
          </w:p>
        </w:tc>
        <w:tc>
          <w:tcPr>
            <w:tcW w:w="3100" w:type="dxa"/>
            <w:shd w:val="clear" w:color="auto" w:fill="auto"/>
          </w:tcPr>
          <w:p w14:paraId="71BDAEF7"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78,3 (70,8</w:t>
            </w:r>
            <w:r w:rsidRPr="00F93FFA">
              <w:rPr>
                <w:rFonts w:eastAsia="MS Mincho"/>
                <w:sz w:val="22"/>
                <w:szCs w:val="22"/>
              </w:rPr>
              <w:noBreakHyphen/>
              <w:t>84,1)</w:t>
            </w:r>
          </w:p>
        </w:tc>
      </w:tr>
      <w:tr w:rsidR="003646A0" w:rsidRPr="00F93FFA" w14:paraId="7AE4C243" w14:textId="77777777" w:rsidTr="00C94C5B">
        <w:trPr>
          <w:cantSplit/>
        </w:trPr>
        <w:tc>
          <w:tcPr>
            <w:tcW w:w="3099" w:type="dxa"/>
            <w:shd w:val="clear" w:color="auto" w:fill="auto"/>
          </w:tcPr>
          <w:p w14:paraId="10CCE79C"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60</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1FDE11F5"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47,9 (39,0</w:t>
            </w:r>
            <w:r w:rsidRPr="00F93FFA">
              <w:rPr>
                <w:rFonts w:eastAsia="MS Mincho"/>
                <w:sz w:val="22"/>
                <w:szCs w:val="22"/>
              </w:rPr>
              <w:noBreakHyphen/>
              <w:t>56,3)</w:t>
            </w:r>
          </w:p>
        </w:tc>
        <w:tc>
          <w:tcPr>
            <w:tcW w:w="3100" w:type="dxa"/>
            <w:shd w:val="clear" w:color="auto" w:fill="auto"/>
          </w:tcPr>
          <w:p w14:paraId="2563A605"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65,6 (56,1</w:t>
            </w:r>
            <w:r w:rsidRPr="00F93FFA">
              <w:rPr>
                <w:rFonts w:eastAsia="MS Mincho"/>
                <w:sz w:val="22"/>
                <w:szCs w:val="22"/>
              </w:rPr>
              <w:noBreakHyphen/>
              <w:t>73,4)</w:t>
            </w:r>
          </w:p>
        </w:tc>
      </w:tr>
      <w:tr w:rsidR="003646A0" w:rsidRPr="00F93FFA" w14:paraId="1A2CA3C5" w14:textId="77777777" w:rsidTr="00C94C5B">
        <w:trPr>
          <w:cantSplit/>
        </w:trPr>
        <w:tc>
          <w:tcPr>
            <w:tcW w:w="3099" w:type="dxa"/>
            <w:shd w:val="clear" w:color="auto" w:fill="auto"/>
          </w:tcPr>
          <w:p w14:paraId="34FD8A3D" w14:textId="77777777" w:rsidR="003646A0" w:rsidRPr="00F93FFA" w:rsidRDefault="003646A0" w:rsidP="00C94C5B">
            <w:pPr>
              <w:keepNext/>
              <w:keepLines/>
              <w:widowControl w:val="0"/>
              <w:tabs>
                <w:tab w:val="left" w:pos="284"/>
              </w:tabs>
              <w:rPr>
                <w:rFonts w:eastAsia="MS Mincho"/>
                <w:b/>
                <w:sz w:val="22"/>
                <w:szCs w:val="22"/>
              </w:rPr>
            </w:pPr>
            <w:r w:rsidRPr="00F93FFA">
              <w:rPr>
                <w:rFonts w:eastAsia="MS Mincho"/>
                <w:b/>
                <w:sz w:val="22"/>
                <w:szCs w:val="22"/>
              </w:rPr>
              <w:t>Išgyvenamumas</w:t>
            </w:r>
          </w:p>
        </w:tc>
        <w:tc>
          <w:tcPr>
            <w:tcW w:w="3100" w:type="dxa"/>
            <w:shd w:val="clear" w:color="auto" w:fill="auto"/>
          </w:tcPr>
          <w:p w14:paraId="7DAD1069" w14:textId="77777777" w:rsidR="003646A0" w:rsidRPr="00F93FFA" w:rsidRDefault="003646A0" w:rsidP="00C94C5B">
            <w:pPr>
              <w:keepNext/>
              <w:keepLines/>
              <w:widowControl w:val="0"/>
              <w:tabs>
                <w:tab w:val="left" w:pos="284"/>
              </w:tabs>
              <w:rPr>
                <w:rFonts w:eastAsia="MS Mincho"/>
                <w:sz w:val="22"/>
                <w:szCs w:val="22"/>
              </w:rPr>
            </w:pPr>
          </w:p>
        </w:tc>
        <w:tc>
          <w:tcPr>
            <w:tcW w:w="3100" w:type="dxa"/>
            <w:shd w:val="clear" w:color="auto" w:fill="auto"/>
          </w:tcPr>
          <w:p w14:paraId="735B8C92" w14:textId="77777777" w:rsidR="003646A0" w:rsidRPr="00F93FFA" w:rsidRDefault="003646A0" w:rsidP="00C94C5B">
            <w:pPr>
              <w:keepNext/>
              <w:keepLines/>
              <w:widowControl w:val="0"/>
              <w:tabs>
                <w:tab w:val="left" w:pos="284"/>
              </w:tabs>
              <w:rPr>
                <w:rFonts w:eastAsia="MS Mincho"/>
                <w:sz w:val="22"/>
                <w:szCs w:val="22"/>
              </w:rPr>
            </w:pPr>
          </w:p>
        </w:tc>
      </w:tr>
      <w:tr w:rsidR="003646A0" w:rsidRPr="00F93FFA" w14:paraId="4B6D070F" w14:textId="77777777" w:rsidTr="00C94C5B">
        <w:trPr>
          <w:cantSplit/>
        </w:trPr>
        <w:tc>
          <w:tcPr>
            <w:tcW w:w="3099" w:type="dxa"/>
            <w:shd w:val="clear" w:color="auto" w:fill="auto"/>
          </w:tcPr>
          <w:p w14:paraId="3D93713E"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36</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5C6C2599"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94,0 (89,5</w:t>
            </w:r>
            <w:r w:rsidRPr="00F93FFA">
              <w:rPr>
                <w:rFonts w:eastAsia="MS Mincho"/>
                <w:sz w:val="22"/>
                <w:szCs w:val="22"/>
              </w:rPr>
              <w:noBreakHyphen/>
              <w:t>96,7)</w:t>
            </w:r>
          </w:p>
        </w:tc>
        <w:tc>
          <w:tcPr>
            <w:tcW w:w="3100" w:type="dxa"/>
            <w:shd w:val="clear" w:color="auto" w:fill="auto"/>
          </w:tcPr>
          <w:p w14:paraId="3BEB42C3"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96,3 (92,4</w:t>
            </w:r>
            <w:r w:rsidRPr="00F93FFA">
              <w:rPr>
                <w:rFonts w:eastAsia="MS Mincho"/>
                <w:sz w:val="22"/>
                <w:szCs w:val="22"/>
              </w:rPr>
              <w:noBreakHyphen/>
              <w:t>98,2)</w:t>
            </w:r>
          </w:p>
        </w:tc>
      </w:tr>
      <w:tr w:rsidR="003646A0" w:rsidRPr="00F93FFA" w14:paraId="60169214" w14:textId="77777777" w:rsidTr="00C94C5B">
        <w:trPr>
          <w:cantSplit/>
        </w:trPr>
        <w:tc>
          <w:tcPr>
            <w:tcW w:w="3099" w:type="dxa"/>
            <w:shd w:val="clear" w:color="auto" w:fill="auto"/>
          </w:tcPr>
          <w:p w14:paraId="30B4AA95"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48</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1E00F1B2"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87,9 (81,1</w:t>
            </w:r>
            <w:r w:rsidRPr="00F93FFA">
              <w:rPr>
                <w:rFonts w:eastAsia="MS Mincho"/>
                <w:sz w:val="22"/>
                <w:szCs w:val="22"/>
              </w:rPr>
              <w:noBreakHyphen/>
              <w:t>92,3)</w:t>
            </w:r>
          </w:p>
        </w:tc>
        <w:tc>
          <w:tcPr>
            <w:tcW w:w="3100" w:type="dxa"/>
            <w:shd w:val="clear" w:color="auto" w:fill="auto"/>
          </w:tcPr>
          <w:p w14:paraId="2544EBCB"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95,6 (91,2</w:t>
            </w:r>
            <w:r w:rsidRPr="00F93FFA">
              <w:rPr>
                <w:rFonts w:eastAsia="MS Mincho"/>
                <w:sz w:val="22"/>
                <w:szCs w:val="22"/>
              </w:rPr>
              <w:noBreakHyphen/>
              <w:t>97,8)</w:t>
            </w:r>
          </w:p>
        </w:tc>
      </w:tr>
      <w:tr w:rsidR="003646A0" w:rsidRPr="00F93FFA" w14:paraId="37993B05" w14:textId="77777777" w:rsidTr="00C94C5B">
        <w:trPr>
          <w:cantSplit/>
        </w:trPr>
        <w:tc>
          <w:tcPr>
            <w:tcW w:w="3099" w:type="dxa"/>
            <w:shd w:val="clear" w:color="auto" w:fill="auto"/>
          </w:tcPr>
          <w:p w14:paraId="5CEEE01B" w14:textId="77777777" w:rsidR="003646A0" w:rsidRPr="00F93FFA" w:rsidRDefault="003646A0" w:rsidP="00C94C5B">
            <w:pPr>
              <w:keepNext/>
              <w:keepLines/>
              <w:widowControl w:val="0"/>
              <w:ind w:left="284"/>
              <w:rPr>
                <w:rFonts w:eastAsia="MS Mincho"/>
                <w:sz w:val="22"/>
                <w:szCs w:val="22"/>
              </w:rPr>
            </w:pPr>
            <w:r w:rsidRPr="00F93FFA">
              <w:rPr>
                <w:rFonts w:eastAsia="MS Mincho"/>
                <w:sz w:val="22"/>
                <w:szCs w:val="22"/>
              </w:rPr>
              <w:t>60</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531859A7"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81,7 (73,0</w:t>
            </w:r>
            <w:r w:rsidRPr="00F93FFA">
              <w:rPr>
                <w:rFonts w:eastAsia="MS Mincho"/>
                <w:sz w:val="22"/>
                <w:szCs w:val="22"/>
              </w:rPr>
              <w:noBreakHyphen/>
              <w:t>87,8)</w:t>
            </w:r>
          </w:p>
        </w:tc>
        <w:tc>
          <w:tcPr>
            <w:tcW w:w="3100" w:type="dxa"/>
            <w:shd w:val="clear" w:color="auto" w:fill="auto"/>
          </w:tcPr>
          <w:p w14:paraId="68344072" w14:textId="77777777" w:rsidR="003646A0" w:rsidRPr="00F93FFA" w:rsidRDefault="003646A0" w:rsidP="00C94C5B">
            <w:pPr>
              <w:keepNext/>
              <w:keepLines/>
              <w:widowControl w:val="0"/>
              <w:tabs>
                <w:tab w:val="left" w:pos="284"/>
              </w:tabs>
              <w:rPr>
                <w:rFonts w:eastAsia="MS Mincho"/>
                <w:sz w:val="22"/>
                <w:szCs w:val="22"/>
              </w:rPr>
            </w:pPr>
            <w:r w:rsidRPr="00F93FFA">
              <w:rPr>
                <w:rFonts w:eastAsia="MS Mincho"/>
                <w:sz w:val="22"/>
                <w:szCs w:val="22"/>
              </w:rPr>
              <w:t>92,0 (85,3</w:t>
            </w:r>
            <w:r w:rsidRPr="00F93FFA">
              <w:rPr>
                <w:rFonts w:eastAsia="MS Mincho"/>
                <w:sz w:val="22"/>
                <w:szCs w:val="22"/>
              </w:rPr>
              <w:noBreakHyphen/>
              <w:t>95,7)</w:t>
            </w:r>
          </w:p>
        </w:tc>
      </w:tr>
    </w:tbl>
    <w:p w14:paraId="0C79EDFC" w14:textId="77777777" w:rsidR="003646A0" w:rsidRPr="00F93FFA" w:rsidRDefault="003646A0" w:rsidP="00DE16D0">
      <w:pPr>
        <w:widowControl w:val="0"/>
        <w:rPr>
          <w:rFonts w:eastAsia="MS Mincho"/>
          <w:sz w:val="22"/>
          <w:szCs w:val="22"/>
        </w:rPr>
      </w:pPr>
    </w:p>
    <w:p w14:paraId="3CAB94BE" w14:textId="77777777" w:rsidR="003646A0" w:rsidRPr="00F93FFA" w:rsidRDefault="00C3077F" w:rsidP="00C94C5B">
      <w:pPr>
        <w:keepNext/>
        <w:keepLines/>
        <w:widowControl w:val="0"/>
        <w:ind w:left="1134" w:hanging="1134"/>
        <w:rPr>
          <w:rFonts w:eastAsia="MS Mincho"/>
          <w:sz w:val="22"/>
          <w:szCs w:val="22"/>
        </w:rPr>
      </w:pPr>
      <w:r w:rsidRPr="00F93FFA">
        <w:rPr>
          <w:noProof/>
          <w:lang w:val="en-US"/>
        </w:rPr>
        <mc:AlternateContent>
          <mc:Choice Requires="wps">
            <w:drawing>
              <wp:anchor distT="0" distB="0" distL="114300" distR="114300" simplePos="0" relativeHeight="251651072" behindDoc="0" locked="0" layoutInCell="1" allowOverlap="1" wp14:anchorId="162212C3" wp14:editId="343676FE">
                <wp:simplePos x="0" y="0"/>
                <wp:positionH relativeFrom="column">
                  <wp:posOffset>-221615</wp:posOffset>
                </wp:positionH>
                <wp:positionV relativeFrom="paragraph">
                  <wp:posOffset>114300</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7493" w14:textId="77777777" w:rsidR="00481ECF" w:rsidRDefault="00481ECF">
                            <w:pPr>
                              <w:rPr>
                                <w:rFonts w:ascii="Arial" w:hAnsi="Arial" w:cs="Arial"/>
                                <w:sz w:val="20"/>
                                <w:szCs w:val="20"/>
                              </w:rPr>
                            </w:pPr>
                            <w:r>
                              <w:rPr>
                                <w:rFonts w:ascii="Arial" w:hAnsi="Arial" w:cs="Arial"/>
                                <w:sz w:val="20"/>
                                <w:szCs w:val="20"/>
                              </w:rPr>
                              <w:t>Išgyvenamumo be ligos recidyvo tikimybė</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2212C3" id="_x0000_t202" coordsize="21600,21600" o:spt="202" path="m,l,21600r21600,l21600,xe">
                <v:stroke joinstyle="miter"/>
                <v:path gradientshapeok="t" o:connecttype="rect"/>
              </v:shapetype>
              <v:shape id="Text Box 2" o:spid="_x0000_s1026" type="#_x0000_t202" style="position:absolute;left:0;text-align:left;margin-left:-17.45pt;margin-top:9pt;width:26.45pt;height:23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Ea3TFbeAAAACQEAAA8AAABkcnMvZG93bnJldi54bWxMj0FLw0AQhe+C/2EZwVu7sS26&#10;jdkUEQqCIFir1Ns0mSbB7GzIbtvor3dy0tPweB9v3stWg2vVifrQeLZwM01AERe+bLiysH1bTwyo&#10;EJFLbD2ThW8KsMovLzJMS3/mVzptYqUkhEOKFuoYu1TrUNTkMEx9RyzewfcOo8i+0mWPZwl3rZ4l&#10;ya122LB8qLGjx5qKr83RWfj8+DH0HvULPsX53Zq24fmwM9ZeXw0P96AiDfEPhrG+VIdcOu39kcug&#10;WguT+WIpqBhGNo3AePcWFmaWgM4z/X9B/gsAAP//AwBQSwECLQAUAAYACAAAACEAtoM4kv4AAADh&#10;AQAAEwAAAAAAAAAAAAAAAAAAAAAAW0NvbnRlbnRfVHlwZXNdLnhtbFBLAQItABQABgAIAAAAIQA4&#10;/SH/1gAAAJQBAAALAAAAAAAAAAAAAAAAAC8BAABfcmVscy8ucmVsc1BLAQItABQABgAIAAAAIQC9&#10;4NfcEwIAABAEAAAOAAAAAAAAAAAAAAAAAC4CAABkcnMvZTJvRG9jLnhtbFBLAQItABQABgAIAAAA&#10;IQBGt0xW3gAAAAkBAAAPAAAAAAAAAAAAAAAAAG0EAABkcnMvZG93bnJldi54bWxQSwUGAAAAAAQA&#10;BADzAAAAeAUAAAAA&#10;" stroked="f">
                <v:fill opacity="0"/>
                <v:textbox style="layout-flow:vertical;mso-layout-flow-alt:bottom-to-top">
                  <w:txbxContent>
                    <w:p w14:paraId="0F0C7493" w14:textId="77777777" w:rsidR="00481ECF" w:rsidRDefault="00481ECF">
                      <w:pPr>
                        <w:rPr>
                          <w:rFonts w:ascii="Arial" w:hAnsi="Arial" w:cs="Arial"/>
                          <w:sz w:val="20"/>
                          <w:szCs w:val="20"/>
                        </w:rPr>
                      </w:pPr>
                      <w:r>
                        <w:rPr>
                          <w:rFonts w:ascii="Arial" w:hAnsi="Arial" w:cs="Arial"/>
                          <w:sz w:val="20"/>
                          <w:szCs w:val="20"/>
                        </w:rPr>
                        <w:t>Išgyvenamumo be ligos recidyvo tikimybė</w:t>
                      </w:r>
                    </w:p>
                  </w:txbxContent>
                </v:textbox>
              </v:shape>
            </w:pict>
          </mc:Fallback>
        </mc:AlternateContent>
      </w:r>
      <w:r w:rsidR="003646A0" w:rsidRPr="00F93FFA">
        <w:rPr>
          <w:rFonts w:eastAsia="MS Mincho"/>
          <w:b/>
          <w:sz w:val="22"/>
          <w:szCs w:val="22"/>
        </w:rPr>
        <w:t>1 pav.</w:t>
      </w:r>
      <w:r w:rsidR="003646A0" w:rsidRPr="00F93FFA">
        <w:rPr>
          <w:rFonts w:eastAsia="MS Mincho"/>
          <w:b/>
          <w:sz w:val="22"/>
          <w:szCs w:val="22"/>
        </w:rPr>
        <w:tab/>
        <w:t>Pirminės vertinamosios baigties išgyvenamumo be ligos recidyvo duomenys, Kaplan-Meier kreivė (ITT populiacija)</w:t>
      </w:r>
    </w:p>
    <w:p w14:paraId="1D761FB5" w14:textId="77777777" w:rsidR="003646A0" w:rsidRPr="00F93FFA" w:rsidRDefault="003646A0" w:rsidP="00DE16D0">
      <w:pPr>
        <w:keepNext/>
        <w:widowControl w:val="0"/>
        <w:rPr>
          <w:rFonts w:eastAsia="MS Mincho"/>
          <w:sz w:val="22"/>
          <w:szCs w:val="22"/>
        </w:rPr>
      </w:pPr>
    </w:p>
    <w:p w14:paraId="57AB1EB2" w14:textId="77777777" w:rsidR="003646A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52096" behindDoc="0" locked="0" layoutInCell="1" allowOverlap="1" wp14:anchorId="287FB1EF" wp14:editId="45D9F87D">
                <wp:simplePos x="0" y="0"/>
                <wp:positionH relativeFrom="column">
                  <wp:posOffset>350520</wp:posOffset>
                </wp:positionH>
                <wp:positionV relativeFrom="paragraph">
                  <wp:posOffset>1267460</wp:posOffset>
                </wp:positionV>
                <wp:extent cx="4585335" cy="115316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817"/>
                              <w:gridCol w:w="1680"/>
                            </w:tblGrid>
                            <w:tr w:rsidR="00481ECF" w14:paraId="41DE8AFB" w14:textId="77777777">
                              <w:trPr>
                                <w:gridAfter w:val="3"/>
                                <w:wAfter w:w="3348" w:type="dxa"/>
                              </w:trPr>
                              <w:tc>
                                <w:tcPr>
                                  <w:tcW w:w="3281" w:type="dxa"/>
                                  <w:gridSpan w:val="2"/>
                                  <w:shd w:val="clear" w:color="auto" w:fill="auto"/>
                                </w:tcPr>
                                <w:p w14:paraId="2D2F2B46" w14:textId="77777777" w:rsidR="00481ECF" w:rsidRDefault="00481ECF">
                                  <w:pPr>
                                    <w:rPr>
                                      <w:rFonts w:ascii="Arial" w:hAnsi="Arial" w:cs="Arial"/>
                                      <w:sz w:val="20"/>
                                    </w:rPr>
                                  </w:pPr>
                                  <w:r>
                                    <w:rPr>
                                      <w:rFonts w:ascii="Arial" w:hAnsi="Arial" w:cs="Arial"/>
                                      <w:sz w:val="20"/>
                                    </w:rPr>
                                    <w:t>p &lt; 0,0001</w:t>
                                  </w:r>
                                </w:p>
                                <w:p w14:paraId="059BE530" w14:textId="77777777" w:rsidR="00481ECF" w:rsidRDefault="00481ECF">
                                  <w:pPr>
                                    <w:rPr>
                                      <w:rFonts w:ascii="Arial" w:hAnsi="Arial" w:cs="Arial"/>
                                      <w:sz w:val="20"/>
                                    </w:rPr>
                                  </w:pPr>
                                  <w:r>
                                    <w:rPr>
                                      <w:rFonts w:ascii="Arial" w:hAnsi="Arial" w:cs="Arial"/>
                                      <w:sz w:val="20"/>
                                      <w:szCs w:val="20"/>
                                    </w:rPr>
                                    <w:t>Rizikos santykis</w:t>
                                  </w:r>
                                  <w:r>
                                    <w:rPr>
                                      <w:rFonts w:ascii="Arial" w:hAnsi="Arial" w:cs="Arial"/>
                                      <w:sz w:val="20"/>
                                    </w:rPr>
                                    <w:t xml:space="preserve"> 0,46</w:t>
                                  </w:r>
                                </w:p>
                                <w:p w14:paraId="48B42439" w14:textId="77777777" w:rsidR="00481ECF" w:rsidRDefault="00481ECF">
                                  <w:pPr>
                                    <w:rPr>
                                      <w:rFonts w:ascii="Arial" w:hAnsi="Arial" w:cs="Arial"/>
                                      <w:sz w:val="20"/>
                                      <w:lang w:val="de-DE"/>
                                    </w:rPr>
                                  </w:pPr>
                                  <w:r>
                                    <w:rPr>
                                      <w:rFonts w:ascii="Arial" w:hAnsi="Arial" w:cs="Arial"/>
                                      <w:sz w:val="20"/>
                                    </w:rPr>
                                    <w:t>(95 % Pl, 0,32</w:t>
                                  </w:r>
                                  <w:r>
                                    <w:rPr>
                                      <w:rFonts w:ascii="Arial" w:hAnsi="Arial" w:cs="Arial"/>
                                      <w:sz w:val="20"/>
                                    </w:rPr>
                                    <w:noBreakHyphen/>
                                    <w:t>0,65)</w:t>
                                  </w:r>
                                </w:p>
                              </w:tc>
                            </w:tr>
                            <w:tr w:rsidR="00481ECF" w14:paraId="2FB807B2" w14:textId="77777777">
                              <w:tc>
                                <w:tcPr>
                                  <w:tcW w:w="817" w:type="dxa"/>
                                  <w:shd w:val="clear" w:color="auto" w:fill="auto"/>
                                </w:tcPr>
                                <w:p w14:paraId="118684B8" w14:textId="77777777" w:rsidR="00481ECF" w:rsidRDefault="00481ECF">
                                  <w:pPr>
                                    <w:rPr>
                                      <w:rFonts w:ascii="Arial" w:hAnsi="Arial" w:cs="Arial"/>
                                      <w:sz w:val="20"/>
                                      <w:szCs w:val="20"/>
                                    </w:rPr>
                                  </w:pPr>
                                </w:p>
                              </w:tc>
                              <w:tc>
                                <w:tcPr>
                                  <w:tcW w:w="2464" w:type="dxa"/>
                                  <w:shd w:val="clear" w:color="auto" w:fill="auto"/>
                                </w:tcPr>
                                <w:p w14:paraId="709E4FE5"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046C0838"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3F8401EB"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464A6957"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4812F9D5" w14:textId="77777777">
                              <w:tc>
                                <w:tcPr>
                                  <w:tcW w:w="817" w:type="dxa"/>
                                  <w:shd w:val="clear" w:color="auto" w:fill="auto"/>
                                </w:tcPr>
                                <w:p w14:paraId="420C1061"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63DD3579"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385953CD"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55F0A814" w14:textId="77777777" w:rsidR="00481ECF" w:rsidRDefault="00481ECF">
                                  <w:pPr>
                                    <w:rPr>
                                      <w:rFonts w:ascii="Arial" w:hAnsi="Arial" w:cs="Arial"/>
                                      <w:sz w:val="20"/>
                                      <w:szCs w:val="20"/>
                                    </w:rPr>
                                  </w:pPr>
                                  <w:r>
                                    <w:rPr>
                                      <w:rFonts w:ascii="Arial" w:hAnsi="Arial" w:cs="Arial"/>
                                      <w:sz w:val="20"/>
                                      <w:szCs w:val="20"/>
                                    </w:rPr>
                                    <w:t>84</w:t>
                                  </w:r>
                                </w:p>
                              </w:tc>
                              <w:tc>
                                <w:tcPr>
                                  <w:tcW w:w="1680" w:type="dxa"/>
                                  <w:tcBorders>
                                    <w:top w:val="single" w:sz="4" w:space="0" w:color="auto"/>
                                  </w:tcBorders>
                                  <w:shd w:val="clear" w:color="auto" w:fill="auto"/>
                                </w:tcPr>
                                <w:p w14:paraId="0C6CE17C" w14:textId="77777777" w:rsidR="00481ECF" w:rsidRDefault="00481ECF">
                                  <w:pPr>
                                    <w:rPr>
                                      <w:rFonts w:ascii="Arial" w:hAnsi="Arial" w:cs="Arial"/>
                                      <w:sz w:val="20"/>
                                      <w:szCs w:val="20"/>
                                    </w:rPr>
                                  </w:pPr>
                                  <w:r>
                                    <w:rPr>
                                      <w:rFonts w:ascii="Arial" w:hAnsi="Arial" w:cs="Arial"/>
                                      <w:sz w:val="20"/>
                                      <w:szCs w:val="20"/>
                                    </w:rPr>
                                    <w:t>115</w:t>
                                  </w:r>
                                </w:p>
                              </w:tc>
                            </w:tr>
                            <w:tr w:rsidR="00481ECF" w14:paraId="5396D288" w14:textId="77777777">
                              <w:tc>
                                <w:tcPr>
                                  <w:tcW w:w="817" w:type="dxa"/>
                                  <w:shd w:val="clear" w:color="auto" w:fill="auto"/>
                                </w:tcPr>
                                <w:p w14:paraId="1B074B8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01E94A25"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6DCE2795"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18D17D8A" w14:textId="77777777" w:rsidR="00481ECF" w:rsidRDefault="00481ECF">
                                  <w:pPr>
                                    <w:rPr>
                                      <w:rFonts w:ascii="Arial" w:hAnsi="Arial" w:cs="Arial"/>
                                      <w:sz w:val="20"/>
                                      <w:szCs w:val="20"/>
                                    </w:rPr>
                                  </w:pPr>
                                  <w:r>
                                    <w:rPr>
                                      <w:rFonts w:ascii="Arial" w:hAnsi="Arial" w:cs="Arial"/>
                                      <w:sz w:val="20"/>
                                      <w:szCs w:val="20"/>
                                    </w:rPr>
                                    <w:t>50</w:t>
                                  </w:r>
                                </w:p>
                              </w:tc>
                              <w:tc>
                                <w:tcPr>
                                  <w:tcW w:w="1680" w:type="dxa"/>
                                  <w:tcBorders>
                                    <w:bottom w:val="single" w:sz="4" w:space="0" w:color="auto"/>
                                  </w:tcBorders>
                                  <w:shd w:val="clear" w:color="auto" w:fill="auto"/>
                                </w:tcPr>
                                <w:p w14:paraId="37C9CBA9" w14:textId="77777777" w:rsidR="00481ECF" w:rsidRDefault="00481ECF">
                                  <w:pPr>
                                    <w:rPr>
                                      <w:rFonts w:ascii="Arial" w:hAnsi="Arial" w:cs="Arial"/>
                                      <w:sz w:val="20"/>
                                      <w:szCs w:val="20"/>
                                    </w:rPr>
                                  </w:pPr>
                                  <w:r>
                                    <w:rPr>
                                      <w:rFonts w:ascii="Arial" w:hAnsi="Arial" w:cs="Arial"/>
                                      <w:sz w:val="20"/>
                                      <w:szCs w:val="20"/>
                                    </w:rPr>
                                    <w:t>148</w:t>
                                  </w:r>
                                </w:p>
                              </w:tc>
                            </w:tr>
                            <w:tr w:rsidR="00481ECF" w14:paraId="17DF6534" w14:textId="77777777">
                              <w:tc>
                                <w:tcPr>
                                  <w:tcW w:w="817" w:type="dxa"/>
                                  <w:shd w:val="clear" w:color="auto" w:fill="auto"/>
                                </w:tcPr>
                                <w:p w14:paraId="5C1797D3"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1028737D"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7AE34338"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7B96C01D"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615513A4" w14:textId="77777777" w:rsidR="00481ECF" w:rsidRDefault="00481ECF">
                                  <w:pPr>
                                    <w:rPr>
                                      <w:rFonts w:ascii="Arial" w:hAnsi="Arial" w:cs="Arial"/>
                                      <w:sz w:val="20"/>
                                      <w:szCs w:val="20"/>
                                    </w:rPr>
                                  </w:pPr>
                                </w:p>
                              </w:tc>
                            </w:tr>
                          </w:tbl>
                          <w:p w14:paraId="703A4192" w14:textId="77777777" w:rsidR="00481ECF" w:rsidRDefault="00481ECF">
                            <w:pPr>
                              <w:rPr>
                                <w:rFonts w:ascii="Arial" w:hAnsi="Arial" w:cs="Arial"/>
                                <w:sz w:val="20"/>
                                <w:szCs w:val="20"/>
                              </w:rPr>
                            </w:pPr>
                          </w:p>
                          <w:p w14:paraId="05F27B66" w14:textId="77777777" w:rsidR="00481ECF" w:rsidRDefault="00481EC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7FB1EF" id="_x0000_s1027" type="#_x0000_t202" style="position:absolute;margin-left:27.6pt;margin-top:99.8pt;width:361.05pt;height:90.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3o+9gEAAM8DAAAOAAAAZHJzL2Uyb0RvYy54bWysU9tu2zAMfR+wfxD0vjjOpeuMOEXXosOA&#10;7gK0+wBGlmNhtqhRSuzs60fJaZqub8NeBPGiw3NIanU1dK3Ya/IGbSnzyVQKbRVWxm5L+ePx7t2l&#10;FD6AraBFq0t50F5erd++WfWu0DNssK00CQaxvuhdKZsQXJFlXjW6Az9Bpy0Ha6QOApu0zSqCntG7&#10;NptNpxdZj1Q5QqW9Z+/tGJTrhF/XWoVvde11EG0pmVtIJ6VzE89svYJiS+Aao4404B9YdGAsFz1B&#10;3UIAsSPzCqozitBjHSYKuwzr2iidNLCafPqXmocGnE5auDnendrk/x+s+rr/TsJUpZzlUljoeEaP&#10;egjiIw5iFtvTO19w1oPjvDCwm8ecpHp3j+qnFxZvGrBbfU2EfaOhYnp5fJmdPR1xfATZ9F+w4jKw&#10;C5iAhpq62DvuhmB0HtPhNJpIRbFzsbxczudLKRTH8nw5zy/S8DIonp478uGTxk7ESymJZ5/gYX/v&#10;Q6QDxVNKrGbxzrRtmn9rXzg4MXoS/ch45B6GzZAalbRFaRusDqyHcNwq/gV8aZB+S9HzRpXS/9oB&#10;aSnaz5Z78iFfLOIKJmOxfD9jg84jm/MIWMVQpQxSjNebMK7tzpHZNlxpnILFa+5jbZLCZ1ZH+rw1&#10;Sfhxw+Nantsp6/kfrv8AAAD//wMAUEsDBBQABgAIAAAAIQCsWGhx3wAAAAoBAAAPAAAAZHJzL2Rv&#10;d25yZXYueG1sTI9NT8MwDIbvSPyHyEjcWLKOrmtpOiEQV9DGh8Qta7y2onGqJlvLv8ec4Gj70evn&#10;Lbez68UZx9B50rBcKBBItbcdNRreXp9uNiBCNGRN7wk1fGOAbXV5UZrC+ol2eN7HRnAIhcJoaGMc&#10;CilD3aIzYeEHJL4d/ehM5HFspB3NxOGul4lSa+lMR/yhNQM+tFh/7U9Ow/vz8fPjVr00jy4dJj8r&#10;SS6XWl9fzfd3ICLO8Q+GX31Wh4qdDv5ENoheQ5omTPI+z9cgGMiybAXioGG1WSYgq1L+r1D9AAAA&#10;//8DAFBLAQItABQABgAIAAAAIQC2gziS/gAAAOEBAAATAAAAAAAAAAAAAAAAAAAAAABbQ29udGVu&#10;dF9UeXBlc10ueG1sUEsBAi0AFAAGAAgAAAAhADj9If/WAAAAlAEAAAsAAAAAAAAAAAAAAAAALwEA&#10;AF9yZWxzLy5yZWxzUEsBAi0AFAAGAAgAAAAhAHbHej72AQAAzwMAAA4AAAAAAAAAAAAAAAAALgIA&#10;AGRycy9lMm9Eb2MueG1sUEsBAi0AFAAGAAgAAAAhAKxYaHHfAAAACgEAAA8AAAAAAAAAAAAAAAAA&#10;UAQAAGRycy9kb3ducmV2LnhtbFBLBQYAAAAABAAEAPMAAABcBQAAAAA=&#10;" filled="f" stroked="f">
                <v:textbox>
                  <w:txbxContent>
                    <w:tbl>
                      <w:tblPr>
                        <w:tblW w:w="0" w:type="auto"/>
                        <w:tblLook w:val="04A0" w:firstRow="1" w:lastRow="0" w:firstColumn="1" w:lastColumn="0" w:noHBand="0" w:noVBand="1"/>
                      </w:tblPr>
                      <w:tblGrid>
                        <w:gridCol w:w="817"/>
                        <w:gridCol w:w="2464"/>
                        <w:gridCol w:w="851"/>
                        <w:gridCol w:w="817"/>
                        <w:gridCol w:w="1680"/>
                      </w:tblGrid>
                      <w:tr w:rsidR="00481ECF" w14:paraId="41DE8AFB" w14:textId="77777777">
                        <w:trPr>
                          <w:gridAfter w:val="3"/>
                          <w:wAfter w:w="3348" w:type="dxa"/>
                        </w:trPr>
                        <w:tc>
                          <w:tcPr>
                            <w:tcW w:w="3281" w:type="dxa"/>
                            <w:gridSpan w:val="2"/>
                            <w:shd w:val="clear" w:color="auto" w:fill="auto"/>
                          </w:tcPr>
                          <w:p w14:paraId="2D2F2B46" w14:textId="77777777" w:rsidR="00481ECF" w:rsidRDefault="00481ECF">
                            <w:pPr>
                              <w:rPr>
                                <w:rFonts w:ascii="Arial" w:hAnsi="Arial" w:cs="Arial"/>
                                <w:sz w:val="20"/>
                              </w:rPr>
                            </w:pPr>
                            <w:r>
                              <w:rPr>
                                <w:rFonts w:ascii="Arial" w:hAnsi="Arial" w:cs="Arial"/>
                                <w:sz w:val="20"/>
                              </w:rPr>
                              <w:t>p &lt; 0,0001</w:t>
                            </w:r>
                          </w:p>
                          <w:p w14:paraId="059BE530" w14:textId="77777777" w:rsidR="00481ECF" w:rsidRDefault="00481ECF">
                            <w:pPr>
                              <w:rPr>
                                <w:rFonts w:ascii="Arial" w:hAnsi="Arial" w:cs="Arial"/>
                                <w:sz w:val="20"/>
                              </w:rPr>
                            </w:pPr>
                            <w:r>
                              <w:rPr>
                                <w:rFonts w:ascii="Arial" w:hAnsi="Arial" w:cs="Arial"/>
                                <w:sz w:val="20"/>
                                <w:szCs w:val="20"/>
                              </w:rPr>
                              <w:t>Rizikos santykis</w:t>
                            </w:r>
                            <w:r>
                              <w:rPr>
                                <w:rFonts w:ascii="Arial" w:hAnsi="Arial" w:cs="Arial"/>
                                <w:sz w:val="20"/>
                              </w:rPr>
                              <w:t xml:space="preserve"> 0,46</w:t>
                            </w:r>
                          </w:p>
                          <w:p w14:paraId="48B42439" w14:textId="77777777" w:rsidR="00481ECF" w:rsidRDefault="00481ECF">
                            <w:pPr>
                              <w:rPr>
                                <w:rFonts w:ascii="Arial" w:hAnsi="Arial" w:cs="Arial"/>
                                <w:sz w:val="20"/>
                                <w:lang w:val="de-DE"/>
                              </w:rPr>
                            </w:pPr>
                            <w:r>
                              <w:rPr>
                                <w:rFonts w:ascii="Arial" w:hAnsi="Arial" w:cs="Arial"/>
                                <w:sz w:val="20"/>
                              </w:rPr>
                              <w:t>(95 % Pl, 0,32</w:t>
                            </w:r>
                            <w:r>
                              <w:rPr>
                                <w:rFonts w:ascii="Arial" w:hAnsi="Arial" w:cs="Arial"/>
                                <w:sz w:val="20"/>
                              </w:rPr>
                              <w:noBreakHyphen/>
                              <w:t>0,65)</w:t>
                            </w:r>
                          </w:p>
                        </w:tc>
                      </w:tr>
                      <w:tr w:rsidR="00481ECF" w14:paraId="2FB807B2" w14:textId="77777777">
                        <w:tc>
                          <w:tcPr>
                            <w:tcW w:w="817" w:type="dxa"/>
                            <w:shd w:val="clear" w:color="auto" w:fill="auto"/>
                          </w:tcPr>
                          <w:p w14:paraId="118684B8" w14:textId="77777777" w:rsidR="00481ECF" w:rsidRDefault="00481ECF">
                            <w:pPr>
                              <w:rPr>
                                <w:rFonts w:ascii="Arial" w:hAnsi="Arial" w:cs="Arial"/>
                                <w:sz w:val="20"/>
                                <w:szCs w:val="20"/>
                              </w:rPr>
                            </w:pPr>
                          </w:p>
                        </w:tc>
                        <w:tc>
                          <w:tcPr>
                            <w:tcW w:w="2464" w:type="dxa"/>
                            <w:shd w:val="clear" w:color="auto" w:fill="auto"/>
                          </w:tcPr>
                          <w:p w14:paraId="709E4FE5"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046C0838"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3F8401EB"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464A6957"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4812F9D5" w14:textId="77777777">
                        <w:tc>
                          <w:tcPr>
                            <w:tcW w:w="817" w:type="dxa"/>
                            <w:shd w:val="clear" w:color="auto" w:fill="auto"/>
                          </w:tcPr>
                          <w:p w14:paraId="420C1061"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63DD3579"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385953CD"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55F0A814" w14:textId="77777777" w:rsidR="00481ECF" w:rsidRDefault="00481ECF">
                            <w:pPr>
                              <w:rPr>
                                <w:rFonts w:ascii="Arial" w:hAnsi="Arial" w:cs="Arial"/>
                                <w:sz w:val="20"/>
                                <w:szCs w:val="20"/>
                              </w:rPr>
                            </w:pPr>
                            <w:r>
                              <w:rPr>
                                <w:rFonts w:ascii="Arial" w:hAnsi="Arial" w:cs="Arial"/>
                                <w:sz w:val="20"/>
                                <w:szCs w:val="20"/>
                              </w:rPr>
                              <w:t>84</w:t>
                            </w:r>
                          </w:p>
                        </w:tc>
                        <w:tc>
                          <w:tcPr>
                            <w:tcW w:w="1680" w:type="dxa"/>
                            <w:tcBorders>
                              <w:top w:val="single" w:sz="4" w:space="0" w:color="auto"/>
                            </w:tcBorders>
                            <w:shd w:val="clear" w:color="auto" w:fill="auto"/>
                          </w:tcPr>
                          <w:p w14:paraId="0C6CE17C" w14:textId="77777777" w:rsidR="00481ECF" w:rsidRDefault="00481ECF">
                            <w:pPr>
                              <w:rPr>
                                <w:rFonts w:ascii="Arial" w:hAnsi="Arial" w:cs="Arial"/>
                                <w:sz w:val="20"/>
                                <w:szCs w:val="20"/>
                              </w:rPr>
                            </w:pPr>
                            <w:r>
                              <w:rPr>
                                <w:rFonts w:ascii="Arial" w:hAnsi="Arial" w:cs="Arial"/>
                                <w:sz w:val="20"/>
                                <w:szCs w:val="20"/>
                              </w:rPr>
                              <w:t>115</w:t>
                            </w:r>
                          </w:p>
                        </w:tc>
                      </w:tr>
                      <w:tr w:rsidR="00481ECF" w14:paraId="5396D288" w14:textId="77777777">
                        <w:tc>
                          <w:tcPr>
                            <w:tcW w:w="817" w:type="dxa"/>
                            <w:shd w:val="clear" w:color="auto" w:fill="auto"/>
                          </w:tcPr>
                          <w:p w14:paraId="1B074B8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01E94A25"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6DCE2795"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18D17D8A" w14:textId="77777777" w:rsidR="00481ECF" w:rsidRDefault="00481ECF">
                            <w:pPr>
                              <w:rPr>
                                <w:rFonts w:ascii="Arial" w:hAnsi="Arial" w:cs="Arial"/>
                                <w:sz w:val="20"/>
                                <w:szCs w:val="20"/>
                              </w:rPr>
                            </w:pPr>
                            <w:r>
                              <w:rPr>
                                <w:rFonts w:ascii="Arial" w:hAnsi="Arial" w:cs="Arial"/>
                                <w:sz w:val="20"/>
                                <w:szCs w:val="20"/>
                              </w:rPr>
                              <w:t>50</w:t>
                            </w:r>
                          </w:p>
                        </w:tc>
                        <w:tc>
                          <w:tcPr>
                            <w:tcW w:w="1680" w:type="dxa"/>
                            <w:tcBorders>
                              <w:bottom w:val="single" w:sz="4" w:space="0" w:color="auto"/>
                            </w:tcBorders>
                            <w:shd w:val="clear" w:color="auto" w:fill="auto"/>
                          </w:tcPr>
                          <w:p w14:paraId="37C9CBA9" w14:textId="77777777" w:rsidR="00481ECF" w:rsidRDefault="00481ECF">
                            <w:pPr>
                              <w:rPr>
                                <w:rFonts w:ascii="Arial" w:hAnsi="Arial" w:cs="Arial"/>
                                <w:sz w:val="20"/>
                                <w:szCs w:val="20"/>
                              </w:rPr>
                            </w:pPr>
                            <w:r>
                              <w:rPr>
                                <w:rFonts w:ascii="Arial" w:hAnsi="Arial" w:cs="Arial"/>
                                <w:sz w:val="20"/>
                                <w:szCs w:val="20"/>
                              </w:rPr>
                              <w:t>148</w:t>
                            </w:r>
                          </w:p>
                        </w:tc>
                      </w:tr>
                      <w:tr w:rsidR="00481ECF" w14:paraId="17DF6534" w14:textId="77777777">
                        <w:tc>
                          <w:tcPr>
                            <w:tcW w:w="817" w:type="dxa"/>
                            <w:shd w:val="clear" w:color="auto" w:fill="auto"/>
                          </w:tcPr>
                          <w:p w14:paraId="5C1797D3"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1028737D"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7AE34338"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7B96C01D"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615513A4" w14:textId="77777777" w:rsidR="00481ECF" w:rsidRDefault="00481ECF">
                            <w:pPr>
                              <w:rPr>
                                <w:rFonts w:ascii="Arial" w:hAnsi="Arial" w:cs="Arial"/>
                                <w:sz w:val="20"/>
                                <w:szCs w:val="20"/>
                              </w:rPr>
                            </w:pPr>
                          </w:p>
                        </w:tc>
                      </w:tr>
                    </w:tbl>
                    <w:p w14:paraId="703A4192" w14:textId="77777777" w:rsidR="00481ECF" w:rsidRDefault="00481ECF">
                      <w:pPr>
                        <w:rPr>
                          <w:rFonts w:ascii="Arial" w:hAnsi="Arial" w:cs="Arial"/>
                          <w:sz w:val="20"/>
                          <w:szCs w:val="20"/>
                        </w:rPr>
                      </w:pPr>
                    </w:p>
                    <w:p w14:paraId="05F27B66" w14:textId="77777777" w:rsidR="00481ECF" w:rsidRDefault="00481ECF">
                      <w:pPr>
                        <w:rPr>
                          <w:rFonts w:ascii="Arial" w:hAnsi="Arial" w:cs="Arial"/>
                          <w:sz w:val="20"/>
                          <w:szCs w:val="20"/>
                        </w:rPr>
                      </w:pPr>
                    </w:p>
                  </w:txbxContent>
                </v:textbox>
              </v:shape>
            </w:pict>
          </mc:Fallback>
        </mc:AlternateContent>
      </w:r>
      <w:r w:rsidRPr="00F93FFA">
        <w:rPr>
          <w:rFonts w:eastAsia="MS Mincho"/>
          <w:noProof/>
          <w:sz w:val="22"/>
          <w:szCs w:val="22"/>
          <w:lang w:val="en-US"/>
        </w:rPr>
        <mc:AlternateContent>
          <mc:Choice Requires="wps">
            <w:drawing>
              <wp:anchor distT="0" distB="0" distL="114300" distR="114300" simplePos="0" relativeHeight="251653120" behindDoc="0" locked="0" layoutInCell="1" allowOverlap="1" wp14:anchorId="561EA502" wp14:editId="70AD1025">
                <wp:simplePos x="0" y="0"/>
                <wp:positionH relativeFrom="column">
                  <wp:posOffset>2080895</wp:posOffset>
                </wp:positionH>
                <wp:positionV relativeFrom="paragraph">
                  <wp:posOffset>2677795</wp:posOffset>
                </wp:positionV>
                <wp:extent cx="1903730"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E9995" w14:textId="77777777" w:rsidR="00481ECF" w:rsidRDefault="00481ECF">
                            <w:pPr>
                              <w:rPr>
                                <w:rFonts w:ascii="Arial" w:hAnsi="Arial" w:cs="Arial"/>
                                <w:sz w:val="20"/>
                                <w:szCs w:val="20"/>
                              </w:rPr>
                            </w:pPr>
                            <w:r>
                              <w:rPr>
                                <w:rFonts w:ascii="Arial" w:hAnsi="Arial" w:cs="Arial"/>
                                <w:sz w:val="20"/>
                                <w:szCs w:val="20"/>
                                <w:lang w:val="de-DE"/>
                              </w:rPr>
                              <w:t>Išgyvenamumas mėnesiais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1EA502" id="_x0000_s1028" type="#_x0000_t202" style="position:absolute;margin-left:163.85pt;margin-top:210.85pt;width:149.9pt;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VsFAIAABQEAAAOAAAAZHJzL2Uyb0RvYy54bWysU8GO0zAQvSPxD5bvNG22ZWnUdLV0VYS0&#10;LEi7fIDjOI1F4jFjt0n5esZ2WwrcED5YHs/4zZs349Xd2HfsoNBpMCWfTaacKSOh1mZX8q8v2zfv&#10;OHNemFp0YFTJj8rxu/XrV6vBFiqHFrpaISMQ44rBlrz13hZZ5mSreuEmYJUhZwPYC08m7rIaxUDo&#10;fZfl0+nbbACsLYJUztHtQ3LydcRvGiX956ZxyrOu5MTNxx3jXoU9W69EsUNhWy1PNMQ/sOiFNpT0&#10;AvUgvGB71H9B9VoiOGj8REKfQdNoqWINVM1s+kc1z62wKtZC4jh7kcn9P1j5dPiCTNclz0keI3rq&#10;0YsaPXsPI8uDPIN1BUU9W4rzI11Tm2Opzj6C/OaYgU0rzE7dI8LQKlETvVl4mV09TTgugFTDJ6gp&#10;jdh7iEBjg33QjtRghE48jpfWBCoypFxOb25vyCXJly8X+e0iphDF+bVF5z8o6Fk4lByp9RFdHB6d&#10;D2xEcQ4JyRx0ut7qrosG7qpNh+wgaEy2caW3nW1Fuo2jQhguhUa83zA6E5AMBMyULtxEDULZSQA/&#10;VmNS+yxtBfWRREFIo0lfiQ4t4A/OBhrLkrvve4GKs+6jIWGXs/k8zHE05ovb0DW89lTXHmEkQZXc&#10;c5aOG59mf29R71rKlFpp4J6a0eioU+haYnWiT6MXyz19kzDb13aM+vWZ1z8BAAD//wMAUEsDBBQA&#10;BgAIAAAAIQCKJXFK4AAAAAsBAAAPAAAAZHJzL2Rvd25yZXYueG1sTI9BT4QwEIXvJv6HZky8GLds&#10;VSBI2ZiNHkzURNR7oSOw0imh3V38944nvc3Me3nvm3KzuFEccA6DJw3rVQICqfV2oE7D+9vDZQ4i&#10;REPWjJ5QwzcG2FSnJ6UprD/SKx7q2AkOoVAYDX2MUyFlaHt0Jqz8hMTap5+dibzOnbSzOXK4G6VK&#10;klQ6MxA39GbCbY/tV7133Hu/5NNH87TdPdYXzU690PCck9bnZ8vdLYiIS/wzwy8+o0PFTI3fkw1i&#10;1HClsoytGq7Vmgd2pCq7AdHwJc0VyKqU/3+ofgAAAP//AwBQSwECLQAUAAYACAAAACEAtoM4kv4A&#10;AADhAQAAEwAAAAAAAAAAAAAAAAAAAAAAW0NvbnRlbnRfVHlwZXNdLnhtbFBLAQItABQABgAIAAAA&#10;IQA4/SH/1gAAAJQBAAALAAAAAAAAAAAAAAAAAC8BAABfcmVscy8ucmVsc1BLAQItABQABgAIAAAA&#10;IQBZbXVsFAIAABQEAAAOAAAAAAAAAAAAAAAAAC4CAABkcnMvZTJvRG9jLnhtbFBLAQItABQABgAI&#10;AAAAIQCKJXFK4AAAAAsBAAAPAAAAAAAAAAAAAAAAAG4EAABkcnMvZG93bnJldi54bWxQSwUGAAAA&#10;AAQABADzAAAAewUAAAAA&#10;" stroked="f">
                <v:fill opacity="0"/>
                <v:textbox>
                  <w:txbxContent>
                    <w:p w14:paraId="103E9995" w14:textId="77777777" w:rsidR="00481ECF" w:rsidRDefault="00481ECF">
                      <w:pPr>
                        <w:rPr>
                          <w:rFonts w:ascii="Arial" w:hAnsi="Arial" w:cs="Arial"/>
                          <w:sz w:val="20"/>
                          <w:szCs w:val="20"/>
                        </w:rPr>
                      </w:pPr>
                      <w:r>
                        <w:rPr>
                          <w:rFonts w:ascii="Arial" w:hAnsi="Arial" w:cs="Arial"/>
                          <w:sz w:val="20"/>
                          <w:szCs w:val="20"/>
                          <w:lang w:val="de-DE"/>
                        </w:rPr>
                        <w:t>Išgyvenamumas mėnesiais</w:t>
                      </w:r>
                    </w:p>
                  </w:txbxContent>
                </v:textbox>
              </v:shape>
            </w:pict>
          </mc:Fallback>
        </mc:AlternateContent>
      </w:r>
      <w:r w:rsidRPr="00F93FFA">
        <w:rPr>
          <w:noProof/>
          <w:lang w:val="en-US"/>
        </w:rPr>
        <w:drawing>
          <wp:inline distT="0" distB="0" distL="0" distR="0" wp14:anchorId="3A515427" wp14:editId="5D16279F">
            <wp:extent cx="5938520" cy="2682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5AC5787E" w14:textId="77777777" w:rsidR="003646A0" w:rsidRPr="00F93FFA" w:rsidRDefault="003646A0" w:rsidP="00DE16D0">
      <w:pPr>
        <w:widowControl w:val="0"/>
        <w:rPr>
          <w:rFonts w:eastAsia="MS Mincho"/>
          <w:sz w:val="22"/>
          <w:szCs w:val="22"/>
        </w:rPr>
      </w:pPr>
    </w:p>
    <w:p w14:paraId="64AC4DD7" w14:textId="77777777" w:rsidR="003646A0" w:rsidRPr="00F93FFA" w:rsidRDefault="003646A0" w:rsidP="00DE16D0">
      <w:pPr>
        <w:widowControl w:val="0"/>
        <w:rPr>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646A0" w:rsidRPr="00F93FFA" w14:paraId="62D2428F" w14:textId="77777777">
        <w:tc>
          <w:tcPr>
            <w:tcW w:w="10599" w:type="dxa"/>
            <w:gridSpan w:val="16"/>
            <w:shd w:val="clear" w:color="auto" w:fill="auto"/>
          </w:tcPr>
          <w:p w14:paraId="413329AA" w14:textId="77777777" w:rsidR="003646A0" w:rsidRPr="00F93FFA" w:rsidRDefault="003646A0" w:rsidP="00DE16D0">
            <w:pPr>
              <w:widowControl w:val="0"/>
              <w:ind w:left="-27"/>
              <w:rPr>
                <w:rFonts w:ascii="Arial" w:hAnsi="Arial" w:cs="Arial"/>
                <w:sz w:val="16"/>
                <w:szCs w:val="16"/>
              </w:rPr>
            </w:pPr>
            <w:r w:rsidRPr="00F93FFA">
              <w:rPr>
                <w:rFonts w:ascii="Arial" w:hAnsi="Arial" w:cs="Arial"/>
                <w:sz w:val="20"/>
                <w:szCs w:val="20"/>
              </w:rPr>
              <w:t>Rizikos grupė: Atvejai</w:t>
            </w:r>
          </w:p>
        </w:tc>
      </w:tr>
      <w:tr w:rsidR="003646A0" w:rsidRPr="00F93FFA" w14:paraId="481F3578" w14:textId="77777777">
        <w:tc>
          <w:tcPr>
            <w:tcW w:w="450" w:type="dxa"/>
            <w:shd w:val="clear" w:color="auto" w:fill="auto"/>
          </w:tcPr>
          <w:p w14:paraId="3750660E" w14:textId="77777777" w:rsidR="003646A0" w:rsidRPr="00F93FFA" w:rsidRDefault="003646A0" w:rsidP="00DE16D0">
            <w:pPr>
              <w:widowControl w:val="0"/>
              <w:rPr>
                <w:sz w:val="20"/>
                <w:szCs w:val="20"/>
              </w:rPr>
            </w:pPr>
            <w:r w:rsidRPr="00F93FFA">
              <w:rPr>
                <w:sz w:val="20"/>
                <w:szCs w:val="20"/>
              </w:rPr>
              <w:t>(1)</w:t>
            </w:r>
          </w:p>
        </w:tc>
        <w:tc>
          <w:tcPr>
            <w:tcW w:w="646" w:type="dxa"/>
            <w:shd w:val="clear" w:color="auto" w:fill="auto"/>
          </w:tcPr>
          <w:p w14:paraId="2267F577" w14:textId="77777777" w:rsidR="003646A0" w:rsidRPr="00F93FFA" w:rsidRDefault="003646A0" w:rsidP="00DE16D0">
            <w:pPr>
              <w:widowControl w:val="0"/>
              <w:ind w:left="-27"/>
              <w:rPr>
                <w:sz w:val="20"/>
                <w:szCs w:val="20"/>
              </w:rPr>
            </w:pPr>
            <w:r w:rsidRPr="00F93FFA">
              <w:rPr>
                <w:sz w:val="20"/>
                <w:szCs w:val="20"/>
              </w:rPr>
              <w:t>199:0</w:t>
            </w:r>
          </w:p>
        </w:tc>
        <w:tc>
          <w:tcPr>
            <w:tcW w:w="645" w:type="dxa"/>
            <w:shd w:val="clear" w:color="auto" w:fill="auto"/>
          </w:tcPr>
          <w:p w14:paraId="0940898F" w14:textId="77777777" w:rsidR="003646A0" w:rsidRPr="00F93FFA" w:rsidRDefault="003646A0" w:rsidP="00DE16D0">
            <w:pPr>
              <w:widowControl w:val="0"/>
              <w:ind w:left="-27"/>
              <w:rPr>
                <w:sz w:val="20"/>
                <w:szCs w:val="20"/>
              </w:rPr>
            </w:pPr>
            <w:r w:rsidRPr="00F93FFA">
              <w:rPr>
                <w:sz w:val="20"/>
                <w:szCs w:val="20"/>
              </w:rPr>
              <w:t>182:8</w:t>
            </w:r>
          </w:p>
        </w:tc>
        <w:tc>
          <w:tcPr>
            <w:tcW w:w="745" w:type="dxa"/>
            <w:shd w:val="clear" w:color="auto" w:fill="auto"/>
          </w:tcPr>
          <w:p w14:paraId="0BE9F6B0" w14:textId="77777777" w:rsidR="003646A0" w:rsidRPr="00F93FFA" w:rsidRDefault="003646A0" w:rsidP="00DE16D0">
            <w:pPr>
              <w:widowControl w:val="0"/>
              <w:ind w:left="-27"/>
              <w:rPr>
                <w:sz w:val="20"/>
                <w:szCs w:val="20"/>
              </w:rPr>
            </w:pPr>
            <w:r w:rsidRPr="00F93FFA">
              <w:rPr>
                <w:sz w:val="20"/>
                <w:szCs w:val="20"/>
              </w:rPr>
              <w:t>177:12</w:t>
            </w:r>
          </w:p>
        </w:tc>
        <w:tc>
          <w:tcPr>
            <w:tcW w:w="745" w:type="dxa"/>
            <w:shd w:val="clear" w:color="auto" w:fill="auto"/>
          </w:tcPr>
          <w:p w14:paraId="29A97935" w14:textId="77777777" w:rsidR="003646A0" w:rsidRPr="00F93FFA" w:rsidRDefault="003646A0" w:rsidP="00DE16D0">
            <w:pPr>
              <w:widowControl w:val="0"/>
              <w:ind w:left="-27"/>
              <w:rPr>
                <w:sz w:val="20"/>
                <w:szCs w:val="20"/>
              </w:rPr>
            </w:pPr>
            <w:r w:rsidRPr="00F93FFA">
              <w:rPr>
                <w:sz w:val="20"/>
                <w:szCs w:val="20"/>
              </w:rPr>
              <w:t>163:25</w:t>
            </w:r>
          </w:p>
        </w:tc>
        <w:tc>
          <w:tcPr>
            <w:tcW w:w="745" w:type="dxa"/>
            <w:shd w:val="clear" w:color="auto" w:fill="auto"/>
          </w:tcPr>
          <w:p w14:paraId="659BB3BA" w14:textId="77777777" w:rsidR="003646A0" w:rsidRPr="00F93FFA" w:rsidRDefault="003646A0" w:rsidP="00DE16D0">
            <w:pPr>
              <w:widowControl w:val="0"/>
              <w:ind w:left="-27"/>
              <w:rPr>
                <w:sz w:val="20"/>
                <w:szCs w:val="20"/>
              </w:rPr>
            </w:pPr>
            <w:r w:rsidRPr="00F93FFA">
              <w:rPr>
                <w:sz w:val="20"/>
                <w:szCs w:val="20"/>
              </w:rPr>
              <w:t>137:46</w:t>
            </w:r>
          </w:p>
        </w:tc>
        <w:tc>
          <w:tcPr>
            <w:tcW w:w="752" w:type="dxa"/>
            <w:shd w:val="clear" w:color="auto" w:fill="auto"/>
          </w:tcPr>
          <w:p w14:paraId="214ADFBB" w14:textId="77777777" w:rsidR="003646A0" w:rsidRPr="00F93FFA" w:rsidRDefault="003646A0" w:rsidP="00DE16D0">
            <w:pPr>
              <w:widowControl w:val="0"/>
              <w:ind w:left="-27"/>
              <w:rPr>
                <w:sz w:val="20"/>
                <w:szCs w:val="20"/>
              </w:rPr>
            </w:pPr>
            <w:r w:rsidRPr="00F93FFA">
              <w:rPr>
                <w:sz w:val="20"/>
                <w:szCs w:val="20"/>
              </w:rPr>
              <w:t>105:65</w:t>
            </w:r>
          </w:p>
        </w:tc>
        <w:tc>
          <w:tcPr>
            <w:tcW w:w="745" w:type="dxa"/>
            <w:shd w:val="clear" w:color="auto" w:fill="auto"/>
          </w:tcPr>
          <w:p w14:paraId="5075D7C2" w14:textId="77777777" w:rsidR="003646A0" w:rsidRPr="00F93FFA" w:rsidRDefault="003646A0" w:rsidP="00DE16D0">
            <w:pPr>
              <w:widowControl w:val="0"/>
              <w:ind w:left="-27"/>
              <w:rPr>
                <w:sz w:val="20"/>
                <w:szCs w:val="20"/>
              </w:rPr>
            </w:pPr>
            <w:r w:rsidRPr="00F93FFA">
              <w:rPr>
                <w:sz w:val="20"/>
                <w:szCs w:val="20"/>
              </w:rPr>
              <w:t>88:72</w:t>
            </w:r>
          </w:p>
        </w:tc>
        <w:tc>
          <w:tcPr>
            <w:tcW w:w="745" w:type="dxa"/>
            <w:shd w:val="clear" w:color="auto" w:fill="auto"/>
          </w:tcPr>
          <w:p w14:paraId="53E30A9D" w14:textId="77777777" w:rsidR="003646A0" w:rsidRPr="00F93FFA" w:rsidRDefault="003646A0" w:rsidP="00DE16D0">
            <w:pPr>
              <w:widowControl w:val="0"/>
              <w:ind w:left="-27"/>
              <w:rPr>
                <w:sz w:val="20"/>
                <w:szCs w:val="20"/>
              </w:rPr>
            </w:pPr>
            <w:r w:rsidRPr="00F93FFA">
              <w:rPr>
                <w:sz w:val="20"/>
                <w:szCs w:val="20"/>
              </w:rPr>
              <w:t>61:77</w:t>
            </w:r>
          </w:p>
        </w:tc>
        <w:tc>
          <w:tcPr>
            <w:tcW w:w="652" w:type="dxa"/>
            <w:shd w:val="clear" w:color="auto" w:fill="auto"/>
          </w:tcPr>
          <w:p w14:paraId="481AFA68" w14:textId="77777777" w:rsidR="003646A0" w:rsidRPr="00F93FFA" w:rsidRDefault="003646A0" w:rsidP="00DE16D0">
            <w:pPr>
              <w:widowControl w:val="0"/>
              <w:ind w:left="-27"/>
              <w:rPr>
                <w:sz w:val="20"/>
                <w:szCs w:val="20"/>
              </w:rPr>
            </w:pPr>
            <w:r w:rsidRPr="00F93FFA">
              <w:rPr>
                <w:sz w:val="20"/>
                <w:szCs w:val="20"/>
              </w:rPr>
              <w:t>49:81</w:t>
            </w:r>
          </w:p>
        </w:tc>
        <w:tc>
          <w:tcPr>
            <w:tcW w:w="652" w:type="dxa"/>
            <w:shd w:val="clear" w:color="auto" w:fill="auto"/>
          </w:tcPr>
          <w:p w14:paraId="4E054BA9" w14:textId="77777777" w:rsidR="003646A0" w:rsidRPr="00F93FFA" w:rsidRDefault="003646A0" w:rsidP="00DE16D0">
            <w:pPr>
              <w:widowControl w:val="0"/>
              <w:ind w:left="-27"/>
              <w:rPr>
                <w:sz w:val="20"/>
                <w:szCs w:val="20"/>
              </w:rPr>
            </w:pPr>
            <w:r w:rsidRPr="00F93FFA">
              <w:rPr>
                <w:sz w:val="20"/>
                <w:szCs w:val="20"/>
              </w:rPr>
              <w:t>36:83</w:t>
            </w:r>
          </w:p>
        </w:tc>
        <w:tc>
          <w:tcPr>
            <w:tcW w:w="649" w:type="dxa"/>
            <w:shd w:val="clear" w:color="auto" w:fill="auto"/>
          </w:tcPr>
          <w:p w14:paraId="3C34711B" w14:textId="77777777" w:rsidR="003646A0" w:rsidRPr="00F93FFA" w:rsidRDefault="003646A0" w:rsidP="00DE16D0">
            <w:pPr>
              <w:widowControl w:val="0"/>
              <w:ind w:left="-27"/>
              <w:rPr>
                <w:sz w:val="20"/>
                <w:szCs w:val="20"/>
              </w:rPr>
            </w:pPr>
            <w:r w:rsidRPr="00F93FFA">
              <w:rPr>
                <w:sz w:val="20"/>
                <w:szCs w:val="20"/>
              </w:rPr>
              <w:t>27:84</w:t>
            </w:r>
          </w:p>
        </w:tc>
        <w:tc>
          <w:tcPr>
            <w:tcW w:w="660" w:type="dxa"/>
            <w:shd w:val="clear" w:color="auto" w:fill="auto"/>
          </w:tcPr>
          <w:p w14:paraId="42E3E310" w14:textId="77777777" w:rsidR="003646A0" w:rsidRPr="00F93FFA" w:rsidRDefault="003646A0" w:rsidP="00DE16D0">
            <w:pPr>
              <w:widowControl w:val="0"/>
              <w:ind w:left="-27"/>
              <w:rPr>
                <w:sz w:val="20"/>
                <w:szCs w:val="20"/>
              </w:rPr>
            </w:pPr>
            <w:r w:rsidRPr="00F93FFA">
              <w:rPr>
                <w:sz w:val="20"/>
                <w:szCs w:val="20"/>
              </w:rPr>
              <w:t>14:84</w:t>
            </w:r>
          </w:p>
        </w:tc>
        <w:tc>
          <w:tcPr>
            <w:tcW w:w="649" w:type="dxa"/>
            <w:shd w:val="clear" w:color="auto" w:fill="auto"/>
          </w:tcPr>
          <w:p w14:paraId="3B8AB6E0" w14:textId="77777777" w:rsidR="003646A0" w:rsidRPr="00F93FFA" w:rsidRDefault="003646A0" w:rsidP="00DE16D0">
            <w:pPr>
              <w:widowControl w:val="0"/>
              <w:ind w:left="-27"/>
              <w:rPr>
                <w:sz w:val="20"/>
                <w:szCs w:val="20"/>
              </w:rPr>
            </w:pPr>
            <w:r w:rsidRPr="00F93FFA">
              <w:rPr>
                <w:sz w:val="20"/>
                <w:szCs w:val="20"/>
              </w:rPr>
              <w:t>10:84</w:t>
            </w:r>
          </w:p>
        </w:tc>
        <w:tc>
          <w:tcPr>
            <w:tcW w:w="564" w:type="dxa"/>
            <w:shd w:val="clear" w:color="auto" w:fill="auto"/>
          </w:tcPr>
          <w:p w14:paraId="539695F3" w14:textId="77777777" w:rsidR="003646A0" w:rsidRPr="00F93FFA" w:rsidRDefault="003646A0" w:rsidP="00DE16D0">
            <w:pPr>
              <w:widowControl w:val="0"/>
              <w:ind w:left="-27"/>
              <w:rPr>
                <w:sz w:val="20"/>
                <w:szCs w:val="20"/>
              </w:rPr>
            </w:pPr>
            <w:r w:rsidRPr="00F93FFA">
              <w:rPr>
                <w:sz w:val="20"/>
                <w:szCs w:val="20"/>
              </w:rPr>
              <w:t>2:84</w:t>
            </w:r>
          </w:p>
        </w:tc>
        <w:tc>
          <w:tcPr>
            <w:tcW w:w="555" w:type="dxa"/>
            <w:shd w:val="clear" w:color="auto" w:fill="auto"/>
          </w:tcPr>
          <w:p w14:paraId="53037EAB" w14:textId="77777777" w:rsidR="003646A0" w:rsidRPr="00F93FFA" w:rsidRDefault="003646A0" w:rsidP="00DE16D0">
            <w:pPr>
              <w:widowControl w:val="0"/>
              <w:ind w:left="-27"/>
              <w:rPr>
                <w:sz w:val="20"/>
                <w:szCs w:val="20"/>
              </w:rPr>
            </w:pPr>
            <w:r w:rsidRPr="00F93FFA">
              <w:rPr>
                <w:sz w:val="20"/>
                <w:szCs w:val="20"/>
              </w:rPr>
              <w:t>0:84</w:t>
            </w:r>
          </w:p>
        </w:tc>
      </w:tr>
      <w:tr w:rsidR="003646A0" w:rsidRPr="00F93FFA" w14:paraId="0836D7CA" w14:textId="77777777">
        <w:tc>
          <w:tcPr>
            <w:tcW w:w="450" w:type="dxa"/>
            <w:shd w:val="clear" w:color="auto" w:fill="auto"/>
          </w:tcPr>
          <w:p w14:paraId="70532424" w14:textId="77777777" w:rsidR="003646A0" w:rsidRPr="00F93FFA" w:rsidRDefault="003646A0" w:rsidP="00DE16D0">
            <w:pPr>
              <w:widowControl w:val="0"/>
              <w:rPr>
                <w:sz w:val="20"/>
                <w:szCs w:val="20"/>
              </w:rPr>
            </w:pPr>
            <w:r w:rsidRPr="00F93FFA">
              <w:rPr>
                <w:sz w:val="20"/>
                <w:szCs w:val="20"/>
              </w:rPr>
              <w:t>(2)</w:t>
            </w:r>
          </w:p>
        </w:tc>
        <w:tc>
          <w:tcPr>
            <w:tcW w:w="646" w:type="dxa"/>
            <w:shd w:val="clear" w:color="auto" w:fill="auto"/>
          </w:tcPr>
          <w:p w14:paraId="409E7A54" w14:textId="77777777" w:rsidR="003646A0" w:rsidRPr="00F93FFA" w:rsidRDefault="003646A0" w:rsidP="00DE16D0">
            <w:pPr>
              <w:widowControl w:val="0"/>
              <w:ind w:left="-27"/>
              <w:rPr>
                <w:sz w:val="20"/>
                <w:szCs w:val="20"/>
              </w:rPr>
            </w:pPr>
            <w:r w:rsidRPr="00F93FFA">
              <w:rPr>
                <w:sz w:val="20"/>
                <w:szCs w:val="20"/>
              </w:rPr>
              <w:t>198:0</w:t>
            </w:r>
          </w:p>
        </w:tc>
        <w:tc>
          <w:tcPr>
            <w:tcW w:w="645" w:type="dxa"/>
            <w:shd w:val="clear" w:color="auto" w:fill="auto"/>
          </w:tcPr>
          <w:p w14:paraId="1AC7CF18" w14:textId="77777777" w:rsidR="003646A0" w:rsidRPr="00F93FFA" w:rsidRDefault="003646A0" w:rsidP="00DE16D0">
            <w:pPr>
              <w:widowControl w:val="0"/>
              <w:ind w:left="-27"/>
              <w:rPr>
                <w:sz w:val="20"/>
                <w:szCs w:val="20"/>
              </w:rPr>
            </w:pPr>
            <w:r w:rsidRPr="00F93FFA">
              <w:rPr>
                <w:sz w:val="20"/>
                <w:szCs w:val="20"/>
              </w:rPr>
              <w:t>189:5</w:t>
            </w:r>
          </w:p>
        </w:tc>
        <w:tc>
          <w:tcPr>
            <w:tcW w:w="745" w:type="dxa"/>
            <w:shd w:val="clear" w:color="auto" w:fill="auto"/>
          </w:tcPr>
          <w:p w14:paraId="7E6098BE" w14:textId="77777777" w:rsidR="003646A0" w:rsidRPr="00F93FFA" w:rsidRDefault="003646A0" w:rsidP="00DE16D0">
            <w:pPr>
              <w:widowControl w:val="0"/>
              <w:ind w:left="-27"/>
              <w:rPr>
                <w:sz w:val="20"/>
                <w:szCs w:val="20"/>
              </w:rPr>
            </w:pPr>
            <w:r w:rsidRPr="00F93FFA">
              <w:rPr>
                <w:sz w:val="20"/>
                <w:szCs w:val="20"/>
              </w:rPr>
              <w:t>184:8</w:t>
            </w:r>
          </w:p>
        </w:tc>
        <w:tc>
          <w:tcPr>
            <w:tcW w:w="745" w:type="dxa"/>
            <w:shd w:val="clear" w:color="auto" w:fill="auto"/>
          </w:tcPr>
          <w:p w14:paraId="5AD0A6BC" w14:textId="77777777" w:rsidR="003646A0" w:rsidRPr="00F93FFA" w:rsidRDefault="003646A0" w:rsidP="00DE16D0">
            <w:pPr>
              <w:widowControl w:val="0"/>
              <w:ind w:left="-27"/>
              <w:rPr>
                <w:sz w:val="20"/>
                <w:szCs w:val="20"/>
              </w:rPr>
            </w:pPr>
            <w:r w:rsidRPr="00F93FFA">
              <w:rPr>
                <w:sz w:val="20"/>
                <w:szCs w:val="20"/>
              </w:rPr>
              <w:t>181:11</w:t>
            </w:r>
          </w:p>
        </w:tc>
        <w:tc>
          <w:tcPr>
            <w:tcW w:w="745" w:type="dxa"/>
            <w:shd w:val="clear" w:color="auto" w:fill="auto"/>
          </w:tcPr>
          <w:p w14:paraId="119961ED" w14:textId="77777777" w:rsidR="003646A0" w:rsidRPr="00F93FFA" w:rsidRDefault="003646A0" w:rsidP="00DE16D0">
            <w:pPr>
              <w:widowControl w:val="0"/>
              <w:ind w:left="-27"/>
              <w:rPr>
                <w:sz w:val="20"/>
                <w:szCs w:val="20"/>
              </w:rPr>
            </w:pPr>
            <w:r w:rsidRPr="00F93FFA">
              <w:rPr>
                <w:sz w:val="20"/>
                <w:szCs w:val="20"/>
              </w:rPr>
              <w:t>173:18</w:t>
            </w:r>
          </w:p>
        </w:tc>
        <w:tc>
          <w:tcPr>
            <w:tcW w:w="752" w:type="dxa"/>
            <w:shd w:val="clear" w:color="auto" w:fill="auto"/>
          </w:tcPr>
          <w:p w14:paraId="444E7C97" w14:textId="77777777" w:rsidR="003646A0" w:rsidRPr="00F93FFA" w:rsidRDefault="003646A0" w:rsidP="00DE16D0">
            <w:pPr>
              <w:widowControl w:val="0"/>
              <w:ind w:left="-27"/>
              <w:rPr>
                <w:sz w:val="20"/>
                <w:szCs w:val="20"/>
              </w:rPr>
            </w:pPr>
            <w:r w:rsidRPr="00F93FFA">
              <w:rPr>
                <w:sz w:val="20"/>
                <w:szCs w:val="20"/>
              </w:rPr>
              <w:t>152:22</w:t>
            </w:r>
          </w:p>
        </w:tc>
        <w:tc>
          <w:tcPr>
            <w:tcW w:w="745" w:type="dxa"/>
            <w:shd w:val="clear" w:color="auto" w:fill="auto"/>
          </w:tcPr>
          <w:p w14:paraId="120E8F3D" w14:textId="77777777" w:rsidR="003646A0" w:rsidRPr="00F93FFA" w:rsidRDefault="003646A0" w:rsidP="00DE16D0">
            <w:pPr>
              <w:widowControl w:val="0"/>
              <w:ind w:left="-27"/>
              <w:rPr>
                <w:sz w:val="20"/>
                <w:szCs w:val="20"/>
              </w:rPr>
            </w:pPr>
            <w:r w:rsidRPr="00F93FFA">
              <w:rPr>
                <w:sz w:val="20"/>
                <w:szCs w:val="20"/>
              </w:rPr>
              <w:t>133:25</w:t>
            </w:r>
          </w:p>
        </w:tc>
        <w:tc>
          <w:tcPr>
            <w:tcW w:w="745" w:type="dxa"/>
            <w:shd w:val="clear" w:color="auto" w:fill="auto"/>
          </w:tcPr>
          <w:p w14:paraId="5399DD98" w14:textId="77777777" w:rsidR="003646A0" w:rsidRPr="00F93FFA" w:rsidRDefault="003646A0" w:rsidP="00DE16D0">
            <w:pPr>
              <w:widowControl w:val="0"/>
              <w:ind w:left="-27"/>
              <w:rPr>
                <w:sz w:val="20"/>
                <w:szCs w:val="20"/>
              </w:rPr>
            </w:pPr>
            <w:r w:rsidRPr="00F93FFA">
              <w:rPr>
                <w:sz w:val="20"/>
                <w:szCs w:val="20"/>
              </w:rPr>
              <w:t>102:29</w:t>
            </w:r>
          </w:p>
        </w:tc>
        <w:tc>
          <w:tcPr>
            <w:tcW w:w="652" w:type="dxa"/>
            <w:shd w:val="clear" w:color="auto" w:fill="auto"/>
          </w:tcPr>
          <w:p w14:paraId="50D6E02B" w14:textId="77777777" w:rsidR="003646A0" w:rsidRPr="00F93FFA" w:rsidRDefault="003646A0" w:rsidP="00DE16D0">
            <w:pPr>
              <w:widowControl w:val="0"/>
              <w:ind w:left="-27"/>
              <w:rPr>
                <w:sz w:val="20"/>
                <w:szCs w:val="20"/>
              </w:rPr>
            </w:pPr>
            <w:r w:rsidRPr="00F93FFA">
              <w:rPr>
                <w:sz w:val="20"/>
                <w:szCs w:val="20"/>
              </w:rPr>
              <w:t>82:35</w:t>
            </w:r>
          </w:p>
        </w:tc>
        <w:tc>
          <w:tcPr>
            <w:tcW w:w="652" w:type="dxa"/>
            <w:shd w:val="clear" w:color="auto" w:fill="auto"/>
          </w:tcPr>
          <w:p w14:paraId="5E62A431" w14:textId="77777777" w:rsidR="003646A0" w:rsidRPr="00F93FFA" w:rsidRDefault="003646A0" w:rsidP="00DE16D0">
            <w:pPr>
              <w:widowControl w:val="0"/>
              <w:ind w:left="-27"/>
              <w:rPr>
                <w:sz w:val="20"/>
                <w:szCs w:val="20"/>
              </w:rPr>
            </w:pPr>
            <w:r w:rsidRPr="00F93FFA">
              <w:rPr>
                <w:sz w:val="20"/>
                <w:szCs w:val="20"/>
              </w:rPr>
              <w:t>54:46</w:t>
            </w:r>
          </w:p>
        </w:tc>
        <w:tc>
          <w:tcPr>
            <w:tcW w:w="649" w:type="dxa"/>
            <w:shd w:val="clear" w:color="auto" w:fill="auto"/>
          </w:tcPr>
          <w:p w14:paraId="0941CC16" w14:textId="77777777" w:rsidR="003646A0" w:rsidRPr="00F93FFA" w:rsidRDefault="003646A0" w:rsidP="00DE16D0">
            <w:pPr>
              <w:widowControl w:val="0"/>
              <w:ind w:left="-27"/>
              <w:rPr>
                <w:sz w:val="20"/>
                <w:szCs w:val="20"/>
              </w:rPr>
            </w:pPr>
            <w:r w:rsidRPr="00F93FFA">
              <w:rPr>
                <w:sz w:val="20"/>
                <w:szCs w:val="20"/>
              </w:rPr>
              <w:t>39:47</w:t>
            </w:r>
          </w:p>
        </w:tc>
        <w:tc>
          <w:tcPr>
            <w:tcW w:w="660" w:type="dxa"/>
            <w:shd w:val="clear" w:color="auto" w:fill="auto"/>
          </w:tcPr>
          <w:p w14:paraId="3C3F2B21" w14:textId="77777777" w:rsidR="003646A0" w:rsidRPr="00F93FFA" w:rsidRDefault="003646A0" w:rsidP="00DE16D0">
            <w:pPr>
              <w:widowControl w:val="0"/>
              <w:ind w:left="-27"/>
              <w:rPr>
                <w:sz w:val="20"/>
                <w:szCs w:val="20"/>
              </w:rPr>
            </w:pPr>
            <w:r w:rsidRPr="00F93FFA">
              <w:rPr>
                <w:sz w:val="20"/>
                <w:szCs w:val="20"/>
              </w:rPr>
              <w:t>21:49</w:t>
            </w:r>
          </w:p>
        </w:tc>
        <w:tc>
          <w:tcPr>
            <w:tcW w:w="649" w:type="dxa"/>
            <w:shd w:val="clear" w:color="auto" w:fill="auto"/>
          </w:tcPr>
          <w:p w14:paraId="5E66613C" w14:textId="77777777" w:rsidR="003646A0" w:rsidRPr="00F93FFA" w:rsidRDefault="003646A0" w:rsidP="00DE16D0">
            <w:pPr>
              <w:widowControl w:val="0"/>
              <w:ind w:left="-27"/>
              <w:rPr>
                <w:sz w:val="20"/>
                <w:szCs w:val="20"/>
              </w:rPr>
            </w:pPr>
            <w:r w:rsidRPr="00F93FFA">
              <w:rPr>
                <w:sz w:val="20"/>
                <w:szCs w:val="20"/>
              </w:rPr>
              <w:t>8:50</w:t>
            </w:r>
          </w:p>
        </w:tc>
        <w:tc>
          <w:tcPr>
            <w:tcW w:w="564" w:type="dxa"/>
            <w:shd w:val="clear" w:color="auto" w:fill="auto"/>
          </w:tcPr>
          <w:p w14:paraId="18AD293E" w14:textId="77777777" w:rsidR="003646A0" w:rsidRPr="00F93FFA" w:rsidRDefault="003646A0" w:rsidP="00DE16D0">
            <w:pPr>
              <w:widowControl w:val="0"/>
              <w:ind w:left="-27"/>
              <w:rPr>
                <w:sz w:val="20"/>
                <w:szCs w:val="20"/>
              </w:rPr>
            </w:pPr>
            <w:r w:rsidRPr="00F93FFA">
              <w:rPr>
                <w:sz w:val="20"/>
                <w:szCs w:val="20"/>
              </w:rPr>
              <w:t>0:50</w:t>
            </w:r>
          </w:p>
        </w:tc>
        <w:tc>
          <w:tcPr>
            <w:tcW w:w="555" w:type="dxa"/>
            <w:shd w:val="clear" w:color="auto" w:fill="auto"/>
          </w:tcPr>
          <w:p w14:paraId="4613FF52" w14:textId="77777777" w:rsidR="003646A0" w:rsidRPr="00F93FFA" w:rsidRDefault="003646A0" w:rsidP="00DE16D0">
            <w:pPr>
              <w:widowControl w:val="0"/>
              <w:ind w:left="-27"/>
              <w:rPr>
                <w:sz w:val="20"/>
                <w:szCs w:val="20"/>
              </w:rPr>
            </w:pPr>
          </w:p>
        </w:tc>
      </w:tr>
    </w:tbl>
    <w:p w14:paraId="3B01228C" w14:textId="77777777" w:rsidR="003646A0" w:rsidRPr="00F93FFA" w:rsidRDefault="003646A0" w:rsidP="00DE16D0">
      <w:pPr>
        <w:widowControl w:val="0"/>
        <w:rPr>
          <w:rFonts w:eastAsia="MS Mincho"/>
          <w:sz w:val="22"/>
          <w:szCs w:val="22"/>
        </w:rPr>
      </w:pPr>
    </w:p>
    <w:p w14:paraId="3597173F" w14:textId="77777777" w:rsidR="003646A0" w:rsidRPr="00F93FFA" w:rsidRDefault="003646A0" w:rsidP="00DE16D0">
      <w:pPr>
        <w:keepNext/>
        <w:widowControl w:val="0"/>
        <w:ind w:left="1134" w:hanging="1134"/>
        <w:rPr>
          <w:rFonts w:eastAsia="MS Mincho"/>
          <w:sz w:val="22"/>
          <w:szCs w:val="22"/>
        </w:rPr>
      </w:pPr>
      <w:r w:rsidRPr="00F93FFA">
        <w:rPr>
          <w:rFonts w:eastAsia="MS Mincho"/>
          <w:b/>
          <w:sz w:val="22"/>
          <w:szCs w:val="22"/>
        </w:rPr>
        <w:lastRenderedPageBreak/>
        <w:t>2 pav.</w:t>
      </w:r>
      <w:r w:rsidRPr="00F93FFA">
        <w:rPr>
          <w:rFonts w:eastAsia="MS Mincho"/>
          <w:b/>
          <w:sz w:val="22"/>
          <w:szCs w:val="22"/>
        </w:rPr>
        <w:tab/>
        <w:t>Bendrojo išgyvenamumo duomenys, Kaplan-Meier kreivė (ITT populiacija)</w:t>
      </w:r>
    </w:p>
    <w:p w14:paraId="0063A32F" w14:textId="77777777" w:rsidR="003646A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54144" behindDoc="0" locked="0" layoutInCell="1" allowOverlap="1" wp14:anchorId="35FAD53B" wp14:editId="72D3036F">
                <wp:simplePos x="0" y="0"/>
                <wp:positionH relativeFrom="column">
                  <wp:posOffset>-255270</wp:posOffset>
                </wp:positionH>
                <wp:positionV relativeFrom="paragraph">
                  <wp:posOffset>122555</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4A97F" w14:textId="77777777" w:rsidR="00481ECF" w:rsidRDefault="00481ECF">
                            <w:pPr>
                              <w:rPr>
                                <w:rFonts w:ascii="Arial" w:hAnsi="Arial" w:cs="Arial"/>
                                <w:sz w:val="20"/>
                                <w:szCs w:val="20"/>
                              </w:rPr>
                            </w:pPr>
                            <w:r>
                              <w:rPr>
                                <w:rFonts w:ascii="Arial" w:hAnsi="Arial" w:cs="Arial"/>
                                <w:sz w:val="20"/>
                                <w:szCs w:val="20"/>
                              </w:rPr>
                              <w:t>Bendrojo išgyvenamumo tikimybė</w:t>
                            </w:r>
                          </w:p>
                          <w:p w14:paraId="47274554" w14:textId="77777777" w:rsidR="00481ECF" w:rsidRDefault="00481ECF">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FAD53B" id="_x0000_s1029" type="#_x0000_t202" style="position:absolute;margin-left:-20.1pt;margin-top:9.65pt;width:26.45pt;height:17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nedJUN8AAAAJAQAADwAAAGRycy9kb3ducmV2LnhtbEyPQUvDQBCF74L/YRnBW7tr&#10;IiaN2RQRCoIgWKvobZqdJsHsbMhu2+ivd3uyx+F9vPdNuZxsLw40+s6xhpu5AkFcO9Nxo2Hztprl&#10;IHxANtg7Jg0/5GFZXV6UWBh35Fc6rEMjYgn7AjW0IQyFlL5uyaKfu4E4Zjs3WgzxHBtpRjzGctvL&#10;RKk7abHjuNDiQI8t1d/rvdXw9fGb03uQL/gU0mxFG/+8+8y1vr6aHu5BBJrCPwwn/agOVXTauj0b&#10;L3oNs1uVRDQGixTECUgyEFsNaaYWIKtSnn9Q/QEAAP//AwBQSwECLQAUAAYACAAAACEAtoM4kv4A&#10;AADhAQAAEwAAAAAAAAAAAAAAAAAAAAAAW0NvbnRlbnRfVHlwZXNdLnhtbFBLAQItABQABgAIAAAA&#10;IQA4/SH/1gAAAJQBAAALAAAAAAAAAAAAAAAAAC8BAABfcmVscy8ucmVsc1BLAQItABQABgAIAAAA&#10;IQArkS69FQIAABcEAAAOAAAAAAAAAAAAAAAAAC4CAABkcnMvZTJvRG9jLnhtbFBLAQItABQABgAI&#10;AAAAIQCd50lQ3wAAAAkBAAAPAAAAAAAAAAAAAAAAAG8EAABkcnMvZG93bnJldi54bWxQSwUGAAAA&#10;AAQABADzAAAAewUAAAAA&#10;" stroked="f">
                <v:fill opacity="0"/>
                <v:textbox style="layout-flow:vertical;mso-layout-flow-alt:bottom-to-top">
                  <w:txbxContent>
                    <w:p w14:paraId="4A44A97F" w14:textId="77777777" w:rsidR="00481ECF" w:rsidRDefault="00481ECF">
                      <w:pPr>
                        <w:rPr>
                          <w:rFonts w:ascii="Arial" w:hAnsi="Arial" w:cs="Arial"/>
                          <w:sz w:val="20"/>
                          <w:szCs w:val="20"/>
                        </w:rPr>
                      </w:pPr>
                      <w:r>
                        <w:rPr>
                          <w:rFonts w:ascii="Arial" w:hAnsi="Arial" w:cs="Arial"/>
                          <w:sz w:val="20"/>
                          <w:szCs w:val="20"/>
                        </w:rPr>
                        <w:t>Bendrojo išgyvenamumo tikimybė</w:t>
                      </w:r>
                    </w:p>
                    <w:p w14:paraId="47274554" w14:textId="77777777" w:rsidR="00481ECF" w:rsidRDefault="00481ECF">
                      <w:pPr>
                        <w:rPr>
                          <w:rFonts w:ascii="Arial" w:hAnsi="Arial" w:cs="Arial"/>
                          <w:sz w:val="20"/>
                          <w:szCs w:val="20"/>
                        </w:rPr>
                      </w:pPr>
                    </w:p>
                  </w:txbxContent>
                </v:textbox>
              </v:shape>
            </w:pict>
          </mc:Fallback>
        </mc:AlternateContent>
      </w:r>
    </w:p>
    <w:p w14:paraId="0977E6A5" w14:textId="77777777" w:rsidR="003646A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55168" behindDoc="0" locked="0" layoutInCell="1" allowOverlap="1" wp14:anchorId="2437B2B6" wp14:editId="07CFAD7D">
                <wp:simplePos x="0" y="0"/>
                <wp:positionH relativeFrom="column">
                  <wp:posOffset>350520</wp:posOffset>
                </wp:positionH>
                <wp:positionV relativeFrom="paragraph">
                  <wp:posOffset>962025</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ABF92" w14:textId="77777777" w:rsidR="00481ECF" w:rsidRDefault="00481ECF">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817"/>
                              <w:gridCol w:w="1680"/>
                            </w:tblGrid>
                            <w:tr w:rsidR="00481ECF" w14:paraId="0C6D9344" w14:textId="77777777">
                              <w:tc>
                                <w:tcPr>
                                  <w:tcW w:w="6629" w:type="dxa"/>
                                  <w:gridSpan w:val="5"/>
                                  <w:shd w:val="clear" w:color="auto" w:fill="auto"/>
                                </w:tcPr>
                                <w:p w14:paraId="58E40A05" w14:textId="570F549E" w:rsidR="00481ECF" w:rsidRDefault="00481ECF">
                                  <w:pPr>
                                    <w:rPr>
                                      <w:rFonts w:ascii="Arial" w:hAnsi="Arial" w:cs="Arial"/>
                                      <w:sz w:val="20"/>
                                      <w:szCs w:val="20"/>
                                    </w:rPr>
                                  </w:pPr>
                                  <w:r>
                                    <w:rPr>
                                      <w:rFonts w:ascii="Arial" w:hAnsi="Arial" w:cs="Arial"/>
                                      <w:sz w:val="20"/>
                                      <w:szCs w:val="20"/>
                                    </w:rPr>
                                    <w:t>p = 0,019</w:t>
                                  </w:r>
                                </w:p>
                                <w:p w14:paraId="3F6154AF" w14:textId="77777777" w:rsidR="00481ECF" w:rsidRDefault="00481ECF">
                                  <w:pPr>
                                    <w:rPr>
                                      <w:rFonts w:ascii="Arial" w:hAnsi="Arial" w:cs="Arial"/>
                                      <w:sz w:val="20"/>
                                      <w:szCs w:val="20"/>
                                    </w:rPr>
                                  </w:pPr>
                                  <w:r>
                                    <w:rPr>
                                      <w:rFonts w:ascii="Arial" w:hAnsi="Arial" w:cs="Arial"/>
                                      <w:sz w:val="20"/>
                                      <w:szCs w:val="20"/>
                                    </w:rPr>
                                    <w:t>Rizikos santykis 0,45</w:t>
                                  </w:r>
                                </w:p>
                                <w:p w14:paraId="13FA8283" w14:textId="77777777" w:rsidR="00481ECF" w:rsidRDefault="00481ECF">
                                  <w:pPr>
                                    <w:rPr>
                                      <w:rFonts w:ascii="Arial" w:hAnsi="Arial" w:cs="Arial"/>
                                      <w:sz w:val="20"/>
                                      <w:szCs w:val="20"/>
                                      <w:lang w:val="de-DE"/>
                                    </w:rPr>
                                  </w:pPr>
                                  <w:r>
                                    <w:rPr>
                                      <w:rFonts w:ascii="Arial" w:hAnsi="Arial" w:cs="Arial"/>
                                      <w:sz w:val="20"/>
                                      <w:szCs w:val="20"/>
                                    </w:rPr>
                                    <w:t>(95 % Pl, 0,22</w:t>
                                  </w:r>
                                  <w:r>
                                    <w:rPr>
                                      <w:rFonts w:ascii="Arial" w:hAnsi="Arial" w:cs="Arial"/>
                                      <w:sz w:val="20"/>
                                      <w:szCs w:val="20"/>
                                    </w:rPr>
                                    <w:noBreakHyphen/>
                                    <w:t>0,89)</w:t>
                                  </w:r>
                                </w:p>
                              </w:tc>
                            </w:tr>
                            <w:tr w:rsidR="00481ECF" w14:paraId="3322D98E" w14:textId="77777777">
                              <w:tc>
                                <w:tcPr>
                                  <w:tcW w:w="817" w:type="dxa"/>
                                  <w:shd w:val="clear" w:color="auto" w:fill="auto"/>
                                </w:tcPr>
                                <w:p w14:paraId="62B7499B" w14:textId="77777777" w:rsidR="00481ECF" w:rsidRDefault="00481ECF">
                                  <w:pPr>
                                    <w:rPr>
                                      <w:rFonts w:ascii="Arial" w:hAnsi="Arial" w:cs="Arial"/>
                                      <w:sz w:val="20"/>
                                      <w:szCs w:val="20"/>
                                    </w:rPr>
                                  </w:pPr>
                                </w:p>
                              </w:tc>
                              <w:tc>
                                <w:tcPr>
                                  <w:tcW w:w="2464" w:type="dxa"/>
                                  <w:shd w:val="clear" w:color="auto" w:fill="auto"/>
                                </w:tcPr>
                                <w:p w14:paraId="2C8F981A"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1BCADA4A"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50250F3D"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38C68681"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65A94F56" w14:textId="77777777">
                              <w:tc>
                                <w:tcPr>
                                  <w:tcW w:w="817" w:type="dxa"/>
                                  <w:shd w:val="clear" w:color="auto" w:fill="auto"/>
                                </w:tcPr>
                                <w:p w14:paraId="5B00FC7E"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4FE35ACB"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601F0299"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20B39428" w14:textId="77777777" w:rsidR="00481ECF" w:rsidRDefault="00481ECF">
                                  <w:pPr>
                                    <w:rPr>
                                      <w:rFonts w:ascii="Arial" w:hAnsi="Arial" w:cs="Arial"/>
                                      <w:sz w:val="20"/>
                                      <w:szCs w:val="20"/>
                                    </w:rPr>
                                  </w:pPr>
                                  <w:r>
                                    <w:rPr>
                                      <w:rFonts w:ascii="Arial" w:hAnsi="Arial" w:cs="Arial"/>
                                      <w:sz w:val="20"/>
                                      <w:szCs w:val="20"/>
                                    </w:rPr>
                                    <w:t>25</w:t>
                                  </w:r>
                                </w:p>
                              </w:tc>
                              <w:tc>
                                <w:tcPr>
                                  <w:tcW w:w="1680" w:type="dxa"/>
                                  <w:tcBorders>
                                    <w:top w:val="single" w:sz="4" w:space="0" w:color="auto"/>
                                  </w:tcBorders>
                                  <w:shd w:val="clear" w:color="auto" w:fill="auto"/>
                                </w:tcPr>
                                <w:p w14:paraId="24477D94" w14:textId="77777777" w:rsidR="00481ECF" w:rsidRDefault="00481ECF">
                                  <w:pPr>
                                    <w:rPr>
                                      <w:rFonts w:ascii="Arial" w:hAnsi="Arial" w:cs="Arial"/>
                                      <w:sz w:val="20"/>
                                      <w:szCs w:val="20"/>
                                    </w:rPr>
                                  </w:pPr>
                                  <w:r>
                                    <w:rPr>
                                      <w:rFonts w:ascii="Arial" w:hAnsi="Arial" w:cs="Arial"/>
                                      <w:sz w:val="20"/>
                                      <w:szCs w:val="20"/>
                                    </w:rPr>
                                    <w:t>174</w:t>
                                  </w:r>
                                </w:p>
                              </w:tc>
                            </w:tr>
                            <w:tr w:rsidR="00481ECF" w14:paraId="5166B2CD" w14:textId="77777777">
                              <w:tc>
                                <w:tcPr>
                                  <w:tcW w:w="817" w:type="dxa"/>
                                  <w:shd w:val="clear" w:color="auto" w:fill="auto"/>
                                </w:tcPr>
                                <w:p w14:paraId="2B55756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0885BE1F"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DDB6C9A"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35E21268" w14:textId="77777777" w:rsidR="00481ECF" w:rsidRDefault="00481ECF">
                                  <w:pPr>
                                    <w:rPr>
                                      <w:rFonts w:ascii="Arial" w:hAnsi="Arial" w:cs="Arial"/>
                                      <w:sz w:val="20"/>
                                      <w:szCs w:val="20"/>
                                    </w:rPr>
                                  </w:pPr>
                                  <w:r>
                                    <w:rPr>
                                      <w:rFonts w:ascii="Arial" w:hAnsi="Arial" w:cs="Arial"/>
                                      <w:sz w:val="20"/>
                                      <w:szCs w:val="20"/>
                                    </w:rPr>
                                    <w:t>12</w:t>
                                  </w:r>
                                </w:p>
                              </w:tc>
                              <w:tc>
                                <w:tcPr>
                                  <w:tcW w:w="1680" w:type="dxa"/>
                                  <w:tcBorders>
                                    <w:bottom w:val="single" w:sz="4" w:space="0" w:color="auto"/>
                                  </w:tcBorders>
                                  <w:shd w:val="clear" w:color="auto" w:fill="auto"/>
                                </w:tcPr>
                                <w:p w14:paraId="3CE8FE0B" w14:textId="77777777" w:rsidR="00481ECF" w:rsidRDefault="00481ECF">
                                  <w:pPr>
                                    <w:rPr>
                                      <w:rFonts w:ascii="Arial" w:hAnsi="Arial" w:cs="Arial"/>
                                      <w:sz w:val="20"/>
                                      <w:szCs w:val="20"/>
                                    </w:rPr>
                                  </w:pPr>
                                  <w:r>
                                    <w:rPr>
                                      <w:rFonts w:ascii="Arial" w:hAnsi="Arial" w:cs="Arial"/>
                                      <w:sz w:val="20"/>
                                      <w:szCs w:val="20"/>
                                    </w:rPr>
                                    <w:t>186</w:t>
                                  </w:r>
                                </w:p>
                              </w:tc>
                            </w:tr>
                            <w:tr w:rsidR="00481ECF" w14:paraId="42C44D01" w14:textId="77777777">
                              <w:tc>
                                <w:tcPr>
                                  <w:tcW w:w="817" w:type="dxa"/>
                                  <w:shd w:val="clear" w:color="auto" w:fill="auto"/>
                                </w:tcPr>
                                <w:p w14:paraId="6BE65543"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7E61CFAA"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0968B55B"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11021CA2"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19112BA6" w14:textId="77777777" w:rsidR="00481ECF" w:rsidRDefault="00481ECF">
                                  <w:pPr>
                                    <w:rPr>
                                      <w:rFonts w:ascii="Arial" w:hAnsi="Arial" w:cs="Arial"/>
                                      <w:sz w:val="20"/>
                                      <w:szCs w:val="20"/>
                                    </w:rPr>
                                  </w:pPr>
                                </w:p>
                              </w:tc>
                            </w:tr>
                          </w:tbl>
                          <w:p w14:paraId="7FCB070F" w14:textId="77777777" w:rsidR="00481ECF" w:rsidRDefault="00481ECF">
                            <w:pPr>
                              <w:rPr>
                                <w:rFonts w:ascii="Arial" w:hAnsi="Arial" w:cs="Arial"/>
                                <w:sz w:val="20"/>
                                <w:szCs w:val="20"/>
                              </w:rPr>
                            </w:pPr>
                          </w:p>
                          <w:p w14:paraId="2ADAD9A4" w14:textId="77777777" w:rsidR="00481ECF" w:rsidRDefault="00481EC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37B2B6" id="_x0000_s1030" type="#_x0000_t202" style="position:absolute;margin-left:27.6pt;margin-top:75.75pt;width:361.05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wkCJg94AAAAKAQAADwAAAGRycy9k&#10;b3ducmV2LnhtbEyPwU7DMAyG70i8Q2QkbizZRtZRmk4IxBW0AZO4ZY3XVjRO1WRreXvMCY62P/3+&#10;/mIz+U6ccYhtIAPzmQKBVAXXUm3g/e35Zg0iJkvOdoHQwDdG2JSXF4XNXRhpi+ddqgWHUMytgSal&#10;PpcyVg16G2ehR+LbMQzeJh6HWrrBjhzuO7lQaiW9bYk/NLbHxwarr93JG/h4OX7ub9Vr/eR1P4ZJ&#10;SfJ30pjrq+nhHkTCKf3B8KvP6lCy0yGcyEXRGdB6wSTv9VyDYCDLsiWIg4FlttIgy0L+r1D+AAAA&#10;//8DAFBLAQItABQABgAIAAAAIQC2gziS/gAAAOEBAAATAAAAAAAAAAAAAAAAAAAAAABbQ29udGVu&#10;dF9UeXBlc10ueG1sUEsBAi0AFAAGAAgAAAAhADj9If/WAAAAlAEAAAsAAAAAAAAAAAAAAAAALwEA&#10;AF9yZWxzLy5yZWxzUEsBAi0AFAAGAAgAAAAhALgpJBn3AQAAzwMAAA4AAAAAAAAAAAAAAAAALgIA&#10;AGRycy9lMm9Eb2MueG1sUEsBAi0AFAAGAAgAAAAhAMJAiYPeAAAACgEAAA8AAAAAAAAAAAAAAAAA&#10;UQQAAGRycy9kb3ducmV2LnhtbFBLBQYAAAAABAAEAPMAAABcBQAAAAA=&#10;" filled="f" stroked="f">
                <v:textbox>
                  <w:txbxContent>
                    <w:p w14:paraId="0F8ABF92" w14:textId="77777777" w:rsidR="00481ECF" w:rsidRDefault="00481ECF">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817"/>
                        <w:gridCol w:w="1680"/>
                      </w:tblGrid>
                      <w:tr w:rsidR="00481ECF" w14:paraId="0C6D9344" w14:textId="77777777">
                        <w:tc>
                          <w:tcPr>
                            <w:tcW w:w="6629" w:type="dxa"/>
                            <w:gridSpan w:val="5"/>
                            <w:shd w:val="clear" w:color="auto" w:fill="auto"/>
                          </w:tcPr>
                          <w:p w14:paraId="58E40A05" w14:textId="570F549E" w:rsidR="00481ECF" w:rsidRDefault="00481ECF">
                            <w:pPr>
                              <w:rPr>
                                <w:rFonts w:ascii="Arial" w:hAnsi="Arial" w:cs="Arial"/>
                                <w:sz w:val="20"/>
                                <w:szCs w:val="20"/>
                              </w:rPr>
                            </w:pPr>
                            <w:r>
                              <w:rPr>
                                <w:rFonts w:ascii="Arial" w:hAnsi="Arial" w:cs="Arial"/>
                                <w:sz w:val="20"/>
                                <w:szCs w:val="20"/>
                              </w:rPr>
                              <w:t>p = 0,019</w:t>
                            </w:r>
                          </w:p>
                          <w:p w14:paraId="3F6154AF" w14:textId="77777777" w:rsidR="00481ECF" w:rsidRDefault="00481ECF">
                            <w:pPr>
                              <w:rPr>
                                <w:rFonts w:ascii="Arial" w:hAnsi="Arial" w:cs="Arial"/>
                                <w:sz w:val="20"/>
                                <w:szCs w:val="20"/>
                              </w:rPr>
                            </w:pPr>
                            <w:r>
                              <w:rPr>
                                <w:rFonts w:ascii="Arial" w:hAnsi="Arial" w:cs="Arial"/>
                                <w:sz w:val="20"/>
                                <w:szCs w:val="20"/>
                              </w:rPr>
                              <w:t>Rizikos santykis 0,45</w:t>
                            </w:r>
                          </w:p>
                          <w:p w14:paraId="13FA8283" w14:textId="77777777" w:rsidR="00481ECF" w:rsidRDefault="00481ECF">
                            <w:pPr>
                              <w:rPr>
                                <w:rFonts w:ascii="Arial" w:hAnsi="Arial" w:cs="Arial"/>
                                <w:sz w:val="20"/>
                                <w:szCs w:val="20"/>
                                <w:lang w:val="de-DE"/>
                              </w:rPr>
                            </w:pPr>
                            <w:r>
                              <w:rPr>
                                <w:rFonts w:ascii="Arial" w:hAnsi="Arial" w:cs="Arial"/>
                                <w:sz w:val="20"/>
                                <w:szCs w:val="20"/>
                              </w:rPr>
                              <w:t>(95 % Pl, 0,22</w:t>
                            </w:r>
                            <w:r>
                              <w:rPr>
                                <w:rFonts w:ascii="Arial" w:hAnsi="Arial" w:cs="Arial"/>
                                <w:sz w:val="20"/>
                                <w:szCs w:val="20"/>
                              </w:rPr>
                              <w:noBreakHyphen/>
                              <w:t>0,89)</w:t>
                            </w:r>
                          </w:p>
                        </w:tc>
                      </w:tr>
                      <w:tr w:rsidR="00481ECF" w14:paraId="3322D98E" w14:textId="77777777">
                        <w:tc>
                          <w:tcPr>
                            <w:tcW w:w="817" w:type="dxa"/>
                            <w:shd w:val="clear" w:color="auto" w:fill="auto"/>
                          </w:tcPr>
                          <w:p w14:paraId="62B7499B" w14:textId="77777777" w:rsidR="00481ECF" w:rsidRDefault="00481ECF">
                            <w:pPr>
                              <w:rPr>
                                <w:rFonts w:ascii="Arial" w:hAnsi="Arial" w:cs="Arial"/>
                                <w:sz w:val="20"/>
                                <w:szCs w:val="20"/>
                              </w:rPr>
                            </w:pPr>
                          </w:p>
                        </w:tc>
                        <w:tc>
                          <w:tcPr>
                            <w:tcW w:w="2464" w:type="dxa"/>
                            <w:shd w:val="clear" w:color="auto" w:fill="auto"/>
                          </w:tcPr>
                          <w:p w14:paraId="2C8F981A"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1BCADA4A"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50250F3D"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38C68681"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65A94F56" w14:textId="77777777">
                        <w:tc>
                          <w:tcPr>
                            <w:tcW w:w="817" w:type="dxa"/>
                            <w:shd w:val="clear" w:color="auto" w:fill="auto"/>
                          </w:tcPr>
                          <w:p w14:paraId="5B00FC7E"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4FE35ACB"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601F0299"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20B39428" w14:textId="77777777" w:rsidR="00481ECF" w:rsidRDefault="00481ECF">
                            <w:pPr>
                              <w:rPr>
                                <w:rFonts w:ascii="Arial" w:hAnsi="Arial" w:cs="Arial"/>
                                <w:sz w:val="20"/>
                                <w:szCs w:val="20"/>
                              </w:rPr>
                            </w:pPr>
                            <w:r>
                              <w:rPr>
                                <w:rFonts w:ascii="Arial" w:hAnsi="Arial" w:cs="Arial"/>
                                <w:sz w:val="20"/>
                                <w:szCs w:val="20"/>
                              </w:rPr>
                              <w:t>25</w:t>
                            </w:r>
                          </w:p>
                        </w:tc>
                        <w:tc>
                          <w:tcPr>
                            <w:tcW w:w="1680" w:type="dxa"/>
                            <w:tcBorders>
                              <w:top w:val="single" w:sz="4" w:space="0" w:color="auto"/>
                            </w:tcBorders>
                            <w:shd w:val="clear" w:color="auto" w:fill="auto"/>
                          </w:tcPr>
                          <w:p w14:paraId="24477D94" w14:textId="77777777" w:rsidR="00481ECF" w:rsidRDefault="00481ECF">
                            <w:pPr>
                              <w:rPr>
                                <w:rFonts w:ascii="Arial" w:hAnsi="Arial" w:cs="Arial"/>
                                <w:sz w:val="20"/>
                                <w:szCs w:val="20"/>
                              </w:rPr>
                            </w:pPr>
                            <w:r>
                              <w:rPr>
                                <w:rFonts w:ascii="Arial" w:hAnsi="Arial" w:cs="Arial"/>
                                <w:sz w:val="20"/>
                                <w:szCs w:val="20"/>
                              </w:rPr>
                              <w:t>174</w:t>
                            </w:r>
                          </w:p>
                        </w:tc>
                      </w:tr>
                      <w:tr w:rsidR="00481ECF" w14:paraId="5166B2CD" w14:textId="77777777">
                        <w:tc>
                          <w:tcPr>
                            <w:tcW w:w="817" w:type="dxa"/>
                            <w:shd w:val="clear" w:color="auto" w:fill="auto"/>
                          </w:tcPr>
                          <w:p w14:paraId="2B55756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0885BE1F"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DDB6C9A"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35E21268" w14:textId="77777777" w:rsidR="00481ECF" w:rsidRDefault="00481ECF">
                            <w:pPr>
                              <w:rPr>
                                <w:rFonts w:ascii="Arial" w:hAnsi="Arial" w:cs="Arial"/>
                                <w:sz w:val="20"/>
                                <w:szCs w:val="20"/>
                              </w:rPr>
                            </w:pPr>
                            <w:r>
                              <w:rPr>
                                <w:rFonts w:ascii="Arial" w:hAnsi="Arial" w:cs="Arial"/>
                                <w:sz w:val="20"/>
                                <w:szCs w:val="20"/>
                              </w:rPr>
                              <w:t>12</w:t>
                            </w:r>
                          </w:p>
                        </w:tc>
                        <w:tc>
                          <w:tcPr>
                            <w:tcW w:w="1680" w:type="dxa"/>
                            <w:tcBorders>
                              <w:bottom w:val="single" w:sz="4" w:space="0" w:color="auto"/>
                            </w:tcBorders>
                            <w:shd w:val="clear" w:color="auto" w:fill="auto"/>
                          </w:tcPr>
                          <w:p w14:paraId="3CE8FE0B" w14:textId="77777777" w:rsidR="00481ECF" w:rsidRDefault="00481ECF">
                            <w:pPr>
                              <w:rPr>
                                <w:rFonts w:ascii="Arial" w:hAnsi="Arial" w:cs="Arial"/>
                                <w:sz w:val="20"/>
                                <w:szCs w:val="20"/>
                              </w:rPr>
                            </w:pPr>
                            <w:r>
                              <w:rPr>
                                <w:rFonts w:ascii="Arial" w:hAnsi="Arial" w:cs="Arial"/>
                                <w:sz w:val="20"/>
                                <w:szCs w:val="20"/>
                              </w:rPr>
                              <w:t>186</w:t>
                            </w:r>
                          </w:p>
                        </w:tc>
                      </w:tr>
                      <w:tr w:rsidR="00481ECF" w14:paraId="42C44D01" w14:textId="77777777">
                        <w:tc>
                          <w:tcPr>
                            <w:tcW w:w="817" w:type="dxa"/>
                            <w:shd w:val="clear" w:color="auto" w:fill="auto"/>
                          </w:tcPr>
                          <w:p w14:paraId="6BE65543"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7E61CFAA"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0968B55B"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11021CA2"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19112BA6" w14:textId="77777777" w:rsidR="00481ECF" w:rsidRDefault="00481ECF">
                            <w:pPr>
                              <w:rPr>
                                <w:rFonts w:ascii="Arial" w:hAnsi="Arial" w:cs="Arial"/>
                                <w:sz w:val="20"/>
                                <w:szCs w:val="20"/>
                              </w:rPr>
                            </w:pPr>
                          </w:p>
                        </w:tc>
                      </w:tr>
                    </w:tbl>
                    <w:p w14:paraId="7FCB070F" w14:textId="77777777" w:rsidR="00481ECF" w:rsidRDefault="00481ECF">
                      <w:pPr>
                        <w:rPr>
                          <w:rFonts w:ascii="Arial" w:hAnsi="Arial" w:cs="Arial"/>
                          <w:sz w:val="20"/>
                          <w:szCs w:val="20"/>
                        </w:rPr>
                      </w:pPr>
                    </w:p>
                    <w:p w14:paraId="2ADAD9A4" w14:textId="77777777" w:rsidR="00481ECF" w:rsidRDefault="00481ECF">
                      <w:pPr>
                        <w:rPr>
                          <w:rFonts w:ascii="Arial" w:hAnsi="Arial" w:cs="Arial"/>
                          <w:sz w:val="20"/>
                          <w:szCs w:val="20"/>
                        </w:rPr>
                      </w:pPr>
                    </w:p>
                  </w:txbxContent>
                </v:textbox>
              </v:shape>
            </w:pict>
          </mc:Fallback>
        </mc:AlternateContent>
      </w:r>
      <w:r w:rsidRPr="00F93FFA">
        <w:rPr>
          <w:noProof/>
          <w:lang w:val="en-US"/>
        </w:rPr>
        <w:drawing>
          <wp:inline distT="0" distB="0" distL="0" distR="0" wp14:anchorId="453F3ED2" wp14:editId="2659D0C9">
            <wp:extent cx="5948680" cy="2636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57D7EDA1" w14:textId="77777777" w:rsidR="003646A0" w:rsidRPr="00F93FFA" w:rsidRDefault="00C3077F" w:rsidP="00DE16D0">
      <w:pPr>
        <w:widowControl w:val="0"/>
        <w:rPr>
          <w:rFonts w:eastAsia="MS Mincho"/>
          <w:sz w:val="22"/>
          <w:szCs w:val="22"/>
        </w:rPr>
      </w:pPr>
      <w:r w:rsidRPr="00F93FFA">
        <w:rPr>
          <w:rFonts w:eastAsia="MS Mincho"/>
          <w:noProof/>
          <w:sz w:val="22"/>
          <w:szCs w:val="22"/>
          <w:lang w:val="en-US"/>
        </w:rPr>
        <mc:AlternateContent>
          <mc:Choice Requires="wps">
            <w:drawing>
              <wp:anchor distT="0" distB="0" distL="114300" distR="114300" simplePos="0" relativeHeight="251657216" behindDoc="0" locked="0" layoutInCell="1" allowOverlap="1" wp14:anchorId="5EAB8855" wp14:editId="759A127F">
                <wp:simplePos x="0" y="0"/>
                <wp:positionH relativeFrom="column">
                  <wp:posOffset>2234565</wp:posOffset>
                </wp:positionH>
                <wp:positionV relativeFrom="paragraph">
                  <wp:posOffset>17780</wp:posOffset>
                </wp:positionV>
                <wp:extent cx="1828800" cy="285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98F00" w14:textId="77777777" w:rsidR="00481ECF" w:rsidRDefault="00481ECF">
                            <w:pPr>
                              <w:rPr>
                                <w:rFonts w:ascii="Arial" w:hAnsi="Arial" w:cs="Arial"/>
                                <w:sz w:val="20"/>
                                <w:szCs w:val="20"/>
                              </w:rPr>
                            </w:pPr>
                            <w:r>
                              <w:rPr>
                                <w:rFonts w:ascii="Arial" w:hAnsi="Arial" w:cs="Arial"/>
                                <w:sz w:val="20"/>
                                <w:szCs w:val="20"/>
                                <w:lang w:val="de-DE"/>
                              </w:rPr>
                              <w:t>Išgyvenamumas mėnesiais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AB8855" id="_x0000_s1031" type="#_x0000_t202" style="position:absolute;margin-left:175.95pt;margin-top:1.4pt;width:2in;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UlEgIAABQEAAAOAAAAZHJzL2Uyb0RvYy54bWysU8GO0zAQvSPxD5bvNG3V0hI1XS1dFSEt&#10;LNIuH+A4TmKReMzYbVK+nrHdlgI3hA+WxzN+M/PeeHM39h07KnQaTMFnkylnykiotGkK/vVl/2bN&#10;mfPCVKIDowp+Uo7fbV+/2gw2V3NooasUMgIxLh9swVvvbZ5lTraqF24CVhly1oC98GRik1UoBkLv&#10;u2w+nb7NBsDKIkjlHN0+JCffRvy6VtI/1bVTnnUFp9p83DHuZdiz7UbkDQrbankuQ/xDFb3QhpJe&#10;oR6EF+yA+i+oXksEB7WfSOgzqGstVeyBuplN/+jmuRVWxV6IHGevNLn/Bys/H78g0xVpt+LMiJ40&#10;elGjZ+9hZPNAz2BdTlHPluL8SNcUGlt19hHkN8cM7FphGnWPCEOrREXlzcLL7OZpwnEBpBw+QUVp&#10;xMFDBBpr7AN3xAYjdJLpdJUmlCJDyvV8vZ6SS5Jvvl6ullG7TOSX1xad/6CgZ+FQcCTpI7o4Pjof&#10;qhH5JSQkc9Dpaq+7LhrYlLsO2VHQmOzjSm8724p0e0nnUmjE+w2jMwHJQMBM6cJN5CC0nQjwYzlG&#10;tpcXakuoTkQKQhpN+kp0aAF/cDbQWBbcfT8IVJx1Hw0R+262WIQ5jsZiuZqTgbee8tYjjCSognvO&#10;0nHn0+wfLOqmpUxJSgP3JEatI09BtVTVuXwavdju+ZuE2b61Y9Svz7z9CQAA//8DAFBLAwQUAAYA&#10;CAAAACEAUk8IXt4AAAAIAQAADwAAAGRycy9kb3ducmV2LnhtbEyPQU/CQBSE7yb8h80j8WJkSxEo&#10;tVtiiB5MlMSi92332Ra7b5vuAvXf+zzpcTKTmW+y7Wg7ccbBt44UzGcRCKTKmZZqBe+Hp9sEhA+a&#10;jO4coYJv9LDNJ1eZTo270Buei1ALLiGfagVNCH0qpa8atNrPXI/E3qcbrA4sh1qaQV+43HYyjqKV&#10;tLolXmh0j7sGq6/iZHn3cUz6j/Jld3wubspjvKf2NSGlrqfjwz2IgGP4C8MvPqNDzkylO5HxolOw&#10;WM43HFUQ8wP2V4sN61LB3ToBmWfy/4H8BwAA//8DAFBLAQItABQABgAIAAAAIQC2gziS/gAAAOEB&#10;AAATAAAAAAAAAAAAAAAAAAAAAABbQ29udGVudF9UeXBlc10ueG1sUEsBAi0AFAAGAAgAAAAhADj9&#10;If/WAAAAlAEAAAsAAAAAAAAAAAAAAAAALwEAAF9yZWxzLy5yZWxzUEsBAi0AFAAGAAgAAAAhAERc&#10;tSUSAgAAFAQAAA4AAAAAAAAAAAAAAAAALgIAAGRycy9lMm9Eb2MueG1sUEsBAi0AFAAGAAgAAAAh&#10;AFJPCF7eAAAACAEAAA8AAAAAAAAAAAAAAAAAbAQAAGRycy9kb3ducmV2LnhtbFBLBQYAAAAABAAE&#10;APMAAAB3BQAAAAA=&#10;" stroked="f">
                <v:fill opacity="0"/>
                <v:textbox>
                  <w:txbxContent>
                    <w:p w14:paraId="1FD98F00" w14:textId="77777777" w:rsidR="00481ECF" w:rsidRDefault="00481ECF">
                      <w:pPr>
                        <w:rPr>
                          <w:rFonts w:ascii="Arial" w:hAnsi="Arial" w:cs="Arial"/>
                          <w:sz w:val="20"/>
                          <w:szCs w:val="20"/>
                        </w:rPr>
                      </w:pPr>
                      <w:r>
                        <w:rPr>
                          <w:rFonts w:ascii="Arial" w:hAnsi="Arial" w:cs="Arial"/>
                          <w:sz w:val="20"/>
                          <w:szCs w:val="20"/>
                          <w:lang w:val="de-DE"/>
                        </w:rPr>
                        <w:t>Išgyvenamumas mėnesiais</w:t>
                      </w:r>
                    </w:p>
                  </w:txbxContent>
                </v:textbox>
              </v:shape>
            </w:pict>
          </mc:Fallback>
        </mc:AlternateContent>
      </w:r>
    </w:p>
    <w:p w14:paraId="11C42FB8" w14:textId="77777777" w:rsidR="003646A0" w:rsidRPr="00F93FFA" w:rsidRDefault="003646A0" w:rsidP="00DE16D0">
      <w:pPr>
        <w:widowControl w:val="0"/>
        <w:rPr>
          <w:rFonts w:eastAsia="MS Mincho"/>
          <w:sz w:val="22"/>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646A0" w:rsidRPr="00F93FFA" w14:paraId="4F2DA133" w14:textId="77777777">
        <w:tc>
          <w:tcPr>
            <w:tcW w:w="10632" w:type="dxa"/>
            <w:gridSpan w:val="16"/>
            <w:shd w:val="clear" w:color="auto" w:fill="auto"/>
          </w:tcPr>
          <w:p w14:paraId="2E67622A" w14:textId="77777777" w:rsidR="003646A0" w:rsidRPr="00F93FFA" w:rsidRDefault="003646A0" w:rsidP="00DE16D0">
            <w:pPr>
              <w:widowControl w:val="0"/>
              <w:ind w:left="-27"/>
              <w:rPr>
                <w:rFonts w:ascii="Arial" w:hAnsi="Arial" w:cs="Arial"/>
                <w:sz w:val="16"/>
                <w:szCs w:val="16"/>
              </w:rPr>
            </w:pPr>
            <w:r w:rsidRPr="00F93FFA">
              <w:rPr>
                <w:rFonts w:ascii="Arial" w:hAnsi="Arial" w:cs="Arial"/>
                <w:sz w:val="20"/>
                <w:szCs w:val="20"/>
              </w:rPr>
              <w:t>Rizikos grupė: Atvejai</w:t>
            </w:r>
          </w:p>
        </w:tc>
      </w:tr>
      <w:tr w:rsidR="003646A0" w:rsidRPr="00F93FFA" w14:paraId="6BF10438" w14:textId="77777777">
        <w:tc>
          <w:tcPr>
            <w:tcW w:w="450" w:type="dxa"/>
            <w:shd w:val="clear" w:color="auto" w:fill="auto"/>
          </w:tcPr>
          <w:p w14:paraId="248E075B" w14:textId="77777777" w:rsidR="003646A0" w:rsidRPr="00F93FFA" w:rsidRDefault="003646A0" w:rsidP="00DE16D0">
            <w:pPr>
              <w:widowControl w:val="0"/>
              <w:rPr>
                <w:sz w:val="20"/>
                <w:szCs w:val="20"/>
              </w:rPr>
            </w:pPr>
            <w:r w:rsidRPr="00F93FFA">
              <w:rPr>
                <w:sz w:val="20"/>
                <w:szCs w:val="20"/>
              </w:rPr>
              <w:t>(1)</w:t>
            </w:r>
          </w:p>
        </w:tc>
        <w:tc>
          <w:tcPr>
            <w:tcW w:w="687" w:type="dxa"/>
            <w:shd w:val="clear" w:color="auto" w:fill="auto"/>
          </w:tcPr>
          <w:p w14:paraId="77BD0220" w14:textId="77777777" w:rsidR="003646A0" w:rsidRPr="00F93FFA" w:rsidRDefault="003646A0" w:rsidP="00DE16D0">
            <w:pPr>
              <w:widowControl w:val="0"/>
              <w:ind w:left="-45"/>
              <w:rPr>
                <w:sz w:val="20"/>
                <w:szCs w:val="20"/>
              </w:rPr>
            </w:pPr>
            <w:r w:rsidRPr="00F93FFA">
              <w:rPr>
                <w:sz w:val="20"/>
                <w:szCs w:val="20"/>
              </w:rPr>
              <w:t>199:0</w:t>
            </w:r>
          </w:p>
        </w:tc>
        <w:tc>
          <w:tcPr>
            <w:tcW w:w="670" w:type="dxa"/>
            <w:shd w:val="clear" w:color="auto" w:fill="auto"/>
          </w:tcPr>
          <w:p w14:paraId="29077E30" w14:textId="77777777" w:rsidR="003646A0" w:rsidRPr="00F93FFA" w:rsidRDefault="003646A0" w:rsidP="00DE16D0">
            <w:pPr>
              <w:widowControl w:val="0"/>
              <w:ind w:left="-45"/>
              <w:rPr>
                <w:sz w:val="20"/>
                <w:szCs w:val="20"/>
              </w:rPr>
            </w:pPr>
            <w:r w:rsidRPr="00F93FFA">
              <w:rPr>
                <w:sz w:val="20"/>
                <w:szCs w:val="20"/>
              </w:rPr>
              <w:t>190:2</w:t>
            </w:r>
          </w:p>
        </w:tc>
        <w:tc>
          <w:tcPr>
            <w:tcW w:w="710" w:type="dxa"/>
            <w:shd w:val="clear" w:color="auto" w:fill="auto"/>
          </w:tcPr>
          <w:p w14:paraId="1F80B4F5" w14:textId="77777777" w:rsidR="003646A0" w:rsidRPr="00F93FFA" w:rsidRDefault="003646A0" w:rsidP="00DE16D0">
            <w:pPr>
              <w:widowControl w:val="0"/>
              <w:ind w:left="-45"/>
              <w:rPr>
                <w:sz w:val="20"/>
                <w:szCs w:val="20"/>
              </w:rPr>
            </w:pPr>
            <w:r w:rsidRPr="00F93FFA">
              <w:rPr>
                <w:sz w:val="20"/>
                <w:szCs w:val="20"/>
              </w:rPr>
              <w:t>188:2</w:t>
            </w:r>
          </w:p>
        </w:tc>
        <w:tc>
          <w:tcPr>
            <w:tcW w:w="717" w:type="dxa"/>
            <w:shd w:val="clear" w:color="auto" w:fill="auto"/>
          </w:tcPr>
          <w:p w14:paraId="27AAD35A" w14:textId="77777777" w:rsidR="003646A0" w:rsidRPr="00F93FFA" w:rsidRDefault="003646A0" w:rsidP="00DE16D0">
            <w:pPr>
              <w:widowControl w:val="0"/>
              <w:ind w:left="-45"/>
              <w:rPr>
                <w:sz w:val="20"/>
                <w:szCs w:val="20"/>
              </w:rPr>
            </w:pPr>
            <w:r w:rsidRPr="00F93FFA">
              <w:rPr>
                <w:sz w:val="20"/>
                <w:szCs w:val="20"/>
              </w:rPr>
              <w:t>183:6</w:t>
            </w:r>
          </w:p>
        </w:tc>
        <w:tc>
          <w:tcPr>
            <w:tcW w:w="691" w:type="dxa"/>
            <w:shd w:val="clear" w:color="auto" w:fill="auto"/>
          </w:tcPr>
          <w:p w14:paraId="5F7AEDF3" w14:textId="77777777" w:rsidR="003646A0" w:rsidRPr="00F93FFA" w:rsidRDefault="003646A0" w:rsidP="00DE16D0">
            <w:pPr>
              <w:widowControl w:val="0"/>
              <w:ind w:left="-45"/>
              <w:rPr>
                <w:sz w:val="20"/>
                <w:szCs w:val="20"/>
              </w:rPr>
            </w:pPr>
            <w:r w:rsidRPr="00F93FFA">
              <w:rPr>
                <w:sz w:val="20"/>
                <w:szCs w:val="20"/>
              </w:rPr>
              <w:t>176:8</w:t>
            </w:r>
          </w:p>
        </w:tc>
        <w:tc>
          <w:tcPr>
            <w:tcW w:w="770" w:type="dxa"/>
            <w:shd w:val="clear" w:color="auto" w:fill="auto"/>
          </w:tcPr>
          <w:p w14:paraId="0A075D58" w14:textId="77777777" w:rsidR="003646A0" w:rsidRPr="00F93FFA" w:rsidRDefault="003646A0" w:rsidP="00DE16D0">
            <w:pPr>
              <w:widowControl w:val="0"/>
              <w:ind w:left="-45"/>
              <w:rPr>
                <w:sz w:val="20"/>
                <w:szCs w:val="20"/>
              </w:rPr>
            </w:pPr>
            <w:r w:rsidRPr="00F93FFA">
              <w:rPr>
                <w:sz w:val="20"/>
                <w:szCs w:val="20"/>
              </w:rPr>
              <w:t>156:10</w:t>
            </w:r>
          </w:p>
        </w:tc>
        <w:tc>
          <w:tcPr>
            <w:tcW w:w="779" w:type="dxa"/>
            <w:shd w:val="clear" w:color="auto" w:fill="auto"/>
          </w:tcPr>
          <w:p w14:paraId="5794B92E" w14:textId="77777777" w:rsidR="003646A0" w:rsidRPr="00F93FFA" w:rsidRDefault="003646A0" w:rsidP="00DE16D0">
            <w:pPr>
              <w:widowControl w:val="0"/>
              <w:ind w:left="-45"/>
              <w:rPr>
                <w:sz w:val="20"/>
                <w:szCs w:val="20"/>
              </w:rPr>
            </w:pPr>
            <w:r w:rsidRPr="00F93FFA">
              <w:rPr>
                <w:sz w:val="20"/>
                <w:szCs w:val="20"/>
              </w:rPr>
              <w:t>140:11</w:t>
            </w:r>
          </w:p>
        </w:tc>
        <w:tc>
          <w:tcPr>
            <w:tcW w:w="794" w:type="dxa"/>
            <w:shd w:val="clear" w:color="auto" w:fill="auto"/>
          </w:tcPr>
          <w:p w14:paraId="7F910D19" w14:textId="77777777" w:rsidR="003646A0" w:rsidRPr="00F93FFA" w:rsidRDefault="003646A0" w:rsidP="00DE16D0">
            <w:pPr>
              <w:widowControl w:val="0"/>
              <w:ind w:left="-45"/>
              <w:rPr>
                <w:sz w:val="20"/>
                <w:szCs w:val="20"/>
              </w:rPr>
            </w:pPr>
            <w:r w:rsidRPr="00F93FFA">
              <w:rPr>
                <w:sz w:val="20"/>
                <w:szCs w:val="20"/>
              </w:rPr>
              <w:t>105:14</w:t>
            </w:r>
          </w:p>
        </w:tc>
        <w:tc>
          <w:tcPr>
            <w:tcW w:w="653" w:type="dxa"/>
            <w:shd w:val="clear" w:color="auto" w:fill="auto"/>
          </w:tcPr>
          <w:p w14:paraId="7AB06DCB" w14:textId="77777777" w:rsidR="003646A0" w:rsidRPr="00F93FFA" w:rsidRDefault="003646A0" w:rsidP="00DE16D0">
            <w:pPr>
              <w:widowControl w:val="0"/>
              <w:ind w:left="-45"/>
              <w:rPr>
                <w:sz w:val="20"/>
                <w:szCs w:val="20"/>
              </w:rPr>
            </w:pPr>
            <w:r w:rsidRPr="00F93FFA">
              <w:rPr>
                <w:sz w:val="20"/>
                <w:szCs w:val="20"/>
              </w:rPr>
              <w:t>87:18</w:t>
            </w:r>
          </w:p>
        </w:tc>
        <w:tc>
          <w:tcPr>
            <w:tcW w:w="630" w:type="dxa"/>
            <w:shd w:val="clear" w:color="auto" w:fill="auto"/>
          </w:tcPr>
          <w:p w14:paraId="5D70EC5F" w14:textId="77777777" w:rsidR="003646A0" w:rsidRPr="00F93FFA" w:rsidRDefault="003646A0" w:rsidP="00DE16D0">
            <w:pPr>
              <w:widowControl w:val="0"/>
              <w:ind w:left="-45"/>
              <w:rPr>
                <w:sz w:val="20"/>
                <w:szCs w:val="20"/>
              </w:rPr>
            </w:pPr>
            <w:r w:rsidRPr="00F93FFA">
              <w:rPr>
                <w:sz w:val="20"/>
                <w:szCs w:val="20"/>
              </w:rPr>
              <w:t>64:22</w:t>
            </w:r>
          </w:p>
        </w:tc>
        <w:tc>
          <w:tcPr>
            <w:tcW w:w="643" w:type="dxa"/>
            <w:shd w:val="clear" w:color="auto" w:fill="auto"/>
          </w:tcPr>
          <w:p w14:paraId="5028DA71" w14:textId="77777777" w:rsidR="003646A0" w:rsidRPr="00F93FFA" w:rsidRDefault="003646A0" w:rsidP="00DE16D0">
            <w:pPr>
              <w:widowControl w:val="0"/>
              <w:ind w:left="-45"/>
              <w:rPr>
                <w:sz w:val="20"/>
                <w:szCs w:val="20"/>
              </w:rPr>
            </w:pPr>
            <w:r w:rsidRPr="00F93FFA">
              <w:rPr>
                <w:sz w:val="20"/>
                <w:szCs w:val="20"/>
              </w:rPr>
              <w:t>46:23</w:t>
            </w:r>
          </w:p>
        </w:tc>
        <w:tc>
          <w:tcPr>
            <w:tcW w:w="670" w:type="dxa"/>
            <w:shd w:val="clear" w:color="auto" w:fill="auto"/>
          </w:tcPr>
          <w:p w14:paraId="4A510A66" w14:textId="77777777" w:rsidR="003646A0" w:rsidRPr="00F93FFA" w:rsidRDefault="003646A0" w:rsidP="00DE16D0">
            <w:pPr>
              <w:widowControl w:val="0"/>
              <w:ind w:left="-45"/>
              <w:rPr>
                <w:sz w:val="20"/>
                <w:szCs w:val="20"/>
              </w:rPr>
            </w:pPr>
            <w:r w:rsidRPr="00F93FFA">
              <w:rPr>
                <w:sz w:val="20"/>
                <w:szCs w:val="20"/>
              </w:rPr>
              <w:t>27:25</w:t>
            </w:r>
          </w:p>
        </w:tc>
        <w:tc>
          <w:tcPr>
            <w:tcW w:w="683" w:type="dxa"/>
            <w:shd w:val="clear" w:color="auto" w:fill="auto"/>
          </w:tcPr>
          <w:p w14:paraId="2208D3BB" w14:textId="77777777" w:rsidR="003646A0" w:rsidRPr="00F93FFA" w:rsidRDefault="003646A0" w:rsidP="00DE16D0">
            <w:pPr>
              <w:widowControl w:val="0"/>
              <w:ind w:left="-45"/>
              <w:rPr>
                <w:sz w:val="20"/>
                <w:szCs w:val="20"/>
              </w:rPr>
            </w:pPr>
            <w:r w:rsidRPr="00F93FFA">
              <w:rPr>
                <w:sz w:val="20"/>
                <w:szCs w:val="20"/>
              </w:rPr>
              <w:t>20:25</w:t>
            </w:r>
          </w:p>
        </w:tc>
        <w:tc>
          <w:tcPr>
            <w:tcW w:w="558" w:type="dxa"/>
            <w:shd w:val="clear" w:color="auto" w:fill="auto"/>
          </w:tcPr>
          <w:p w14:paraId="47AF7D42" w14:textId="77777777" w:rsidR="003646A0" w:rsidRPr="00F93FFA" w:rsidRDefault="003646A0" w:rsidP="00DE16D0">
            <w:pPr>
              <w:widowControl w:val="0"/>
              <w:ind w:left="-45"/>
              <w:rPr>
                <w:sz w:val="20"/>
                <w:szCs w:val="20"/>
              </w:rPr>
            </w:pPr>
            <w:r w:rsidRPr="00F93FFA">
              <w:rPr>
                <w:sz w:val="20"/>
                <w:szCs w:val="20"/>
              </w:rPr>
              <w:t>2:25</w:t>
            </w:r>
          </w:p>
        </w:tc>
        <w:tc>
          <w:tcPr>
            <w:tcW w:w="527" w:type="dxa"/>
            <w:shd w:val="clear" w:color="auto" w:fill="auto"/>
          </w:tcPr>
          <w:p w14:paraId="32651C07" w14:textId="77777777" w:rsidR="003646A0" w:rsidRPr="00F93FFA" w:rsidRDefault="003646A0" w:rsidP="00DE16D0">
            <w:pPr>
              <w:widowControl w:val="0"/>
              <w:ind w:left="-45"/>
              <w:rPr>
                <w:sz w:val="20"/>
                <w:szCs w:val="20"/>
              </w:rPr>
            </w:pPr>
            <w:r w:rsidRPr="00F93FFA">
              <w:rPr>
                <w:sz w:val="20"/>
                <w:szCs w:val="20"/>
              </w:rPr>
              <w:t>0:25</w:t>
            </w:r>
          </w:p>
        </w:tc>
      </w:tr>
      <w:tr w:rsidR="003646A0" w:rsidRPr="00F93FFA" w14:paraId="13D29899" w14:textId="77777777">
        <w:tc>
          <w:tcPr>
            <w:tcW w:w="450" w:type="dxa"/>
            <w:shd w:val="clear" w:color="auto" w:fill="auto"/>
          </w:tcPr>
          <w:p w14:paraId="183BC3B8" w14:textId="77777777" w:rsidR="003646A0" w:rsidRPr="00F93FFA" w:rsidRDefault="003646A0" w:rsidP="00DE16D0">
            <w:pPr>
              <w:widowControl w:val="0"/>
              <w:rPr>
                <w:sz w:val="20"/>
                <w:szCs w:val="20"/>
              </w:rPr>
            </w:pPr>
            <w:r w:rsidRPr="00F93FFA">
              <w:rPr>
                <w:sz w:val="20"/>
                <w:szCs w:val="20"/>
              </w:rPr>
              <w:t>(2)</w:t>
            </w:r>
          </w:p>
        </w:tc>
        <w:tc>
          <w:tcPr>
            <w:tcW w:w="687" w:type="dxa"/>
            <w:shd w:val="clear" w:color="auto" w:fill="auto"/>
          </w:tcPr>
          <w:p w14:paraId="47D0288F" w14:textId="77777777" w:rsidR="003646A0" w:rsidRPr="00F93FFA" w:rsidRDefault="003646A0" w:rsidP="00DE16D0">
            <w:pPr>
              <w:widowControl w:val="0"/>
              <w:ind w:left="-45"/>
              <w:rPr>
                <w:sz w:val="20"/>
                <w:szCs w:val="20"/>
              </w:rPr>
            </w:pPr>
            <w:r w:rsidRPr="00F93FFA">
              <w:rPr>
                <w:sz w:val="20"/>
                <w:szCs w:val="20"/>
              </w:rPr>
              <w:t>198:0</w:t>
            </w:r>
          </w:p>
        </w:tc>
        <w:tc>
          <w:tcPr>
            <w:tcW w:w="670" w:type="dxa"/>
            <w:shd w:val="clear" w:color="auto" w:fill="auto"/>
          </w:tcPr>
          <w:p w14:paraId="17B0D111" w14:textId="77777777" w:rsidR="003646A0" w:rsidRPr="00F93FFA" w:rsidRDefault="003646A0" w:rsidP="00DE16D0">
            <w:pPr>
              <w:widowControl w:val="0"/>
              <w:ind w:left="-45"/>
              <w:rPr>
                <w:sz w:val="20"/>
                <w:szCs w:val="20"/>
              </w:rPr>
            </w:pPr>
            <w:r w:rsidRPr="00F93FFA">
              <w:rPr>
                <w:sz w:val="20"/>
                <w:szCs w:val="20"/>
              </w:rPr>
              <w:t>196:0</w:t>
            </w:r>
          </w:p>
        </w:tc>
        <w:tc>
          <w:tcPr>
            <w:tcW w:w="710" w:type="dxa"/>
            <w:shd w:val="clear" w:color="auto" w:fill="auto"/>
          </w:tcPr>
          <w:p w14:paraId="755127DA" w14:textId="77777777" w:rsidR="003646A0" w:rsidRPr="00F93FFA" w:rsidRDefault="003646A0" w:rsidP="00DE16D0">
            <w:pPr>
              <w:widowControl w:val="0"/>
              <w:ind w:left="-45"/>
              <w:rPr>
                <w:sz w:val="20"/>
                <w:szCs w:val="20"/>
              </w:rPr>
            </w:pPr>
            <w:r w:rsidRPr="00F93FFA">
              <w:rPr>
                <w:sz w:val="20"/>
                <w:szCs w:val="20"/>
              </w:rPr>
              <w:t>192:0</w:t>
            </w:r>
          </w:p>
        </w:tc>
        <w:tc>
          <w:tcPr>
            <w:tcW w:w="717" w:type="dxa"/>
            <w:shd w:val="clear" w:color="auto" w:fill="auto"/>
          </w:tcPr>
          <w:p w14:paraId="4572DC9E" w14:textId="77777777" w:rsidR="003646A0" w:rsidRPr="00F93FFA" w:rsidRDefault="003646A0" w:rsidP="00DE16D0">
            <w:pPr>
              <w:widowControl w:val="0"/>
              <w:ind w:left="-45"/>
              <w:rPr>
                <w:sz w:val="20"/>
                <w:szCs w:val="20"/>
              </w:rPr>
            </w:pPr>
            <w:r w:rsidRPr="00F93FFA">
              <w:rPr>
                <w:sz w:val="20"/>
                <w:szCs w:val="20"/>
              </w:rPr>
              <w:t>187:4</w:t>
            </w:r>
          </w:p>
        </w:tc>
        <w:tc>
          <w:tcPr>
            <w:tcW w:w="691" w:type="dxa"/>
            <w:shd w:val="clear" w:color="auto" w:fill="auto"/>
          </w:tcPr>
          <w:p w14:paraId="62866E24" w14:textId="77777777" w:rsidR="003646A0" w:rsidRPr="00F93FFA" w:rsidRDefault="003646A0" w:rsidP="00DE16D0">
            <w:pPr>
              <w:widowControl w:val="0"/>
              <w:ind w:left="-45"/>
              <w:rPr>
                <w:sz w:val="20"/>
                <w:szCs w:val="20"/>
              </w:rPr>
            </w:pPr>
            <w:r w:rsidRPr="00F93FFA">
              <w:rPr>
                <w:sz w:val="20"/>
                <w:szCs w:val="20"/>
              </w:rPr>
              <w:t>184:5</w:t>
            </w:r>
          </w:p>
        </w:tc>
        <w:tc>
          <w:tcPr>
            <w:tcW w:w="770" w:type="dxa"/>
            <w:shd w:val="clear" w:color="auto" w:fill="auto"/>
          </w:tcPr>
          <w:p w14:paraId="5A3C45A0" w14:textId="77777777" w:rsidR="003646A0" w:rsidRPr="00F93FFA" w:rsidRDefault="003646A0" w:rsidP="00DE16D0">
            <w:pPr>
              <w:widowControl w:val="0"/>
              <w:ind w:left="-45"/>
              <w:rPr>
                <w:sz w:val="20"/>
                <w:szCs w:val="20"/>
              </w:rPr>
            </w:pPr>
            <w:r w:rsidRPr="00F93FFA">
              <w:rPr>
                <w:sz w:val="20"/>
                <w:szCs w:val="20"/>
              </w:rPr>
              <w:t>164:7</w:t>
            </w:r>
          </w:p>
        </w:tc>
        <w:tc>
          <w:tcPr>
            <w:tcW w:w="779" w:type="dxa"/>
            <w:shd w:val="clear" w:color="auto" w:fill="auto"/>
          </w:tcPr>
          <w:p w14:paraId="5547F034" w14:textId="77777777" w:rsidR="003646A0" w:rsidRPr="00F93FFA" w:rsidRDefault="003646A0" w:rsidP="00DE16D0">
            <w:pPr>
              <w:widowControl w:val="0"/>
              <w:ind w:left="-45"/>
              <w:rPr>
                <w:sz w:val="20"/>
                <w:szCs w:val="20"/>
              </w:rPr>
            </w:pPr>
            <w:r w:rsidRPr="00F93FFA">
              <w:rPr>
                <w:sz w:val="20"/>
                <w:szCs w:val="20"/>
              </w:rPr>
              <w:t>152:7</w:t>
            </w:r>
          </w:p>
        </w:tc>
        <w:tc>
          <w:tcPr>
            <w:tcW w:w="794" w:type="dxa"/>
            <w:shd w:val="clear" w:color="auto" w:fill="auto"/>
          </w:tcPr>
          <w:p w14:paraId="43D6D601" w14:textId="77777777" w:rsidR="003646A0" w:rsidRPr="00F93FFA" w:rsidRDefault="003646A0" w:rsidP="00DE16D0">
            <w:pPr>
              <w:widowControl w:val="0"/>
              <w:ind w:left="-45"/>
              <w:rPr>
                <w:sz w:val="20"/>
                <w:szCs w:val="20"/>
              </w:rPr>
            </w:pPr>
            <w:r w:rsidRPr="00F93FFA">
              <w:rPr>
                <w:sz w:val="20"/>
                <w:szCs w:val="20"/>
              </w:rPr>
              <w:t>119:8</w:t>
            </w:r>
          </w:p>
        </w:tc>
        <w:tc>
          <w:tcPr>
            <w:tcW w:w="653" w:type="dxa"/>
            <w:shd w:val="clear" w:color="auto" w:fill="auto"/>
          </w:tcPr>
          <w:p w14:paraId="23DCB969" w14:textId="77777777" w:rsidR="003646A0" w:rsidRPr="00F93FFA" w:rsidRDefault="003646A0" w:rsidP="00DE16D0">
            <w:pPr>
              <w:widowControl w:val="0"/>
              <w:ind w:left="-45"/>
              <w:rPr>
                <w:sz w:val="20"/>
                <w:szCs w:val="20"/>
              </w:rPr>
            </w:pPr>
            <w:r w:rsidRPr="00F93FFA">
              <w:rPr>
                <w:sz w:val="20"/>
                <w:szCs w:val="20"/>
              </w:rPr>
              <w:t>100:8</w:t>
            </w:r>
          </w:p>
        </w:tc>
        <w:tc>
          <w:tcPr>
            <w:tcW w:w="630" w:type="dxa"/>
            <w:shd w:val="clear" w:color="auto" w:fill="auto"/>
          </w:tcPr>
          <w:p w14:paraId="65C1AAD6" w14:textId="77777777" w:rsidR="003646A0" w:rsidRPr="00F93FFA" w:rsidRDefault="003646A0" w:rsidP="00DE16D0">
            <w:pPr>
              <w:widowControl w:val="0"/>
              <w:ind w:left="-45"/>
              <w:rPr>
                <w:sz w:val="20"/>
                <w:szCs w:val="20"/>
              </w:rPr>
            </w:pPr>
            <w:r w:rsidRPr="00F93FFA">
              <w:rPr>
                <w:sz w:val="20"/>
                <w:szCs w:val="20"/>
              </w:rPr>
              <w:t>76:10</w:t>
            </w:r>
          </w:p>
        </w:tc>
        <w:tc>
          <w:tcPr>
            <w:tcW w:w="643" w:type="dxa"/>
            <w:shd w:val="clear" w:color="auto" w:fill="auto"/>
          </w:tcPr>
          <w:p w14:paraId="51C3CEB3" w14:textId="77777777" w:rsidR="003646A0" w:rsidRPr="00F93FFA" w:rsidRDefault="003646A0" w:rsidP="00DE16D0">
            <w:pPr>
              <w:widowControl w:val="0"/>
              <w:ind w:left="-45"/>
              <w:rPr>
                <w:sz w:val="20"/>
                <w:szCs w:val="20"/>
              </w:rPr>
            </w:pPr>
            <w:r w:rsidRPr="00F93FFA">
              <w:rPr>
                <w:sz w:val="20"/>
                <w:szCs w:val="20"/>
              </w:rPr>
              <w:t>56:11</w:t>
            </w:r>
          </w:p>
        </w:tc>
        <w:tc>
          <w:tcPr>
            <w:tcW w:w="670" w:type="dxa"/>
            <w:shd w:val="clear" w:color="auto" w:fill="auto"/>
          </w:tcPr>
          <w:p w14:paraId="5FDD85A3" w14:textId="77777777" w:rsidR="003646A0" w:rsidRPr="00F93FFA" w:rsidRDefault="003646A0" w:rsidP="00DE16D0">
            <w:pPr>
              <w:widowControl w:val="0"/>
              <w:ind w:left="-45"/>
              <w:rPr>
                <w:sz w:val="20"/>
                <w:szCs w:val="20"/>
              </w:rPr>
            </w:pPr>
            <w:r w:rsidRPr="00F93FFA">
              <w:rPr>
                <w:sz w:val="20"/>
                <w:szCs w:val="20"/>
              </w:rPr>
              <w:t>31:11</w:t>
            </w:r>
          </w:p>
        </w:tc>
        <w:tc>
          <w:tcPr>
            <w:tcW w:w="683" w:type="dxa"/>
            <w:shd w:val="clear" w:color="auto" w:fill="auto"/>
          </w:tcPr>
          <w:p w14:paraId="505CAB89" w14:textId="77777777" w:rsidR="003646A0" w:rsidRPr="00F93FFA" w:rsidRDefault="003646A0" w:rsidP="00DE16D0">
            <w:pPr>
              <w:widowControl w:val="0"/>
              <w:ind w:left="-45"/>
              <w:rPr>
                <w:sz w:val="20"/>
                <w:szCs w:val="20"/>
              </w:rPr>
            </w:pPr>
            <w:r w:rsidRPr="00F93FFA">
              <w:rPr>
                <w:sz w:val="20"/>
                <w:szCs w:val="20"/>
              </w:rPr>
              <w:t>13:12</w:t>
            </w:r>
          </w:p>
        </w:tc>
        <w:tc>
          <w:tcPr>
            <w:tcW w:w="558" w:type="dxa"/>
            <w:shd w:val="clear" w:color="auto" w:fill="auto"/>
          </w:tcPr>
          <w:p w14:paraId="0E2D8123" w14:textId="77777777" w:rsidR="003646A0" w:rsidRPr="00F93FFA" w:rsidRDefault="003646A0" w:rsidP="00DE16D0">
            <w:pPr>
              <w:widowControl w:val="0"/>
              <w:ind w:left="-45"/>
              <w:rPr>
                <w:sz w:val="20"/>
                <w:szCs w:val="20"/>
              </w:rPr>
            </w:pPr>
            <w:r w:rsidRPr="00F93FFA">
              <w:rPr>
                <w:sz w:val="20"/>
                <w:szCs w:val="20"/>
              </w:rPr>
              <w:t>0:12</w:t>
            </w:r>
          </w:p>
        </w:tc>
        <w:tc>
          <w:tcPr>
            <w:tcW w:w="527" w:type="dxa"/>
            <w:shd w:val="clear" w:color="auto" w:fill="auto"/>
          </w:tcPr>
          <w:p w14:paraId="02BFD171" w14:textId="77777777" w:rsidR="003646A0" w:rsidRPr="00F93FFA" w:rsidRDefault="003646A0" w:rsidP="00DE16D0">
            <w:pPr>
              <w:widowControl w:val="0"/>
              <w:ind w:left="-45"/>
              <w:rPr>
                <w:sz w:val="20"/>
                <w:szCs w:val="20"/>
              </w:rPr>
            </w:pPr>
          </w:p>
        </w:tc>
      </w:tr>
    </w:tbl>
    <w:p w14:paraId="1134D012"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321F0CA5" w14:textId="77777777" w:rsidR="003646A0" w:rsidRPr="00F93FFA" w:rsidRDefault="003646A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c-Kit teigiamais VTSN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7 literatūros šaltiniuose aprašyta 17 pacientų, sirgusių VTSN (su nustatytomis Kit ir PDGFR genų mutacijomis arba be jų). Šių pacientų amžius svyravo nuo 8 metų iki 18 metų, jiems buvo skiriamos imatinibo (kaip adjuvanto arba metastazinės ligos gydymo sudėtinė dalis) dozės nuo 300 mg iki 800 mg per parą. Daugeliui vaikų, kurie buvo gydomi nuo VTSN, trūko duomenų apie nustatytas c-Kit arba PDGFR genų mutacijas, todėl tai galėjo lemti nevienalytes klinikines išeitis.</w:t>
      </w:r>
    </w:p>
    <w:p w14:paraId="6C34E211" w14:textId="77777777" w:rsidR="003646A0" w:rsidRPr="00F93FFA" w:rsidRDefault="003646A0" w:rsidP="00DE16D0">
      <w:pPr>
        <w:pStyle w:val="Text"/>
        <w:widowControl w:val="0"/>
        <w:spacing w:before="0"/>
        <w:jc w:val="left"/>
        <w:rPr>
          <w:rFonts w:eastAsia="MS Mincho"/>
          <w:color w:val="000000"/>
          <w:sz w:val="22"/>
          <w:szCs w:val="22"/>
          <w:lang w:val="lt-LT" w:eastAsia="ja-JP"/>
        </w:rPr>
      </w:pPr>
    </w:p>
    <w:p w14:paraId="43D194FF" w14:textId="77777777" w:rsidR="003646A0" w:rsidRPr="00F93FFA" w:rsidRDefault="003646A0" w:rsidP="00DE16D0">
      <w:pPr>
        <w:pStyle w:val="Nottoc-headings"/>
        <w:widowControl w:val="0"/>
        <w:spacing w:before="0" w:after="0"/>
        <w:rPr>
          <w:rFonts w:ascii="Times New Roman" w:eastAsia="MS Mincho" w:hAnsi="Times New Roman"/>
          <w:b w:val="0"/>
          <w:color w:val="000000"/>
          <w:sz w:val="22"/>
          <w:szCs w:val="22"/>
          <w:u w:val="single"/>
          <w:lang w:val="lt-LT" w:eastAsia="ja-JP"/>
        </w:rPr>
      </w:pPr>
      <w:r w:rsidRPr="00F93FFA">
        <w:rPr>
          <w:rFonts w:ascii="Times New Roman" w:eastAsia="MS Mincho" w:hAnsi="Times New Roman"/>
          <w:b w:val="0"/>
          <w:color w:val="000000"/>
          <w:sz w:val="22"/>
          <w:szCs w:val="22"/>
          <w:u w:val="single"/>
          <w:lang w:val="lt-LT" w:eastAsia="ja-JP"/>
        </w:rPr>
        <w:t>DFSP klinikiniai tyrimai</w:t>
      </w:r>
    </w:p>
    <w:p w14:paraId="5A4DC6FD" w14:textId="77777777" w:rsidR="003646A0" w:rsidRPr="00F93FFA" w:rsidRDefault="003646A0" w:rsidP="00DE16D0">
      <w:pPr>
        <w:pStyle w:val="Text"/>
        <w:widowControl w:val="0"/>
        <w:spacing w:before="0"/>
        <w:jc w:val="left"/>
        <w:rPr>
          <w:rFonts w:eastAsia="MS Mincho"/>
          <w:strike/>
          <w:color w:val="000000"/>
          <w:sz w:val="22"/>
          <w:szCs w:val="22"/>
          <w:lang w:val="lt-LT" w:eastAsia="ja-JP"/>
        </w:rPr>
      </w:pPr>
      <w:r w:rsidRPr="00F93FFA">
        <w:rPr>
          <w:rFonts w:eastAsia="MS Mincho"/>
          <w:color w:val="000000"/>
          <w:sz w:val="22"/>
          <w:szCs w:val="22"/>
          <w:lang w:val="lt-LT" w:eastAsia="ja-JP"/>
        </w:rPr>
        <w:t>Viename II fazės, atvirame, daugiacentriniame, klinikiniame tyrime (tyrimas B2225) dalyvavo 12 DFSP sergančių pacientų,</w:t>
      </w:r>
      <w:r w:rsidRPr="00F93FFA">
        <w:rPr>
          <w:color w:val="000000"/>
          <w:sz w:val="22"/>
          <w:szCs w:val="22"/>
          <w:lang w:val="lt-LT" w:eastAsia="ja-JP"/>
        </w:rPr>
        <w:t xml:space="preserve"> vartojusių 800 mg Glivec per parą. </w:t>
      </w:r>
      <w:r w:rsidRPr="00F93FFA">
        <w:rPr>
          <w:rFonts w:eastAsia="MS Mincho"/>
          <w:color w:val="000000"/>
          <w:sz w:val="22"/>
          <w:szCs w:val="22"/>
          <w:lang w:val="lt-LT" w:eastAsia="ja-JP"/>
        </w:rPr>
        <w:t>DFSP sirgusių pacientų amžius buvo nuo 23 iki 75 metų; įtraukimo į tyrimą metu pacientai sirgo metastazavusia DFSP, vietiškai recidyvavusia po pirminės rezekcijos ir, kai nebuvo tikimasi, kad kartotinė rezekcija bus naudinga.</w:t>
      </w:r>
      <w:r w:rsidRPr="00F93FFA">
        <w:rPr>
          <w:color w:val="000000"/>
          <w:sz w:val="22"/>
          <w:szCs w:val="22"/>
          <w:lang w:val="lt-LT" w:eastAsia="ja-JP"/>
        </w:rPr>
        <w:t xml:space="preserve"> Pirminiai veiksmingumo duomenys rėmėsi objektyvaus atsako dažniu. Iš 12 tirtų pacientų 9 buvo gautas atsakas, vienam – pilnas, o 8 - dalinis. </w:t>
      </w:r>
      <w:r w:rsidRPr="00F93FFA">
        <w:rPr>
          <w:color w:val="000000"/>
          <w:sz w:val="22"/>
          <w:szCs w:val="22"/>
          <w:lang w:val="lt-LT"/>
        </w:rPr>
        <w:t>Trims pacientams iš tų, kuriems buvo gautas dalinis atsakas, navikas pašalintas operacijos metu</w:t>
      </w:r>
      <w:r w:rsidRPr="00F93FFA">
        <w:rPr>
          <w:color w:val="000000"/>
          <w:sz w:val="22"/>
          <w:szCs w:val="22"/>
          <w:lang w:val="lt-LT" w:eastAsia="ja-JP"/>
        </w:rPr>
        <w:t xml:space="preserve">. Gydymo trukmės mediana B2225 tyrimo metu buvo 6,2 mėnesio, o didžiausia trukmė - 24,3 mėnesio. </w:t>
      </w:r>
      <w:r w:rsidRPr="00F93FFA">
        <w:rPr>
          <w:rFonts w:eastAsia="MS Mincho"/>
          <w:color w:val="000000"/>
          <w:sz w:val="22"/>
          <w:szCs w:val="22"/>
          <w:lang w:val="lt-LT" w:eastAsia="ja-JP"/>
        </w:rPr>
        <w:t>Dar 6 DFSP sirgusių ir Glivek gydytų pacientų ligos istorijos nagrinėtos 5 paskelbtuose klinikinių atvejų aprašymuose, jų amžius svyravo nuo 18 mėnesių iki 49 metų. Iš viso dėl DFSP buvo gydyta 18 pacientų, aštuoniems iš jų buvo metastazių. Literatūroje aprašyti suaugę pacientai vartojo arba 400 mg (4 atvejai), arba 800 mg (1 atvejis) Glivec per parą. Penkiems (</w:t>
      </w:r>
      <w:r w:rsidRPr="00F93FFA">
        <w:rPr>
          <w:color w:val="000000"/>
          <w:sz w:val="22"/>
          <w:szCs w:val="22"/>
          <w:lang w:val="lt-LT" w:eastAsia="ja-JP"/>
        </w:rPr>
        <w:t>5) pacientams buvo gautas atsakas, 3 – pilnas, o 2 - dalinis. Literatūroje skelbtų atvejų gydymo trukmės mediana buvo nuo 4 savaičių iki daugiau kaip 20 mėnesių. Translokacija t(17:22)[(q22:q13)] arba jos genų produktas buvo beveik visuose atsakuose į Glivec terapiją.</w:t>
      </w:r>
    </w:p>
    <w:p w14:paraId="74D7B545" w14:textId="77777777" w:rsidR="003646A0" w:rsidRPr="00F93FFA" w:rsidRDefault="003646A0" w:rsidP="00DE16D0">
      <w:pPr>
        <w:widowControl w:val="0"/>
        <w:rPr>
          <w:color w:val="000000"/>
          <w:sz w:val="22"/>
          <w:szCs w:val="22"/>
        </w:rPr>
      </w:pPr>
    </w:p>
    <w:p w14:paraId="1251FE59" w14:textId="77777777" w:rsidR="003646A0" w:rsidRPr="00F93FFA" w:rsidRDefault="003646A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DFSP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3 literatūros šaltiniuose aprašyti 5 pacientai, kurie sirgo DFSP ir kuriems buvo nustatyta PDGFR genų pakitimų. Šių pacientų amžius svyravo nuo naujagimio iki 14 metų, jiems buvo skiriama 50 mg per parą imatinibo dozė arba nuo 400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iki 520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kūno paviršiaus ploto per parą dozė. Visiems pacientams pasiektas dalinis ir (arba) visiškas atsakas.</w:t>
      </w:r>
    </w:p>
    <w:p w14:paraId="6E974D8F" w14:textId="77777777" w:rsidR="003646A0" w:rsidRPr="00F93FFA" w:rsidRDefault="003646A0" w:rsidP="00DE16D0">
      <w:pPr>
        <w:widowControl w:val="0"/>
        <w:rPr>
          <w:color w:val="000000"/>
          <w:sz w:val="22"/>
          <w:szCs w:val="22"/>
        </w:rPr>
      </w:pPr>
    </w:p>
    <w:p w14:paraId="3D874DC0"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5.2</w:t>
      </w:r>
      <w:r w:rsidRPr="00F93FFA">
        <w:rPr>
          <w:b/>
          <w:color w:val="000000"/>
          <w:sz w:val="22"/>
          <w:szCs w:val="22"/>
        </w:rPr>
        <w:tab/>
        <w:t>Farmakokinetinės savybės</w:t>
      </w:r>
    </w:p>
    <w:p w14:paraId="0ABEA0AF" w14:textId="77777777" w:rsidR="003646A0" w:rsidRPr="00F93FFA" w:rsidRDefault="003646A0" w:rsidP="00C94C5B">
      <w:pPr>
        <w:pStyle w:val="EndnoteText"/>
        <w:keepNext/>
        <w:widowControl w:val="0"/>
        <w:tabs>
          <w:tab w:val="clear" w:pos="567"/>
        </w:tabs>
        <w:rPr>
          <w:color w:val="000000"/>
          <w:szCs w:val="22"/>
          <w:lang w:val="lt-LT"/>
        </w:rPr>
      </w:pPr>
    </w:p>
    <w:p w14:paraId="4E271C8F"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Glivec farmakokinetika</w:t>
      </w:r>
    </w:p>
    <w:p w14:paraId="4D7F82A0" w14:textId="77777777" w:rsidR="003646A0" w:rsidRPr="00F93FFA" w:rsidRDefault="003646A0" w:rsidP="00DE16D0">
      <w:pPr>
        <w:widowControl w:val="0"/>
        <w:rPr>
          <w:color w:val="000000"/>
          <w:sz w:val="22"/>
          <w:szCs w:val="22"/>
        </w:rPr>
      </w:pPr>
      <w:r w:rsidRPr="00F93FFA">
        <w:rPr>
          <w:color w:val="000000"/>
          <w:sz w:val="22"/>
          <w:szCs w:val="22"/>
        </w:rPr>
        <w:t xml:space="preserve">Glivec farmakokinetika tirta vartojant nuo 25 mg iki 1 000 mg dozes. Plazmos farmakokinetikos </w:t>
      </w:r>
      <w:r w:rsidRPr="00F93FFA">
        <w:rPr>
          <w:color w:val="000000"/>
          <w:sz w:val="22"/>
          <w:szCs w:val="22"/>
        </w:rPr>
        <w:lastRenderedPageBreak/>
        <w:t>pobūdis buvo tiriamas 1</w:t>
      </w:r>
      <w:r w:rsidRPr="00F93FFA">
        <w:rPr>
          <w:color w:val="000000"/>
          <w:sz w:val="22"/>
          <w:szCs w:val="22"/>
        </w:rPr>
        <w:noBreakHyphen/>
        <w:t>ąją dieną ir 7</w:t>
      </w:r>
      <w:r w:rsidRPr="00F93FFA">
        <w:rPr>
          <w:color w:val="000000"/>
          <w:sz w:val="22"/>
          <w:szCs w:val="22"/>
        </w:rPr>
        <w:noBreakHyphen/>
        <w:t>ąją arba 28</w:t>
      </w:r>
      <w:r w:rsidRPr="00F93FFA">
        <w:rPr>
          <w:color w:val="000000"/>
          <w:sz w:val="22"/>
          <w:szCs w:val="22"/>
        </w:rPr>
        <w:noBreakHyphen/>
        <w:t>ąją dieną, kai koncentracija plazmoje pasidaro pastovi.</w:t>
      </w:r>
    </w:p>
    <w:p w14:paraId="2FC30473" w14:textId="77777777" w:rsidR="003646A0" w:rsidRPr="00F93FFA" w:rsidRDefault="003646A0" w:rsidP="00DE16D0">
      <w:pPr>
        <w:widowControl w:val="0"/>
        <w:rPr>
          <w:color w:val="000000"/>
          <w:sz w:val="22"/>
          <w:szCs w:val="22"/>
        </w:rPr>
      </w:pPr>
    </w:p>
    <w:p w14:paraId="678E7ED3"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Absorbcija</w:t>
      </w:r>
    </w:p>
    <w:p w14:paraId="60A456B1" w14:textId="77777777" w:rsidR="003646A0" w:rsidRPr="00F93FFA" w:rsidRDefault="003646A0" w:rsidP="00DE16D0">
      <w:pPr>
        <w:widowControl w:val="0"/>
        <w:rPr>
          <w:color w:val="000000"/>
          <w:sz w:val="22"/>
          <w:szCs w:val="22"/>
        </w:rPr>
      </w:pPr>
      <w:r w:rsidRPr="00F93FFA">
        <w:rPr>
          <w:color w:val="000000"/>
          <w:sz w:val="22"/>
          <w:szCs w:val="22"/>
        </w:rPr>
        <w:t>Vidutinis absoliutus kapsulių biologinis prieinamumas yra 98 %. Nustatyta didelis skirtingų pacientų plazmos imatinibo AUC reikšmės svyravimas po išgertos dozės. Vartojamo su riebiu maistu imatinibo absorbcijos greitis labai nedaug sumažėja (C</w:t>
      </w:r>
      <w:r w:rsidRPr="00F93FFA">
        <w:rPr>
          <w:color w:val="000000"/>
          <w:sz w:val="22"/>
          <w:szCs w:val="22"/>
          <w:vertAlign w:val="subscript"/>
        </w:rPr>
        <w:t>max</w:t>
      </w:r>
      <w:r w:rsidRPr="00F93FFA">
        <w:rPr>
          <w:color w:val="000000"/>
          <w:sz w:val="22"/>
          <w:szCs w:val="22"/>
        </w:rPr>
        <w:t xml:space="preserve"> sumažėja 11 % ir t</w:t>
      </w:r>
      <w:r w:rsidRPr="00F93FFA">
        <w:rPr>
          <w:color w:val="000000"/>
          <w:sz w:val="22"/>
          <w:szCs w:val="22"/>
          <w:vertAlign w:val="subscript"/>
        </w:rPr>
        <w:t>max</w:t>
      </w:r>
      <w:r w:rsidRPr="00F93FFA">
        <w:rPr>
          <w:color w:val="000000"/>
          <w:sz w:val="22"/>
          <w:szCs w:val="22"/>
        </w:rPr>
        <w:t xml:space="preserve"> pailgėja 1,5 val.), taip pat šiek tiek sumažėja AUC (7,4 %) lyginant su </w:t>
      </w:r>
      <w:r w:rsidR="00A70D12" w:rsidRPr="00F93FFA">
        <w:rPr>
          <w:color w:val="000000"/>
          <w:sz w:val="22"/>
          <w:szCs w:val="22"/>
        </w:rPr>
        <w:t xml:space="preserve">vaistinio preparato </w:t>
      </w:r>
      <w:r w:rsidRPr="00F93FFA">
        <w:rPr>
          <w:color w:val="000000"/>
          <w:sz w:val="22"/>
          <w:szCs w:val="22"/>
        </w:rPr>
        <w:t xml:space="preserve">vartojimu nevalgius. Anksčiau atliktos virškinimo trakto operacijos įtaka </w:t>
      </w:r>
      <w:r w:rsidR="00A70D12" w:rsidRPr="00F93FFA">
        <w:rPr>
          <w:color w:val="000000"/>
          <w:sz w:val="22"/>
          <w:szCs w:val="22"/>
        </w:rPr>
        <w:t xml:space="preserve">vaistinio preparato </w:t>
      </w:r>
      <w:r w:rsidRPr="00F93FFA">
        <w:rPr>
          <w:color w:val="000000"/>
          <w:sz w:val="22"/>
          <w:szCs w:val="22"/>
        </w:rPr>
        <w:t>absorbcijai netirta.</w:t>
      </w:r>
    </w:p>
    <w:p w14:paraId="1B9EAFAD" w14:textId="77777777" w:rsidR="003646A0" w:rsidRPr="00F93FFA" w:rsidRDefault="003646A0" w:rsidP="00DE16D0">
      <w:pPr>
        <w:widowControl w:val="0"/>
        <w:rPr>
          <w:color w:val="000000"/>
          <w:sz w:val="22"/>
          <w:szCs w:val="22"/>
        </w:rPr>
      </w:pPr>
    </w:p>
    <w:p w14:paraId="31C63E7D"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Pasiskirstymas</w:t>
      </w:r>
    </w:p>
    <w:p w14:paraId="1D58158F" w14:textId="77777777" w:rsidR="003646A0" w:rsidRPr="00F93FFA" w:rsidRDefault="003646A0" w:rsidP="00DE16D0">
      <w:pPr>
        <w:widowControl w:val="0"/>
        <w:rPr>
          <w:color w:val="000000"/>
          <w:sz w:val="22"/>
          <w:szCs w:val="22"/>
        </w:rPr>
      </w:pPr>
      <w:r w:rsidRPr="00F93FFA">
        <w:rPr>
          <w:color w:val="000000"/>
          <w:sz w:val="22"/>
          <w:szCs w:val="22"/>
        </w:rPr>
        <w:t xml:space="preserve">Kai susidaro kliniškai reikšminga imatinibo koncentracija, apie 95 % </w:t>
      </w:r>
      <w:r w:rsidR="00A70D12" w:rsidRPr="00F93FFA">
        <w:rPr>
          <w:color w:val="000000"/>
          <w:sz w:val="22"/>
          <w:szCs w:val="22"/>
        </w:rPr>
        <w:t xml:space="preserve">vaistinio preparato </w:t>
      </w:r>
      <w:r w:rsidRPr="00F93FFA">
        <w:rPr>
          <w:color w:val="000000"/>
          <w:sz w:val="22"/>
          <w:szCs w:val="22"/>
        </w:rPr>
        <w:t xml:space="preserve">jungiasi su plazmos baltymais (pagal eksperimentus </w:t>
      </w:r>
      <w:r w:rsidRPr="00F93FFA">
        <w:rPr>
          <w:i/>
          <w:color w:val="000000"/>
          <w:sz w:val="22"/>
          <w:szCs w:val="22"/>
        </w:rPr>
        <w:t>in vitro</w:t>
      </w:r>
      <w:r w:rsidRPr="00F93FFA">
        <w:rPr>
          <w:color w:val="000000"/>
          <w:sz w:val="22"/>
          <w:szCs w:val="22"/>
        </w:rPr>
        <w:t>), daugiausia su albuminu ir alfa rūgščiuoju glikoproteinu ir labai mažai su lipoproteinu.</w:t>
      </w:r>
    </w:p>
    <w:p w14:paraId="573FC1C0" w14:textId="77777777" w:rsidR="003646A0" w:rsidRPr="00F93FFA" w:rsidRDefault="003646A0" w:rsidP="00DE16D0">
      <w:pPr>
        <w:widowControl w:val="0"/>
        <w:rPr>
          <w:color w:val="000000"/>
          <w:sz w:val="22"/>
          <w:szCs w:val="22"/>
        </w:rPr>
      </w:pPr>
    </w:p>
    <w:p w14:paraId="43F8C26F"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Biotransformacija</w:t>
      </w:r>
    </w:p>
    <w:p w14:paraId="3947F471" w14:textId="77777777" w:rsidR="003646A0" w:rsidRPr="00F93FFA" w:rsidRDefault="003646A0" w:rsidP="00DE16D0">
      <w:pPr>
        <w:widowControl w:val="0"/>
        <w:rPr>
          <w:color w:val="000000"/>
          <w:sz w:val="22"/>
          <w:szCs w:val="22"/>
        </w:rPr>
      </w:pPr>
      <w:r w:rsidRPr="00F93FFA">
        <w:rPr>
          <w:color w:val="000000"/>
          <w:sz w:val="22"/>
          <w:szCs w:val="22"/>
        </w:rPr>
        <w:t>Pagrindinis cirkuliuojantis metabolitas žmogaus organizme yra N</w:t>
      </w:r>
      <w:r w:rsidRPr="00F93FFA">
        <w:rPr>
          <w:color w:val="000000"/>
          <w:sz w:val="22"/>
          <w:szCs w:val="22"/>
        </w:rPr>
        <w:noBreakHyphen/>
        <w:t xml:space="preserve">demetilintas piperazino derivatas, kuris </w:t>
      </w:r>
      <w:r w:rsidRPr="00F93FFA">
        <w:rPr>
          <w:i/>
          <w:color w:val="000000"/>
          <w:sz w:val="22"/>
          <w:szCs w:val="22"/>
        </w:rPr>
        <w:t>in vitro</w:t>
      </w:r>
      <w:r w:rsidRPr="00F93FFA">
        <w:rPr>
          <w:color w:val="000000"/>
          <w:sz w:val="22"/>
          <w:szCs w:val="22"/>
        </w:rPr>
        <w:t xml:space="preserve"> veikia taip pat stipriai kaip ir jo pirmtakas. Šio metabolito plazmos AUC sudaro tik 16 % imatinibo AUC. N-demetilintas metabolitas jungiasi su plazmos baltymais panašiai kaip pagrindinis junginys.</w:t>
      </w:r>
    </w:p>
    <w:p w14:paraId="18795DE8" w14:textId="77777777" w:rsidR="003646A0" w:rsidRPr="00F93FFA" w:rsidRDefault="003646A0" w:rsidP="00DE16D0">
      <w:pPr>
        <w:widowControl w:val="0"/>
        <w:rPr>
          <w:color w:val="000000"/>
          <w:sz w:val="22"/>
          <w:szCs w:val="22"/>
        </w:rPr>
      </w:pPr>
    </w:p>
    <w:p w14:paraId="0314525F" w14:textId="77777777" w:rsidR="003646A0" w:rsidRPr="00F93FFA" w:rsidRDefault="003646A0" w:rsidP="00DE16D0">
      <w:pPr>
        <w:widowControl w:val="0"/>
        <w:rPr>
          <w:color w:val="000000"/>
          <w:sz w:val="22"/>
          <w:szCs w:val="22"/>
        </w:rPr>
      </w:pPr>
      <w:r w:rsidRPr="00F93FFA">
        <w:rPr>
          <w:color w:val="000000"/>
          <w:sz w:val="22"/>
          <w:szCs w:val="22"/>
        </w:rPr>
        <w:t>Imatinibas ir N</w:t>
      </w:r>
      <w:r w:rsidRPr="00F93FFA">
        <w:rPr>
          <w:color w:val="000000"/>
          <w:sz w:val="22"/>
          <w:szCs w:val="22"/>
        </w:rPr>
        <w:noBreakHyphen/>
        <w:t>demetilmetabolitas kartu sudaro 65 % cirkuliuojančio radioaktyvumo (AUC</w:t>
      </w:r>
      <w:r w:rsidRPr="00F93FFA">
        <w:rPr>
          <w:color w:val="000000"/>
          <w:sz w:val="22"/>
          <w:szCs w:val="22"/>
          <w:vertAlign w:val="subscript"/>
        </w:rPr>
        <w:t>0-48h</w:t>
      </w:r>
      <w:r w:rsidRPr="00F93FFA">
        <w:rPr>
          <w:color w:val="000000"/>
          <w:sz w:val="22"/>
          <w:szCs w:val="22"/>
        </w:rPr>
        <w:t>). Kitas cirkuliuojantis radioaktyvumas priklauso nuo kelių mažesnių metabolitų.</w:t>
      </w:r>
    </w:p>
    <w:p w14:paraId="3DA8A5C2" w14:textId="77777777" w:rsidR="003646A0" w:rsidRPr="00F93FFA" w:rsidRDefault="003646A0" w:rsidP="00DE16D0">
      <w:pPr>
        <w:widowControl w:val="0"/>
        <w:rPr>
          <w:color w:val="000000"/>
          <w:sz w:val="22"/>
          <w:szCs w:val="22"/>
        </w:rPr>
      </w:pPr>
    </w:p>
    <w:p w14:paraId="09EBD382" w14:textId="77777777" w:rsidR="003646A0" w:rsidRPr="00F93FFA" w:rsidRDefault="003646A0" w:rsidP="00DE16D0">
      <w:pPr>
        <w:widowControl w:val="0"/>
        <w:rPr>
          <w:color w:val="000000"/>
          <w:sz w:val="22"/>
          <w:szCs w:val="22"/>
        </w:rPr>
      </w:pPr>
      <w:r w:rsidRPr="00F93FFA">
        <w:rPr>
          <w:color w:val="000000"/>
          <w:sz w:val="22"/>
          <w:szCs w:val="22"/>
        </w:rPr>
        <w:t xml:space="preserve">Tyrimai </w:t>
      </w:r>
      <w:r w:rsidRPr="00F93FFA">
        <w:rPr>
          <w:i/>
          <w:color w:val="000000"/>
          <w:sz w:val="22"/>
          <w:szCs w:val="22"/>
        </w:rPr>
        <w:t>in vitro</w:t>
      </w:r>
      <w:r w:rsidRPr="00F93FFA">
        <w:rPr>
          <w:color w:val="000000"/>
          <w:sz w:val="22"/>
          <w:szCs w:val="22"/>
        </w:rPr>
        <w:t xml:space="preserve"> parodė, kad CYP3A4 yra pagrindinis žmogaus P450 fermentas, katalizuojantis imatinibo biotransformaciją. Iš daugelio kartu vartotų </w:t>
      </w:r>
      <w:r w:rsidR="00A70D12" w:rsidRPr="00F93FFA">
        <w:rPr>
          <w:color w:val="000000"/>
          <w:sz w:val="22"/>
          <w:szCs w:val="22"/>
        </w:rPr>
        <w:t xml:space="preserve">vaistinių preparatų </w:t>
      </w:r>
      <w:r w:rsidRPr="00F93FFA">
        <w:rPr>
          <w:color w:val="000000"/>
          <w:sz w:val="22"/>
          <w:szCs w:val="22"/>
        </w:rPr>
        <w:t>(acetaminofeno, acikloviro, alopurinolio, amfotericino, citarabino, eritromicino, flukonazolio, hidroksišlapalo, norfloksacino, penicilino V) tik eritromicino (IC</w:t>
      </w:r>
      <w:r w:rsidRPr="00F93FFA">
        <w:rPr>
          <w:color w:val="000000"/>
          <w:sz w:val="22"/>
          <w:szCs w:val="22"/>
          <w:vertAlign w:val="subscript"/>
        </w:rPr>
        <w:t>50</w:t>
      </w:r>
      <w:r w:rsidRPr="00F93FFA">
        <w:rPr>
          <w:color w:val="000000"/>
          <w:sz w:val="22"/>
          <w:szCs w:val="22"/>
        </w:rPr>
        <w:t xml:space="preserve"> 50 µM) ir flukonazolio (IC</w:t>
      </w:r>
      <w:r w:rsidRPr="00F93FFA">
        <w:rPr>
          <w:color w:val="000000"/>
          <w:sz w:val="22"/>
          <w:szCs w:val="22"/>
          <w:vertAlign w:val="subscript"/>
        </w:rPr>
        <w:t>50</w:t>
      </w:r>
      <w:r w:rsidRPr="00F93FFA">
        <w:rPr>
          <w:color w:val="000000"/>
          <w:sz w:val="22"/>
          <w:szCs w:val="22"/>
        </w:rPr>
        <w:t xml:space="preserve"> 118 µM) slopinamas imatinibo metabolizmas gali būti kliniškai reikšmingas.</w:t>
      </w:r>
    </w:p>
    <w:p w14:paraId="371DC60B" w14:textId="77777777" w:rsidR="003646A0" w:rsidRPr="00F93FFA" w:rsidRDefault="003646A0" w:rsidP="00DE16D0">
      <w:pPr>
        <w:widowControl w:val="0"/>
        <w:rPr>
          <w:color w:val="000000"/>
          <w:sz w:val="22"/>
          <w:szCs w:val="22"/>
        </w:rPr>
      </w:pPr>
    </w:p>
    <w:p w14:paraId="0C436718" w14:textId="6CE6776B" w:rsidR="003646A0" w:rsidRPr="00F93FFA" w:rsidRDefault="003646A0" w:rsidP="00DE16D0">
      <w:pPr>
        <w:widowControl w:val="0"/>
        <w:rPr>
          <w:color w:val="000000"/>
          <w:sz w:val="22"/>
          <w:szCs w:val="22"/>
        </w:rPr>
      </w:pPr>
      <w:r w:rsidRPr="00F93FFA">
        <w:rPr>
          <w:i/>
          <w:color w:val="000000"/>
          <w:sz w:val="22"/>
          <w:szCs w:val="22"/>
        </w:rPr>
        <w:t>In vitro</w:t>
      </w:r>
      <w:r w:rsidRPr="00F93FFA">
        <w:rPr>
          <w:color w:val="000000"/>
          <w:sz w:val="22"/>
          <w:szCs w:val="22"/>
        </w:rPr>
        <w:t xml:space="preserve"> nustatyta, kad imatinibas yra konkurencinis CYP2C9, CYP2D6 ir CYP3A4/5 substratų inhibitorius. Žmogaus kepenų mikrosomų K</w:t>
      </w:r>
      <w:r w:rsidRPr="00F93FFA">
        <w:rPr>
          <w:color w:val="000000"/>
          <w:sz w:val="22"/>
          <w:szCs w:val="22"/>
          <w:vertAlign w:val="subscript"/>
        </w:rPr>
        <w:t>i</w:t>
      </w:r>
      <w:r w:rsidRPr="00F93FFA">
        <w:rPr>
          <w:color w:val="000000"/>
          <w:sz w:val="22"/>
          <w:szCs w:val="22"/>
        </w:rPr>
        <w:t xml:space="preserve"> rodmuo buvo atitinkamai 27, 7,5 ir 7,9 </w:t>
      </w:r>
      <w:r w:rsidRPr="00F93FFA">
        <w:rPr>
          <w:color w:val="000000"/>
          <w:sz w:val="22"/>
          <w:szCs w:val="22"/>
        </w:rPr>
        <w:sym w:font="Symbol" w:char="F06D"/>
      </w:r>
      <w:r w:rsidRPr="00F93FFA">
        <w:rPr>
          <w:color w:val="000000"/>
          <w:sz w:val="22"/>
          <w:szCs w:val="22"/>
        </w:rPr>
        <w:t>mol/l. Didžiausia pacientų imatinibo koncentracija plazmoje yra 2–4 </w:t>
      </w:r>
      <w:r w:rsidRPr="00F93FFA">
        <w:rPr>
          <w:color w:val="000000"/>
          <w:sz w:val="22"/>
          <w:szCs w:val="22"/>
        </w:rPr>
        <w:sym w:font="Symbol" w:char="F06D"/>
      </w:r>
      <w:r w:rsidRPr="00F93FFA">
        <w:rPr>
          <w:color w:val="000000"/>
          <w:sz w:val="22"/>
          <w:szCs w:val="22"/>
        </w:rPr>
        <w:t xml:space="preserve">mol/l, taigi galimas CYP2D6 ir (ar) CYP3A4/5 medijuojamo kartu vartojamų </w:t>
      </w:r>
      <w:r w:rsidR="00A70D12" w:rsidRPr="00F93FFA">
        <w:rPr>
          <w:color w:val="000000"/>
          <w:sz w:val="22"/>
          <w:szCs w:val="22"/>
        </w:rPr>
        <w:t xml:space="preserve">vaistinių preparatų </w:t>
      </w:r>
      <w:r w:rsidRPr="00F93FFA">
        <w:rPr>
          <w:color w:val="000000"/>
          <w:sz w:val="22"/>
          <w:szCs w:val="22"/>
        </w:rPr>
        <w:t>metabolizmo slopinimas. Imatinibas neturi įtakos 5</w:t>
      </w:r>
      <w:r w:rsidRPr="00F93FFA">
        <w:rPr>
          <w:color w:val="000000"/>
          <w:sz w:val="22"/>
          <w:szCs w:val="22"/>
        </w:rPr>
        <w:noBreakHyphen/>
        <w:t>fluoruracilio biotransformacijai, tačiau slopina paklitakselio metabolizmą dėl konkurencinio CYP2C8 slopinimo (K</w:t>
      </w:r>
      <w:r w:rsidRPr="00F93FFA">
        <w:rPr>
          <w:color w:val="000000"/>
          <w:sz w:val="22"/>
          <w:szCs w:val="22"/>
          <w:vertAlign w:val="subscript"/>
        </w:rPr>
        <w:t>i</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34,7 </w:t>
      </w:r>
      <w:r w:rsidRPr="00F93FFA">
        <w:rPr>
          <w:color w:val="000000"/>
          <w:sz w:val="22"/>
          <w:szCs w:val="22"/>
        </w:rPr>
        <w:sym w:font="Symbol" w:char="F06D"/>
      </w:r>
      <w:r w:rsidRPr="00F93FFA">
        <w:rPr>
          <w:color w:val="000000"/>
          <w:sz w:val="22"/>
          <w:szCs w:val="22"/>
        </w:rPr>
        <w:t>M). Šis K</w:t>
      </w:r>
      <w:r w:rsidRPr="00F93FFA">
        <w:rPr>
          <w:color w:val="000000"/>
          <w:sz w:val="22"/>
          <w:szCs w:val="22"/>
          <w:vertAlign w:val="subscript"/>
        </w:rPr>
        <w:t>i</w:t>
      </w:r>
      <w:r w:rsidRPr="00F93FFA">
        <w:rPr>
          <w:color w:val="000000"/>
          <w:sz w:val="22"/>
          <w:szCs w:val="22"/>
        </w:rPr>
        <w:t xml:space="preserve"> rodmuo yra daug didesnis negu tikėtina imatinibo koncentracija pacientų plazmoje, todėl, imatinibą vartojant kartu su 5</w:t>
      </w:r>
      <w:r w:rsidRPr="00F93FFA">
        <w:rPr>
          <w:color w:val="000000"/>
          <w:sz w:val="22"/>
          <w:szCs w:val="22"/>
        </w:rPr>
        <w:noBreakHyphen/>
        <w:t>fluoruraciliu ar paklitakseliu, sąveikos neturėtų būti.</w:t>
      </w:r>
    </w:p>
    <w:p w14:paraId="10D6C80E" w14:textId="77777777" w:rsidR="003646A0" w:rsidRPr="00F93FFA" w:rsidRDefault="003646A0" w:rsidP="00DE16D0">
      <w:pPr>
        <w:widowControl w:val="0"/>
        <w:rPr>
          <w:color w:val="000000"/>
          <w:sz w:val="22"/>
          <w:szCs w:val="22"/>
        </w:rPr>
      </w:pPr>
    </w:p>
    <w:p w14:paraId="1AC58DBD"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Eliminacija</w:t>
      </w:r>
    </w:p>
    <w:p w14:paraId="27DB5E88" w14:textId="77777777" w:rsidR="003646A0" w:rsidRPr="00F93FFA" w:rsidRDefault="003646A0" w:rsidP="00DE16D0">
      <w:pPr>
        <w:widowControl w:val="0"/>
        <w:rPr>
          <w:color w:val="000000"/>
          <w:sz w:val="22"/>
          <w:szCs w:val="22"/>
        </w:rPr>
      </w:pPr>
      <w:r w:rsidRPr="00F93FFA">
        <w:rPr>
          <w:color w:val="000000"/>
          <w:sz w:val="22"/>
          <w:szCs w:val="22"/>
        </w:rPr>
        <w:t xml:space="preserve">Pagal junginio išsiskyrimą po išgertos </w:t>
      </w:r>
      <w:r w:rsidRPr="00F93FFA">
        <w:rPr>
          <w:color w:val="000000"/>
          <w:sz w:val="22"/>
          <w:szCs w:val="22"/>
          <w:vertAlign w:val="superscript"/>
        </w:rPr>
        <w:t>14</w:t>
      </w:r>
      <w:r w:rsidRPr="00F93FFA">
        <w:rPr>
          <w:color w:val="000000"/>
          <w:sz w:val="22"/>
          <w:szCs w:val="22"/>
        </w:rPr>
        <w:t>C-žymėtojo imatinibo dozės, maždaug 81 % dozės per 7 dienas išsiskiria su išmatomis (68 % dozės) ir šlapimu (13 % dozės). Nepakitęs imatinibas sudaro 25 % dozės (5 % šlapime, 20 % išmatose), kita dalis yra metabolitų pavidalu.</w:t>
      </w:r>
    </w:p>
    <w:p w14:paraId="25C65D33" w14:textId="77777777" w:rsidR="003646A0" w:rsidRPr="00F93FFA" w:rsidRDefault="003646A0" w:rsidP="00DE16D0">
      <w:pPr>
        <w:widowControl w:val="0"/>
        <w:rPr>
          <w:color w:val="000000"/>
          <w:sz w:val="22"/>
          <w:szCs w:val="22"/>
        </w:rPr>
      </w:pPr>
    </w:p>
    <w:p w14:paraId="45F2468B"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Plazmos farmakokinetika</w:t>
      </w:r>
    </w:p>
    <w:p w14:paraId="7A89143D" w14:textId="77777777" w:rsidR="003646A0" w:rsidRPr="00F93FFA" w:rsidRDefault="003646A0" w:rsidP="00DE16D0">
      <w:pPr>
        <w:widowControl w:val="0"/>
        <w:rPr>
          <w:color w:val="000000"/>
          <w:sz w:val="22"/>
          <w:szCs w:val="22"/>
        </w:rPr>
      </w:pPr>
      <w:r w:rsidRPr="00F93FFA">
        <w:rPr>
          <w:color w:val="000000"/>
          <w:sz w:val="22"/>
          <w:szCs w:val="22"/>
        </w:rPr>
        <w:t xml:space="preserve">Sveikų savanorių išgerto </w:t>
      </w:r>
      <w:r w:rsidR="00A70D12" w:rsidRPr="00F93FFA">
        <w:rPr>
          <w:color w:val="000000"/>
          <w:sz w:val="22"/>
          <w:szCs w:val="22"/>
        </w:rPr>
        <w:t xml:space="preserve">vaistinio preparato </w:t>
      </w:r>
      <w:r w:rsidRPr="00F93FFA">
        <w:rPr>
          <w:color w:val="000000"/>
          <w:sz w:val="22"/>
          <w:szCs w:val="22"/>
        </w:rPr>
        <w:t>t</w:t>
      </w:r>
      <w:r w:rsidRPr="00F93FFA">
        <w:rPr>
          <w:color w:val="000000"/>
          <w:sz w:val="22"/>
          <w:szCs w:val="22"/>
          <w:vertAlign w:val="subscript"/>
        </w:rPr>
        <w:t>½</w:t>
      </w:r>
      <w:r w:rsidRPr="00F93FFA">
        <w:rPr>
          <w:color w:val="000000"/>
          <w:sz w:val="22"/>
          <w:szCs w:val="22"/>
        </w:rPr>
        <w:t xml:space="preserve"> buvo maždaug 18 val., tai rodo, kad </w:t>
      </w:r>
      <w:r w:rsidR="00A70D12" w:rsidRPr="00F93FFA">
        <w:rPr>
          <w:color w:val="000000"/>
          <w:sz w:val="22"/>
          <w:szCs w:val="22"/>
        </w:rPr>
        <w:t xml:space="preserve">vaistinį preparatą </w:t>
      </w:r>
      <w:r w:rsidRPr="00F93FFA">
        <w:rPr>
          <w:color w:val="000000"/>
          <w:sz w:val="22"/>
          <w:szCs w:val="22"/>
        </w:rPr>
        <w:t xml:space="preserve">galima vartoti vieną kartą per parą. Geriant 25–1 000 mg imatinibo, vidutinio AUC didėjimas, didėjant dozei, buvo linijinis ir proporcingas dozei. Kartotinai vartojamo imatinibo kinetika nepakito, o akumuliacija buvo 1,5–2,5 karto didesnė, kai, </w:t>
      </w:r>
      <w:r w:rsidR="00A70D12" w:rsidRPr="00F93FFA">
        <w:rPr>
          <w:color w:val="000000"/>
          <w:sz w:val="22"/>
          <w:szCs w:val="22"/>
        </w:rPr>
        <w:t xml:space="preserve">vaistinį preparatą </w:t>
      </w:r>
      <w:r w:rsidRPr="00F93FFA">
        <w:rPr>
          <w:color w:val="000000"/>
          <w:sz w:val="22"/>
          <w:szCs w:val="22"/>
        </w:rPr>
        <w:t>vartojant vieną kartą per parą, buvo pasiekta pastovi koncentracija.</w:t>
      </w:r>
    </w:p>
    <w:p w14:paraId="77DA6EE1" w14:textId="77777777" w:rsidR="003646A0" w:rsidRPr="00F93FFA" w:rsidRDefault="003646A0" w:rsidP="00DE16D0">
      <w:pPr>
        <w:widowControl w:val="0"/>
        <w:rPr>
          <w:color w:val="000000"/>
          <w:sz w:val="22"/>
          <w:szCs w:val="22"/>
        </w:rPr>
      </w:pPr>
    </w:p>
    <w:p w14:paraId="11DC9E5C"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VTSN pacientų farmakokinetika</w:t>
      </w:r>
    </w:p>
    <w:p w14:paraId="57B3E332"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VTSN sergančių pacientų ekspozicija, kai koncentracija pastovi, buvo 1,5 karto didesnė negu LML sergančių pacientų, vartojančių tą pačią dozę (400 mg per parą). Preliminari VTSN sergančių pacientų populiacijos farmakokinetikos analizė parodė, kad trys kintamieji (albuminas, BKK ir bilirubinas) turi statistiškai patikimą ryšį su imatinibo farmakokinetika. Sumažėjęs albumino kiekis sąlygoja mažesnį klirensą (Cl/f); didesnis BKK skaičius mažina CL/f. Tačiau šie ryšiai nėra pakankamai ryškūs, kad </w:t>
      </w:r>
      <w:r w:rsidRPr="00F93FFA">
        <w:rPr>
          <w:color w:val="000000"/>
          <w:szCs w:val="22"/>
          <w:lang w:val="lt-LT"/>
        </w:rPr>
        <w:lastRenderedPageBreak/>
        <w:t>tektų koreguoti dozę. Šiems pacientams kepenų metastazės gali sąlygoti kepenų nepakankamumą ir susilpnėjusį metabolizmą.</w:t>
      </w:r>
    </w:p>
    <w:p w14:paraId="2B1FE2B6" w14:textId="77777777" w:rsidR="003646A0" w:rsidRPr="00F93FFA" w:rsidRDefault="003646A0" w:rsidP="00DE16D0">
      <w:pPr>
        <w:widowControl w:val="0"/>
        <w:rPr>
          <w:color w:val="000000"/>
          <w:sz w:val="22"/>
          <w:szCs w:val="22"/>
        </w:rPr>
      </w:pPr>
    </w:p>
    <w:p w14:paraId="01492907"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Populiacijos farmakokinetika</w:t>
      </w:r>
    </w:p>
    <w:p w14:paraId="6EB79AE7" w14:textId="77777777" w:rsidR="003646A0" w:rsidRPr="00F93FFA" w:rsidRDefault="003646A0" w:rsidP="00DE16D0">
      <w:pPr>
        <w:widowControl w:val="0"/>
        <w:rPr>
          <w:color w:val="000000"/>
          <w:sz w:val="22"/>
          <w:szCs w:val="22"/>
        </w:rPr>
      </w:pPr>
      <w:r w:rsidRPr="00F93FFA">
        <w:rPr>
          <w:color w:val="000000"/>
          <w:sz w:val="22"/>
          <w:szCs w:val="22"/>
        </w:rPr>
        <w:t>LML pacientų populiacijos farmakokinetikos analizė rodo, kad amžius turi mažą įtaką pasiskirstymo tūriui (12 % padidėja vyresniems kaip 65 metų asmenims). Manoma, kad šis pokytis yra kliniškai nereikšmingas. Nustatyta kūno svorio įtaka imatinibo klirensui: pacientų, sveriančių 50 kg, vidutinis klirensas gali būti 8,5 l/h, o, sveriančių 100 kg – padidėja iki 11,8 l/h. Tačiau dėl šių pokyčių dozės pagal kūno svorį koreguoti nereikia. Imatinibo kinetikai lytis reikšmės neturi.</w:t>
      </w:r>
    </w:p>
    <w:p w14:paraId="14BE73F4" w14:textId="77777777" w:rsidR="003646A0" w:rsidRPr="00F93FFA" w:rsidRDefault="003646A0" w:rsidP="00DE16D0">
      <w:pPr>
        <w:widowControl w:val="0"/>
        <w:rPr>
          <w:color w:val="000000"/>
          <w:sz w:val="22"/>
          <w:szCs w:val="22"/>
        </w:rPr>
      </w:pPr>
    </w:p>
    <w:p w14:paraId="6973032C"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Vaikų farmakokinetika</w:t>
      </w:r>
    </w:p>
    <w:p w14:paraId="7C4D9D47" w14:textId="77777777" w:rsidR="003646A0" w:rsidRPr="00F93FFA" w:rsidRDefault="003646A0" w:rsidP="00DE16D0">
      <w:pPr>
        <w:widowControl w:val="0"/>
        <w:rPr>
          <w:color w:val="000000"/>
          <w:sz w:val="22"/>
          <w:szCs w:val="22"/>
        </w:rPr>
      </w:pPr>
      <w:r w:rsidRPr="00F93FFA">
        <w:rPr>
          <w:color w:val="000000"/>
          <w:sz w:val="22"/>
          <w:szCs w:val="22"/>
        </w:rPr>
        <w:t>Abiejų I ir II fazės tyrimų metu nustatyta, kad vaikų, kaip ir suaugusiųjų, organizme išgertas imatinibas greitai absorbuojamas. Skiriant vaikams po 260 mg/m</w:t>
      </w:r>
      <w:r w:rsidRPr="00F93FFA">
        <w:rPr>
          <w:color w:val="000000"/>
          <w:sz w:val="22"/>
          <w:szCs w:val="22"/>
          <w:vertAlign w:val="superscript"/>
        </w:rPr>
        <w:t>2</w:t>
      </w:r>
      <w:r w:rsidRPr="00F93FFA">
        <w:rPr>
          <w:color w:val="000000"/>
          <w:sz w:val="22"/>
          <w:szCs w:val="22"/>
        </w:rPr>
        <w:t xml:space="preserve"> ir po 340 mg/m</w:t>
      </w:r>
      <w:r w:rsidRPr="00F93FFA">
        <w:rPr>
          <w:color w:val="000000"/>
          <w:sz w:val="22"/>
          <w:szCs w:val="22"/>
          <w:vertAlign w:val="superscript"/>
        </w:rPr>
        <w:t>2</w:t>
      </w:r>
      <w:r w:rsidRPr="00F93FFA">
        <w:rPr>
          <w:color w:val="000000"/>
          <w:sz w:val="22"/>
          <w:szCs w:val="22"/>
        </w:rPr>
        <w:t xml:space="preserve"> per parą, gauta tokia pat ekspozicija kaip ir suaugusiesiems skiriant atitinkamai po 400 mg ir 600 mg per parą. Lyginant AUC</w:t>
      </w:r>
      <w:r w:rsidRPr="00F93FFA">
        <w:rPr>
          <w:color w:val="000000"/>
          <w:sz w:val="22"/>
          <w:szCs w:val="22"/>
          <w:vertAlign w:val="subscript"/>
        </w:rPr>
        <w:t>(0-24)</w:t>
      </w:r>
      <w:r w:rsidRPr="00F93FFA">
        <w:rPr>
          <w:color w:val="000000"/>
          <w:sz w:val="22"/>
          <w:szCs w:val="22"/>
        </w:rPr>
        <w:t xml:space="preserve"> 8</w:t>
      </w:r>
      <w:r w:rsidRPr="00F93FFA">
        <w:rPr>
          <w:color w:val="000000"/>
          <w:sz w:val="22"/>
          <w:szCs w:val="22"/>
        </w:rPr>
        <w:noBreakHyphen/>
        <w:t>ąją ir 1</w:t>
      </w:r>
      <w:r w:rsidRPr="00F93FFA">
        <w:rPr>
          <w:color w:val="000000"/>
          <w:sz w:val="22"/>
          <w:szCs w:val="22"/>
        </w:rPr>
        <w:noBreakHyphen/>
        <w:t>ąją dienomis, nustatyta, kad vartojant 340 mg/m</w:t>
      </w:r>
      <w:r w:rsidRPr="00F93FFA">
        <w:rPr>
          <w:color w:val="000000"/>
          <w:sz w:val="22"/>
          <w:szCs w:val="22"/>
          <w:vertAlign w:val="superscript"/>
        </w:rPr>
        <w:t>2</w:t>
      </w:r>
      <w:r w:rsidRPr="00F93FFA">
        <w:rPr>
          <w:color w:val="000000"/>
          <w:sz w:val="22"/>
          <w:szCs w:val="22"/>
        </w:rPr>
        <w:t xml:space="preserve"> per parą dozę būna 1,7 karto didesnė </w:t>
      </w:r>
      <w:r w:rsidR="00A70D12" w:rsidRPr="00F93FFA">
        <w:rPr>
          <w:color w:val="000000"/>
          <w:sz w:val="22"/>
          <w:szCs w:val="22"/>
        </w:rPr>
        <w:t xml:space="preserve">vaistinio preparato </w:t>
      </w:r>
      <w:r w:rsidRPr="00F93FFA">
        <w:rPr>
          <w:color w:val="000000"/>
          <w:sz w:val="22"/>
          <w:szCs w:val="22"/>
        </w:rPr>
        <w:t>akumuliacija po kartotinio vieną kartą per parą dozavimo.</w:t>
      </w:r>
    </w:p>
    <w:p w14:paraId="48979505" w14:textId="77777777" w:rsidR="003646A0" w:rsidRPr="00F93FFA" w:rsidRDefault="003646A0" w:rsidP="00DE16D0">
      <w:pPr>
        <w:pStyle w:val="EndnoteText"/>
        <w:widowControl w:val="0"/>
        <w:rPr>
          <w:color w:val="000000"/>
          <w:szCs w:val="22"/>
          <w:lang w:val="lt-LT"/>
        </w:rPr>
      </w:pPr>
    </w:p>
    <w:p w14:paraId="7A3CADC4" w14:textId="77777777" w:rsidR="003646A0" w:rsidRPr="00F93FFA" w:rsidRDefault="003646A0" w:rsidP="00DE16D0">
      <w:pPr>
        <w:pStyle w:val="EndnoteText"/>
        <w:widowControl w:val="0"/>
        <w:rPr>
          <w:color w:val="000000"/>
          <w:szCs w:val="22"/>
          <w:lang w:val="lt-LT"/>
        </w:rPr>
      </w:pPr>
      <w:r w:rsidRPr="00F93FFA">
        <w:rPr>
          <w:color w:val="000000"/>
          <w:szCs w:val="22"/>
          <w:lang w:val="lt-LT"/>
        </w:rPr>
        <w:t>Remiantis apibendrinta hematologinėmis ligomis (LML, Ph+ŪLL ar kitomis imatinibu gydomomis hematologinėmis ligomis) sergančių vaikų populiacijos farmakokinetikos duomenų analize, imatinibo klirensas didėja priklausomai nuo didėjančio kūno paviršiaus ploto (KPP). Atsižvelgus į KPP poveikį, kiti demografiniai rodikliai (pvz., amžius, kūno svoris ir kūno masės indeksas) neturi kliniškai reikšmingos įtakos imatinibo ekspozicijai. Duomenų analizė patvirtino, kad imatinibo ekspozicija vaikų populiacijos pacientams, kurie vartojo po 260 mg/m</w:t>
      </w:r>
      <w:r w:rsidRPr="00F93FFA">
        <w:rPr>
          <w:color w:val="000000"/>
          <w:szCs w:val="22"/>
          <w:vertAlign w:val="superscript"/>
          <w:lang w:val="lt-LT"/>
        </w:rPr>
        <w:t>2</w:t>
      </w:r>
      <w:r w:rsidRPr="00F93FFA">
        <w:rPr>
          <w:color w:val="000000"/>
          <w:szCs w:val="22"/>
          <w:lang w:val="lt-LT"/>
        </w:rPr>
        <w:t xml:space="preserve"> dozę kartą per parą (neviršijant 400 mg kartą per parą) arba po 340 mg/m</w:t>
      </w:r>
      <w:r w:rsidRPr="00F93FFA">
        <w:rPr>
          <w:color w:val="000000"/>
          <w:szCs w:val="22"/>
          <w:vertAlign w:val="superscript"/>
          <w:lang w:val="lt-LT"/>
        </w:rPr>
        <w:t>2</w:t>
      </w:r>
      <w:r w:rsidRPr="00F93FFA">
        <w:rPr>
          <w:color w:val="000000"/>
          <w:szCs w:val="22"/>
          <w:lang w:val="lt-LT"/>
        </w:rPr>
        <w:t xml:space="preserve"> dozę kartą per parą (neviršijant 600 mg kartą per parą), buvo panaši kaip ekspozicija suaugusiųjų organizmuose, kai suaugusiesiems buvo skiriama po 400 mg arba 600 mg imatinibo dozę kartą per parą.</w:t>
      </w:r>
    </w:p>
    <w:p w14:paraId="04E326F3" w14:textId="77777777" w:rsidR="003646A0" w:rsidRPr="00F93FFA" w:rsidRDefault="003646A0" w:rsidP="00DE16D0">
      <w:pPr>
        <w:widowControl w:val="0"/>
        <w:rPr>
          <w:color w:val="000000"/>
          <w:sz w:val="22"/>
          <w:szCs w:val="22"/>
        </w:rPr>
      </w:pPr>
    </w:p>
    <w:p w14:paraId="1959FDBD" w14:textId="77777777" w:rsidR="003646A0" w:rsidRPr="00F93FFA" w:rsidRDefault="003646A0" w:rsidP="00C94C5B">
      <w:pPr>
        <w:keepNext/>
        <w:widowControl w:val="0"/>
        <w:rPr>
          <w:color w:val="000000"/>
          <w:sz w:val="22"/>
          <w:szCs w:val="22"/>
          <w:u w:val="single"/>
        </w:rPr>
      </w:pPr>
      <w:r w:rsidRPr="00F93FFA">
        <w:rPr>
          <w:color w:val="000000"/>
          <w:sz w:val="22"/>
          <w:szCs w:val="22"/>
          <w:u w:val="single"/>
        </w:rPr>
        <w:t>Organų funkcijos nepakankamumas</w:t>
      </w:r>
    </w:p>
    <w:p w14:paraId="2C67FDC0" w14:textId="6080244D"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Pro inkstus išsiskiria nedaug imatinibo ir jo metabolitų. Atrodo, kad pacientams, kuriems yra lengvas ir vidutinio sunkumo inkstų funkcijos sutrikimas, būdinga apytikriai 1,5</w:t>
      </w:r>
      <w:r w:rsidRPr="00F93FFA">
        <w:rPr>
          <w:color w:val="000000"/>
          <w:szCs w:val="22"/>
          <w:lang w:val="lt-LT"/>
        </w:rPr>
        <w:noBreakHyphen/>
        <w:t xml:space="preserve">2 kartus didesnė ekspozicija plazmoje nei pacientams, kurių inkstų funkcija normali. Toks padidėjimas gretintinas su 1,5 karto didesniu stipriai imatinibą surišančio AGP kiekiu plazmoje. Tikriausiai laisvo imatinibo klirensas yra panašus ir </w:t>
      </w:r>
      <w:r w:rsidR="00A70D12" w:rsidRPr="00F93FFA">
        <w:rPr>
          <w:color w:val="000000"/>
          <w:szCs w:val="22"/>
          <w:lang w:val="lt-LT"/>
        </w:rPr>
        <w:t xml:space="preserve">vaistinį preparatą </w:t>
      </w:r>
      <w:r w:rsidRPr="00F93FFA">
        <w:rPr>
          <w:color w:val="000000"/>
          <w:szCs w:val="22"/>
          <w:lang w:val="lt-LT"/>
        </w:rPr>
        <w:t>vartojant pacientams, kurių inkstų funkcija susilpnėjusi, ir tiems, kurių inkstų funkcija normali, nes pro inkstus išsiskiria tik nedidelė imatinibo dalis (žr. 4.2 ir 4.4</w:t>
      </w:r>
      <w:r w:rsidR="00BF7B5C" w:rsidRPr="00F93FFA">
        <w:rPr>
          <w:color w:val="000000"/>
          <w:szCs w:val="22"/>
          <w:lang w:val="lt-LT"/>
        </w:rPr>
        <w:t> </w:t>
      </w:r>
      <w:r w:rsidRPr="00F93FFA">
        <w:rPr>
          <w:color w:val="000000"/>
          <w:szCs w:val="22"/>
          <w:lang w:val="lt-LT"/>
        </w:rPr>
        <w:t>skyrius).</w:t>
      </w:r>
    </w:p>
    <w:p w14:paraId="2C7E6A2B" w14:textId="77777777" w:rsidR="003646A0" w:rsidRPr="00F93FFA" w:rsidRDefault="003646A0" w:rsidP="00DE16D0">
      <w:pPr>
        <w:pStyle w:val="EndnoteText"/>
        <w:widowControl w:val="0"/>
        <w:tabs>
          <w:tab w:val="clear" w:pos="567"/>
        </w:tabs>
        <w:rPr>
          <w:color w:val="000000"/>
          <w:szCs w:val="22"/>
          <w:lang w:val="lt-LT"/>
        </w:rPr>
      </w:pPr>
    </w:p>
    <w:p w14:paraId="08BBCF0A" w14:textId="2EFD957C"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Nors farmakokinetinės analizės duomenys parodė, kad galimi ryškūs svyravimai tarp asmenų, imatinibo ekspozicija nedidėja pacientams, kuriems yra įvairaus laipsnio kepenų nepakankamumas, lyginant su pacientais, kurių kepenų funkcija normali (žr. 4.2, 4.4 ir 4.8</w:t>
      </w:r>
      <w:r w:rsidR="00BF7B5C" w:rsidRPr="00F93FFA">
        <w:rPr>
          <w:color w:val="000000"/>
          <w:szCs w:val="22"/>
          <w:lang w:val="lt-LT"/>
        </w:rPr>
        <w:t> </w:t>
      </w:r>
      <w:r w:rsidRPr="00F93FFA">
        <w:rPr>
          <w:color w:val="000000"/>
          <w:szCs w:val="22"/>
          <w:lang w:val="lt-LT"/>
        </w:rPr>
        <w:t>skyrius).</w:t>
      </w:r>
    </w:p>
    <w:p w14:paraId="280256D3" w14:textId="77777777" w:rsidR="003646A0" w:rsidRPr="00F93FFA" w:rsidRDefault="003646A0" w:rsidP="00DE16D0">
      <w:pPr>
        <w:widowControl w:val="0"/>
        <w:rPr>
          <w:color w:val="000000"/>
          <w:sz w:val="22"/>
          <w:szCs w:val="22"/>
        </w:rPr>
      </w:pPr>
    </w:p>
    <w:p w14:paraId="7CC9AC39"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5.3</w:t>
      </w:r>
      <w:r w:rsidRPr="00F93FFA">
        <w:rPr>
          <w:b/>
          <w:color w:val="000000"/>
          <w:sz w:val="22"/>
          <w:szCs w:val="22"/>
        </w:rPr>
        <w:tab/>
        <w:t>Ikiklinikinių saugumo tyrimų duomenys</w:t>
      </w:r>
    </w:p>
    <w:p w14:paraId="5FE10329" w14:textId="77777777" w:rsidR="003646A0" w:rsidRPr="00F93FFA" w:rsidRDefault="003646A0" w:rsidP="00C94C5B">
      <w:pPr>
        <w:keepNext/>
        <w:widowControl w:val="0"/>
        <w:ind w:left="567" w:hanging="567"/>
        <w:rPr>
          <w:color w:val="000000"/>
          <w:sz w:val="22"/>
          <w:szCs w:val="22"/>
        </w:rPr>
      </w:pPr>
    </w:p>
    <w:p w14:paraId="564330DB" w14:textId="77777777" w:rsidR="003646A0" w:rsidRPr="00F93FFA" w:rsidRDefault="003646A0" w:rsidP="00DE16D0">
      <w:pPr>
        <w:widowControl w:val="0"/>
        <w:rPr>
          <w:color w:val="000000"/>
          <w:sz w:val="22"/>
          <w:szCs w:val="22"/>
        </w:rPr>
      </w:pPr>
      <w:r w:rsidRPr="00F93FFA">
        <w:rPr>
          <w:color w:val="000000"/>
          <w:sz w:val="22"/>
          <w:szCs w:val="22"/>
        </w:rPr>
        <w:t>Ikiklinikinis imatinibo saugumo pobūdis įvertintas žiurkėms, šunims, beždžionėms ir triušiams.</w:t>
      </w:r>
    </w:p>
    <w:p w14:paraId="6AB63027" w14:textId="77777777" w:rsidR="003646A0" w:rsidRPr="00F93FFA" w:rsidRDefault="003646A0" w:rsidP="00DE16D0">
      <w:pPr>
        <w:widowControl w:val="0"/>
        <w:rPr>
          <w:color w:val="000000"/>
          <w:sz w:val="22"/>
          <w:szCs w:val="22"/>
        </w:rPr>
      </w:pPr>
    </w:p>
    <w:p w14:paraId="6A6225E7" w14:textId="77777777" w:rsidR="003646A0" w:rsidRPr="00F93FFA" w:rsidRDefault="003646A0" w:rsidP="00DE16D0">
      <w:pPr>
        <w:widowControl w:val="0"/>
        <w:rPr>
          <w:color w:val="000000"/>
          <w:sz w:val="22"/>
          <w:szCs w:val="22"/>
        </w:rPr>
      </w:pPr>
      <w:r w:rsidRPr="00F93FFA">
        <w:rPr>
          <w:color w:val="000000"/>
          <w:sz w:val="22"/>
          <w:szCs w:val="22"/>
        </w:rPr>
        <w:t>Kartotinių dozių toksiškumo tyrimai atskleidė nesunkių ar vidutinio sunkumo hematologinių pokyčių žiurkėms, šunims ir beždžionėms bei kaulų čiulpų pokyčių žiurkėms ir šunims.</w:t>
      </w:r>
    </w:p>
    <w:p w14:paraId="5254F1AC" w14:textId="77777777" w:rsidR="003646A0" w:rsidRPr="00F93FFA" w:rsidRDefault="003646A0" w:rsidP="00DE16D0">
      <w:pPr>
        <w:widowControl w:val="0"/>
        <w:rPr>
          <w:color w:val="000000"/>
          <w:sz w:val="22"/>
          <w:szCs w:val="22"/>
        </w:rPr>
      </w:pPr>
    </w:p>
    <w:p w14:paraId="1FC83CC3" w14:textId="77777777" w:rsidR="003646A0" w:rsidRPr="00F93FFA" w:rsidRDefault="003646A0" w:rsidP="00DE16D0">
      <w:pPr>
        <w:widowControl w:val="0"/>
        <w:rPr>
          <w:color w:val="000000"/>
          <w:sz w:val="22"/>
          <w:szCs w:val="22"/>
        </w:rPr>
      </w:pPr>
      <w:r w:rsidRPr="00F93FFA">
        <w:rPr>
          <w:color w:val="000000"/>
          <w:sz w:val="22"/>
          <w:szCs w:val="22"/>
        </w:rPr>
        <w:t>Kepenys buvo žiurkių ir šunų organas taikinys. Abiejų rūšių gyvūnams stebėta neryškiai ar vidutiniškai padidėjusi transaminazių koncentracija ir šiek tiek sumažėjusi cholesterolio, trigliceridų, bendrojo baltymo ir albumino koncentracija. Jokių histopatologinių žiurkių kepenų pokyčių nenustatyta. Šunims, gydytiems 2 savaites, stebėtas sunkus kepenų toksiškumas, pasireiškęs padidėjusia kepenų fermentų koncentracija, kepenų ląstelių ir tulžies latakų nekroze bei tulžies latakų hiperplazija.</w:t>
      </w:r>
    </w:p>
    <w:p w14:paraId="5FCFC02E" w14:textId="77777777" w:rsidR="003646A0" w:rsidRPr="00F93FFA" w:rsidRDefault="003646A0" w:rsidP="00DE16D0">
      <w:pPr>
        <w:widowControl w:val="0"/>
        <w:rPr>
          <w:color w:val="000000"/>
          <w:sz w:val="22"/>
          <w:szCs w:val="22"/>
        </w:rPr>
      </w:pPr>
    </w:p>
    <w:p w14:paraId="400C9F85" w14:textId="77777777" w:rsidR="003646A0" w:rsidRPr="00F93FFA" w:rsidRDefault="003646A0" w:rsidP="00DE16D0">
      <w:pPr>
        <w:widowControl w:val="0"/>
        <w:rPr>
          <w:color w:val="000000"/>
          <w:sz w:val="22"/>
          <w:szCs w:val="22"/>
        </w:rPr>
      </w:pPr>
      <w:r w:rsidRPr="00F93FFA">
        <w:rPr>
          <w:color w:val="000000"/>
          <w:sz w:val="22"/>
          <w:szCs w:val="22"/>
        </w:rPr>
        <w:t xml:space="preserve">Beždžionėms, gydytoms 2 savaites, stebėtas inkstų toksiškumas su židinine mineralizacija ir inkstų kanalėlių dilatacija bei tubuline nefroze. Kelioms beždžionėms nustatyta padidėjusi šlapalo azoto ir kreatinino koncentracija kraujyje. 13 savaičių tyrimų metu, žiurkėms, gavusioms </w:t>
      </w:r>
      <w:r w:rsidRPr="00F93FFA">
        <w:rPr>
          <w:color w:val="000000"/>
          <w:sz w:val="22"/>
          <w:szCs w:val="22"/>
        </w:rPr>
        <w:sym w:font="Symbol" w:char="F0B3"/>
      </w:r>
      <w:r w:rsidRPr="00F93FFA">
        <w:rPr>
          <w:color w:val="000000"/>
          <w:sz w:val="22"/>
          <w:szCs w:val="22"/>
        </w:rPr>
        <w:t xml:space="preserve"> 6 mg/kg dozę, stebėta inkstų spenelių ir šlapimo pūslės pereinamojo epitelio hiperplazija be serumo ar šlapimo </w:t>
      </w:r>
      <w:r w:rsidRPr="00F93FFA">
        <w:rPr>
          <w:color w:val="000000"/>
          <w:sz w:val="22"/>
          <w:szCs w:val="22"/>
        </w:rPr>
        <w:lastRenderedPageBreak/>
        <w:t>rodiklių pokyčių. Ilgai gydomiems imatinibu gyvūnams stebėtas padidėjęs oportunistinių infekcijų dažnis.</w:t>
      </w:r>
    </w:p>
    <w:p w14:paraId="3F507FFE" w14:textId="77777777" w:rsidR="003646A0" w:rsidRPr="00F93FFA" w:rsidRDefault="003646A0" w:rsidP="00DE16D0">
      <w:pPr>
        <w:widowControl w:val="0"/>
        <w:rPr>
          <w:color w:val="000000"/>
          <w:sz w:val="22"/>
          <w:szCs w:val="22"/>
        </w:rPr>
      </w:pPr>
    </w:p>
    <w:p w14:paraId="0E4B027A" w14:textId="77777777" w:rsidR="003646A0" w:rsidRPr="00F93FFA" w:rsidRDefault="003646A0" w:rsidP="00DE16D0">
      <w:pPr>
        <w:widowControl w:val="0"/>
        <w:rPr>
          <w:color w:val="000000"/>
          <w:sz w:val="22"/>
          <w:szCs w:val="22"/>
        </w:rPr>
      </w:pPr>
      <w:r w:rsidRPr="00F93FFA">
        <w:rPr>
          <w:color w:val="000000"/>
          <w:sz w:val="22"/>
          <w:szCs w:val="22"/>
        </w:rPr>
        <w:t>39 savaičių tyrimo metu beždžionėms, gavusioms mažiausią 15 mg/kg dozę, vidutiniškai trečdalį didžiausios 800 mg žmogaus dozės pagal kūno paviršiaus plotą, jokio NNPL (nepastebimo nepageidaujamo poveikio lygmens) nenustatyta. Gydymas pablogino šių gyvūnų normaliai slopinamą maliarijos infekciją.</w:t>
      </w:r>
    </w:p>
    <w:p w14:paraId="6EAAB592" w14:textId="77777777" w:rsidR="003646A0" w:rsidRPr="00F93FFA" w:rsidRDefault="003646A0" w:rsidP="00DE16D0">
      <w:pPr>
        <w:widowControl w:val="0"/>
        <w:rPr>
          <w:color w:val="000000"/>
          <w:sz w:val="22"/>
          <w:szCs w:val="22"/>
        </w:rPr>
      </w:pPr>
    </w:p>
    <w:p w14:paraId="2604852C" w14:textId="77777777" w:rsidR="003646A0" w:rsidRPr="00F93FFA" w:rsidRDefault="003646A0" w:rsidP="00DE16D0">
      <w:pPr>
        <w:widowControl w:val="0"/>
        <w:rPr>
          <w:color w:val="000000"/>
          <w:sz w:val="22"/>
          <w:szCs w:val="22"/>
        </w:rPr>
      </w:pPr>
      <w:r w:rsidRPr="00F93FFA">
        <w:rPr>
          <w:color w:val="000000"/>
          <w:sz w:val="22"/>
          <w:szCs w:val="22"/>
        </w:rPr>
        <w:t xml:space="preserve">Imatinibas nebuvo genotoksiškas </w:t>
      </w:r>
      <w:r w:rsidRPr="00F93FFA">
        <w:rPr>
          <w:i/>
          <w:color w:val="000000"/>
          <w:sz w:val="22"/>
          <w:szCs w:val="22"/>
        </w:rPr>
        <w:t>in vitro</w:t>
      </w:r>
      <w:r w:rsidRPr="00F93FFA">
        <w:rPr>
          <w:color w:val="000000"/>
          <w:sz w:val="22"/>
          <w:szCs w:val="22"/>
        </w:rPr>
        <w:t xml:space="preserve"> atliekant bakterijų ląstelių testus (Ames testus), </w:t>
      </w:r>
      <w:r w:rsidRPr="00F93FFA">
        <w:rPr>
          <w:i/>
          <w:color w:val="000000"/>
          <w:sz w:val="22"/>
          <w:szCs w:val="22"/>
        </w:rPr>
        <w:t>in vitro</w:t>
      </w:r>
      <w:r w:rsidRPr="00F93FFA">
        <w:rPr>
          <w:color w:val="000000"/>
          <w:sz w:val="22"/>
          <w:szCs w:val="22"/>
        </w:rPr>
        <w:t xml:space="preserve"> žinduolių ląstelių tyrimus (pelių limfomos) ir </w:t>
      </w:r>
      <w:r w:rsidRPr="00F93FFA">
        <w:rPr>
          <w:i/>
          <w:color w:val="000000"/>
          <w:sz w:val="22"/>
          <w:szCs w:val="22"/>
        </w:rPr>
        <w:t>in vivo</w:t>
      </w:r>
      <w:r w:rsidRPr="00F93FFA">
        <w:rPr>
          <w:color w:val="000000"/>
          <w:sz w:val="22"/>
          <w:szCs w:val="22"/>
        </w:rPr>
        <w:t xml:space="preserve"> žiurkių mikrobranduolių testus. Teigiamas imatinibo genotoksinis poveikis stebėtas atliekant </w:t>
      </w:r>
      <w:r w:rsidRPr="00F93FFA">
        <w:rPr>
          <w:i/>
          <w:color w:val="000000"/>
          <w:sz w:val="22"/>
          <w:szCs w:val="22"/>
        </w:rPr>
        <w:t>in vitro</w:t>
      </w:r>
      <w:r w:rsidRPr="00F93FFA">
        <w:rPr>
          <w:color w:val="000000"/>
          <w:sz w:val="22"/>
          <w:szCs w:val="22"/>
        </w:rPr>
        <w:t xml:space="preserve"> žinduolių ląstelių (kinietiškųjų žiurkėnų kiaušidžių) tyrimus klastogeniškumui (chromosomų aberacijoms) nustatyti, kai buvo metabolinis aktyvinimas. Du gamybos proceso tarpiniai produktai, kurių yra ir galutiniame produkte, taip pat veikė mutageniškai Ames testų metu. Vienas šių tarpinių produktų buvo teigiamas pelių limfomos tyrimų metu.</w:t>
      </w:r>
    </w:p>
    <w:p w14:paraId="1675A874" w14:textId="77777777" w:rsidR="003646A0" w:rsidRPr="00F93FFA" w:rsidRDefault="003646A0" w:rsidP="00DE16D0">
      <w:pPr>
        <w:widowControl w:val="0"/>
        <w:rPr>
          <w:color w:val="000000"/>
          <w:sz w:val="22"/>
          <w:szCs w:val="22"/>
        </w:rPr>
      </w:pPr>
    </w:p>
    <w:p w14:paraId="3ACC17D9" w14:textId="77777777" w:rsidR="003646A0" w:rsidRPr="00F93FFA" w:rsidRDefault="003646A0" w:rsidP="00DE16D0">
      <w:pPr>
        <w:widowControl w:val="0"/>
        <w:rPr>
          <w:color w:val="000000"/>
          <w:sz w:val="22"/>
          <w:szCs w:val="22"/>
        </w:rPr>
      </w:pPr>
      <w:r w:rsidRPr="00F93FFA">
        <w:rPr>
          <w:color w:val="000000"/>
          <w:sz w:val="22"/>
          <w:szCs w:val="22"/>
        </w:rPr>
        <w:t xml:space="preserve">Tiriant vaisingumą nustatyta, kad žiurkių patinų, prieš poravimąsi 70 dienų gavusių </w:t>
      </w:r>
      <w:r w:rsidR="00A70D12" w:rsidRPr="00F93FFA">
        <w:rPr>
          <w:color w:val="000000"/>
          <w:sz w:val="22"/>
          <w:szCs w:val="22"/>
        </w:rPr>
        <w:t>vaistinio preparato</w:t>
      </w:r>
      <w:r w:rsidRPr="00F93FFA">
        <w:rPr>
          <w:color w:val="000000"/>
          <w:sz w:val="22"/>
          <w:szCs w:val="22"/>
        </w:rPr>
        <w:t xml:space="preserve">, sėklidžių ir sėklidžių prielipo svoris bei judrių spermijų procentas sumažėjo po 60 mg/kg dozės, kuri atitinka didžiausią klinikinę 800 mg per parą dozę, apskaičiuotą pagal kūno paviršiaus plotą. Šito nestebėta vartojant ≤ 20 mg/kg dozę. Neryškiai ir vidutiniškai sumažėjusi spermatogenezė taip pat nustatyta šunims, gavusiems </w:t>
      </w:r>
      <w:r w:rsidRPr="00F93FFA">
        <w:rPr>
          <w:color w:val="000000"/>
          <w:sz w:val="22"/>
          <w:szCs w:val="22"/>
        </w:rPr>
        <w:sym w:font="Symbol" w:char="F0B3"/>
      </w:r>
      <w:r w:rsidRPr="00F93FFA">
        <w:rPr>
          <w:color w:val="000000"/>
          <w:sz w:val="22"/>
          <w:szCs w:val="22"/>
        </w:rPr>
        <w:t> 30 mg/kg geriamąją dozę. 14 dienų prieš poravimąsi ir iki 6</w:t>
      </w:r>
      <w:r w:rsidRPr="00F93FFA">
        <w:rPr>
          <w:color w:val="000000"/>
          <w:sz w:val="22"/>
          <w:szCs w:val="22"/>
        </w:rPr>
        <w:noBreakHyphen/>
        <w:t xml:space="preserve">osios nėštumo dienos žiurkių patelėms duodant </w:t>
      </w:r>
      <w:r w:rsidR="00A70D12" w:rsidRPr="00F93FFA">
        <w:rPr>
          <w:color w:val="000000"/>
          <w:sz w:val="22"/>
          <w:szCs w:val="22"/>
        </w:rPr>
        <w:t>vaistinio preparato</w:t>
      </w:r>
      <w:r w:rsidRPr="00F93FFA">
        <w:rPr>
          <w:color w:val="000000"/>
          <w:sz w:val="22"/>
          <w:szCs w:val="22"/>
        </w:rPr>
        <w:t>, poveikio poravimuisi ir nėščių patelių skaičiui nenustatyta, o duodant 60 mg/kg dozę, ryškiai padaugėjo poimplantacinių vaisių netekimų ir sumažėjo gyvų vaisių skaičius. Šių reiškinių nestebėta skiriant ≤ 20 mg/kg dozę.</w:t>
      </w:r>
    </w:p>
    <w:p w14:paraId="42BBB207" w14:textId="77777777" w:rsidR="003646A0" w:rsidRPr="00F93FFA" w:rsidRDefault="003646A0" w:rsidP="00DE16D0">
      <w:pPr>
        <w:widowControl w:val="0"/>
        <w:rPr>
          <w:color w:val="000000"/>
          <w:sz w:val="22"/>
          <w:szCs w:val="22"/>
        </w:rPr>
      </w:pPr>
    </w:p>
    <w:p w14:paraId="35A99A59" w14:textId="77777777" w:rsidR="003646A0" w:rsidRPr="00F93FFA" w:rsidRDefault="003646A0" w:rsidP="00DE16D0">
      <w:pPr>
        <w:widowControl w:val="0"/>
        <w:rPr>
          <w:color w:val="000000"/>
          <w:sz w:val="22"/>
          <w:szCs w:val="22"/>
        </w:rPr>
      </w:pPr>
      <w:r w:rsidRPr="00F93FFA">
        <w:rPr>
          <w:color w:val="000000"/>
          <w:sz w:val="22"/>
          <w:szCs w:val="22"/>
        </w:rPr>
        <w:t xml:space="preserve">Geriamojo </w:t>
      </w:r>
      <w:r w:rsidR="00A70D12" w:rsidRPr="00F93FFA">
        <w:rPr>
          <w:color w:val="000000"/>
          <w:sz w:val="22"/>
          <w:szCs w:val="22"/>
        </w:rPr>
        <w:t xml:space="preserve">vaistinio preparato </w:t>
      </w:r>
      <w:r w:rsidRPr="00F93FFA">
        <w:rPr>
          <w:color w:val="000000"/>
          <w:sz w:val="22"/>
          <w:szCs w:val="22"/>
        </w:rPr>
        <w:t>prenatalinės ir ponatalinės raidos tyrimų metu žiurkėms, gaunančioms 45 mg/kg per parą, 14</w:t>
      </w:r>
      <w:r w:rsidRPr="00F93FFA">
        <w:rPr>
          <w:color w:val="000000"/>
          <w:sz w:val="22"/>
          <w:szCs w:val="22"/>
        </w:rPr>
        <w:noBreakHyphen/>
        <w:t>ąją ar 15</w:t>
      </w:r>
      <w:r w:rsidRPr="00F93FFA">
        <w:rPr>
          <w:color w:val="000000"/>
          <w:sz w:val="22"/>
          <w:szCs w:val="22"/>
        </w:rPr>
        <w:noBreakHyphen/>
        <w:t>ąją nėštumo dieną stebėta raudonų išskyrų iš makšties. Duodant tą pačią dozę, nustatyta, kad padidėja negyvagimių ir 0–4 dienomis žuvusių palikuonių skaičius. F</w:t>
      </w:r>
      <w:r w:rsidRPr="00F93FFA">
        <w:rPr>
          <w:color w:val="000000"/>
          <w:sz w:val="22"/>
          <w:szCs w:val="22"/>
          <w:vertAlign w:val="subscript"/>
        </w:rPr>
        <w:t>1</w:t>
      </w:r>
      <w:r w:rsidRPr="00F93FFA">
        <w:rPr>
          <w:color w:val="000000"/>
          <w:sz w:val="22"/>
          <w:szCs w:val="22"/>
        </w:rPr>
        <w:t xml:space="preserve"> palikuonims, duodant tą pačią dozę, vidutinis kūno svoris buvo mažesnis nuo gimimo iki galutinio gyvavimo laiko ir šiek tiek mažesnis buvo jauniklių, pasiekusių apyvarpės atsiskyrimo kriterijus, skaičius. Kai buvo duodama 45 mg/kg per parą dozė, F</w:t>
      </w:r>
      <w:r w:rsidRPr="00F93FFA">
        <w:rPr>
          <w:color w:val="000000"/>
          <w:sz w:val="22"/>
          <w:szCs w:val="22"/>
          <w:vertAlign w:val="subscript"/>
        </w:rPr>
        <w:t>1</w:t>
      </w:r>
      <w:r w:rsidRPr="00F93FFA">
        <w:rPr>
          <w:color w:val="000000"/>
          <w:sz w:val="22"/>
          <w:szCs w:val="22"/>
        </w:rPr>
        <w:t xml:space="preserve"> vaisingumas buvo nepakitęs, o rezorbcijų skaičius padidėjo bei gyvybingų vaisių skaičius sumažėjo. Nepastebimo poveikio lygmens (NPL) dozė, gyvūnų tėvams ir F</w:t>
      </w:r>
      <w:r w:rsidRPr="00F93FFA">
        <w:rPr>
          <w:color w:val="000000"/>
          <w:sz w:val="22"/>
          <w:szCs w:val="22"/>
          <w:vertAlign w:val="subscript"/>
        </w:rPr>
        <w:t>1</w:t>
      </w:r>
      <w:r w:rsidRPr="00F93FFA">
        <w:rPr>
          <w:color w:val="000000"/>
          <w:sz w:val="22"/>
          <w:szCs w:val="22"/>
        </w:rPr>
        <w:t xml:space="preserve"> generacijai, buvo 15 mg/kg per parą (ketvirtis didžiausios žmogaus 800 mg dozės).</w:t>
      </w:r>
    </w:p>
    <w:p w14:paraId="46932013" w14:textId="77777777" w:rsidR="003646A0" w:rsidRPr="00F93FFA" w:rsidRDefault="003646A0" w:rsidP="00DE16D0">
      <w:pPr>
        <w:widowControl w:val="0"/>
        <w:ind w:left="567" w:hanging="567"/>
        <w:rPr>
          <w:color w:val="000000"/>
          <w:sz w:val="22"/>
          <w:szCs w:val="22"/>
        </w:rPr>
      </w:pPr>
    </w:p>
    <w:p w14:paraId="15424748" w14:textId="77777777" w:rsidR="003646A0" w:rsidRPr="00F93FFA" w:rsidRDefault="003646A0" w:rsidP="00DE16D0">
      <w:pPr>
        <w:widowControl w:val="0"/>
        <w:rPr>
          <w:color w:val="000000"/>
          <w:sz w:val="22"/>
          <w:szCs w:val="22"/>
        </w:rPr>
      </w:pPr>
      <w:r w:rsidRPr="00F93FFA">
        <w:rPr>
          <w:color w:val="000000"/>
          <w:sz w:val="22"/>
          <w:szCs w:val="22"/>
        </w:rPr>
        <w:t>Imatinibas, kurio organogenezės laikotarpiu buvo skiriama ≥ 100 mg/kg (maždaug atitinka pagal kūno paviršiaus plotą apskaičiuotą didžiausią klinikinę 800 mg per parą dozę), buvo teratogeniškas žiurkėms. Teratogeninis poveikis pasireiškė eksencefalija ar encefalocele, kaktikaulio nebuvimu ar sumažėjimu ir momenkaulio nebuvimu. Šių reiškinių nestebėta, kai dozė buvo ≤ 30 mg/kg.</w:t>
      </w:r>
    </w:p>
    <w:p w14:paraId="2AB5487C" w14:textId="77777777" w:rsidR="003646A0" w:rsidRPr="00F93FFA" w:rsidRDefault="003646A0" w:rsidP="00DE16D0">
      <w:pPr>
        <w:widowControl w:val="0"/>
        <w:rPr>
          <w:color w:val="000000"/>
          <w:sz w:val="22"/>
          <w:szCs w:val="22"/>
        </w:rPr>
      </w:pPr>
    </w:p>
    <w:p w14:paraId="07AA80C9" w14:textId="77777777" w:rsidR="003646A0" w:rsidRPr="00F93FFA" w:rsidRDefault="003646A0" w:rsidP="00DE16D0">
      <w:pPr>
        <w:pStyle w:val="Text"/>
        <w:widowControl w:val="0"/>
        <w:spacing w:before="0"/>
        <w:jc w:val="left"/>
        <w:rPr>
          <w:color w:val="000000"/>
          <w:sz w:val="22"/>
          <w:szCs w:val="22"/>
          <w:lang w:val="lt-LT"/>
        </w:rPr>
      </w:pPr>
      <w:r w:rsidRPr="00F93FFA">
        <w:rPr>
          <w:color w:val="000000"/>
          <w:sz w:val="22"/>
          <w:szCs w:val="22"/>
          <w:lang w:val="lt-LT"/>
        </w:rPr>
        <w:t>Toksinio poveikio vystimuisi tyrimo, atlikto su žiurkių jaunikliais, metu (</w:t>
      </w:r>
      <w:r w:rsidR="001E6883" w:rsidRPr="00F93FFA">
        <w:rPr>
          <w:color w:val="000000"/>
          <w:sz w:val="22"/>
          <w:szCs w:val="22"/>
          <w:lang w:val="lt-LT"/>
        </w:rPr>
        <w:t xml:space="preserve">vaistinio </w:t>
      </w:r>
      <w:r w:rsidRPr="00F93FFA">
        <w:rPr>
          <w:color w:val="000000"/>
          <w:sz w:val="22"/>
          <w:szCs w:val="22"/>
          <w:lang w:val="lt-LT"/>
        </w:rPr>
        <w:t xml:space="preserve">preparato skiriant nuo 10-osios iki 70-osios dienos po atsivedimo) naujų organų taikinių nenustatyta, lyginant su žinomais organais taikiniais suaugusioms žiurkėms. Toksinio poveikio jauniklių vystimuisi tyrimo metu poveikis augimui, vėlesniam makšties angos atsidarymui ir apyvarpės atsiskyrimui pastebėtas </w:t>
      </w:r>
      <w:r w:rsidR="00975D5C" w:rsidRPr="00F93FFA">
        <w:rPr>
          <w:color w:val="000000"/>
          <w:sz w:val="22"/>
          <w:szCs w:val="22"/>
          <w:lang w:val="lt-LT"/>
        </w:rPr>
        <w:t>esant</w:t>
      </w:r>
      <w:r w:rsidRPr="00F93FFA">
        <w:rPr>
          <w:color w:val="000000"/>
          <w:sz w:val="22"/>
          <w:szCs w:val="22"/>
          <w:lang w:val="lt-LT"/>
        </w:rPr>
        <w:t xml:space="preserve"> tokiai </w:t>
      </w:r>
      <w:r w:rsidR="001E6883" w:rsidRPr="00F93FFA">
        <w:rPr>
          <w:color w:val="000000"/>
          <w:sz w:val="22"/>
          <w:szCs w:val="22"/>
          <w:lang w:val="lt-LT"/>
        </w:rPr>
        <w:t xml:space="preserve">vaistinio </w:t>
      </w:r>
      <w:r w:rsidRPr="00F93FFA">
        <w:rPr>
          <w:color w:val="000000"/>
          <w:sz w:val="22"/>
          <w:szCs w:val="22"/>
          <w:lang w:val="lt-LT"/>
        </w:rPr>
        <w:t>preparato ekspozicijai, kuri maždaug 0,3</w:t>
      </w:r>
      <w:r w:rsidRPr="00F93FFA">
        <w:rPr>
          <w:color w:val="000000"/>
          <w:sz w:val="22"/>
          <w:szCs w:val="22"/>
          <w:lang w:val="lt-LT"/>
        </w:rPr>
        <w:noBreakHyphen/>
        <w:t xml:space="preserve">2 kartus </w:t>
      </w:r>
      <w:r w:rsidR="00975D5C" w:rsidRPr="00F93FFA">
        <w:rPr>
          <w:color w:val="000000"/>
          <w:sz w:val="22"/>
          <w:szCs w:val="22"/>
          <w:lang w:val="lt-LT"/>
        </w:rPr>
        <w:t>viršija</w:t>
      </w:r>
      <w:r w:rsidRPr="00F93FFA">
        <w:rPr>
          <w:color w:val="000000"/>
          <w:sz w:val="22"/>
          <w:szCs w:val="22"/>
          <w:lang w:val="lt-LT"/>
        </w:rPr>
        <w:t xml:space="preserve"> vidutin</w:t>
      </w:r>
      <w:r w:rsidR="00975D5C" w:rsidRPr="00F93FFA">
        <w:rPr>
          <w:color w:val="000000"/>
          <w:sz w:val="22"/>
          <w:szCs w:val="22"/>
          <w:lang w:val="lt-LT"/>
        </w:rPr>
        <w:t>ę</w:t>
      </w:r>
      <w:r w:rsidRPr="00F93FFA">
        <w:rPr>
          <w:color w:val="000000"/>
          <w:sz w:val="22"/>
          <w:szCs w:val="22"/>
          <w:lang w:val="lt-LT"/>
        </w:rPr>
        <w:t xml:space="preserve"> ekspozicij</w:t>
      </w:r>
      <w:r w:rsidR="00975D5C" w:rsidRPr="00F93FFA">
        <w:rPr>
          <w:color w:val="000000"/>
          <w:sz w:val="22"/>
          <w:szCs w:val="22"/>
          <w:lang w:val="lt-LT"/>
        </w:rPr>
        <w:t>ą</w:t>
      </w:r>
      <w:r w:rsidRPr="00F93FFA">
        <w:rPr>
          <w:color w:val="000000"/>
          <w:sz w:val="22"/>
          <w:szCs w:val="22"/>
          <w:lang w:val="lt-LT"/>
        </w:rPr>
        <w:t xml:space="preserve"> vaikų populiacijoje skiriant didžiausią rekomenduojamą 340 mg/m</w:t>
      </w:r>
      <w:r w:rsidRPr="00F93FFA">
        <w:rPr>
          <w:color w:val="000000"/>
          <w:sz w:val="22"/>
          <w:szCs w:val="22"/>
          <w:vertAlign w:val="superscript"/>
          <w:lang w:val="lt-LT"/>
        </w:rPr>
        <w:t>2</w:t>
      </w:r>
      <w:r w:rsidRPr="00F93FFA">
        <w:rPr>
          <w:color w:val="000000"/>
          <w:sz w:val="22"/>
          <w:szCs w:val="22"/>
          <w:lang w:val="lt-LT"/>
        </w:rPr>
        <w:t xml:space="preserve"> kūno paviršiaus dozę. Be to, pastebėta gyvūnų jauniklių kritim</w:t>
      </w:r>
      <w:r w:rsidR="003F1265" w:rsidRPr="00F93FFA">
        <w:rPr>
          <w:color w:val="000000"/>
          <w:sz w:val="22"/>
          <w:szCs w:val="22"/>
          <w:lang w:val="lt-LT"/>
        </w:rPr>
        <w:t>o</w:t>
      </w:r>
      <w:r w:rsidRPr="00F93FFA">
        <w:rPr>
          <w:color w:val="000000"/>
          <w:sz w:val="22"/>
          <w:szCs w:val="22"/>
          <w:lang w:val="lt-LT"/>
        </w:rPr>
        <w:t xml:space="preserve"> atvejų (maždaug nujunkymo fazėje) </w:t>
      </w:r>
      <w:r w:rsidR="00975D5C" w:rsidRPr="00F93FFA">
        <w:rPr>
          <w:color w:val="000000"/>
          <w:sz w:val="22"/>
          <w:szCs w:val="22"/>
          <w:lang w:val="lt-LT"/>
        </w:rPr>
        <w:t>esant</w:t>
      </w:r>
      <w:r w:rsidRPr="00F93FFA">
        <w:rPr>
          <w:color w:val="000000"/>
          <w:sz w:val="22"/>
          <w:szCs w:val="22"/>
          <w:lang w:val="lt-LT"/>
        </w:rPr>
        <w:t xml:space="preserve"> tokiai </w:t>
      </w:r>
      <w:r w:rsidR="00C42121" w:rsidRPr="00F93FFA">
        <w:rPr>
          <w:color w:val="000000"/>
          <w:sz w:val="22"/>
          <w:szCs w:val="22"/>
          <w:lang w:val="lt-LT"/>
        </w:rPr>
        <w:t xml:space="preserve">vaistinio </w:t>
      </w:r>
      <w:r w:rsidRPr="00F93FFA">
        <w:rPr>
          <w:color w:val="000000"/>
          <w:sz w:val="22"/>
          <w:szCs w:val="22"/>
          <w:lang w:val="lt-LT"/>
        </w:rPr>
        <w:t>preparato ekspozicijai, kuri maždaug 2 kartus viršija vidutinę ekspoziciją vaikų populiacijoje skiriant didžiausią rekomenduojamą 340 mg/m</w:t>
      </w:r>
      <w:r w:rsidRPr="00F93FFA">
        <w:rPr>
          <w:color w:val="000000"/>
          <w:sz w:val="22"/>
          <w:szCs w:val="22"/>
          <w:vertAlign w:val="superscript"/>
          <w:lang w:val="lt-LT"/>
        </w:rPr>
        <w:t>2</w:t>
      </w:r>
      <w:r w:rsidRPr="00F93FFA">
        <w:rPr>
          <w:color w:val="000000"/>
          <w:sz w:val="22"/>
          <w:szCs w:val="22"/>
          <w:lang w:val="lt-LT"/>
        </w:rPr>
        <w:t xml:space="preserve"> kūno paviršiaus dozę.</w:t>
      </w:r>
    </w:p>
    <w:p w14:paraId="331B5A4A" w14:textId="77777777" w:rsidR="003646A0" w:rsidRPr="00F93FFA" w:rsidRDefault="003646A0" w:rsidP="00DE16D0">
      <w:pPr>
        <w:widowControl w:val="0"/>
        <w:rPr>
          <w:color w:val="000000"/>
          <w:sz w:val="22"/>
          <w:szCs w:val="22"/>
        </w:rPr>
      </w:pPr>
    </w:p>
    <w:p w14:paraId="3B63965C" w14:textId="77777777" w:rsidR="003646A0" w:rsidRPr="00F93FFA" w:rsidRDefault="003646A0" w:rsidP="00DE16D0">
      <w:pPr>
        <w:widowControl w:val="0"/>
        <w:rPr>
          <w:color w:val="000000"/>
          <w:sz w:val="22"/>
          <w:szCs w:val="22"/>
        </w:rPr>
      </w:pPr>
      <w:r w:rsidRPr="00F93FFA">
        <w:rPr>
          <w:color w:val="000000"/>
          <w:sz w:val="22"/>
          <w:szCs w:val="22"/>
        </w:rPr>
        <w:t>Dviejų metų kancerogeniškumo tyrimų su žiurkėmis, gavusiomis 15 mg/kg, 30 mg/kg ir 60 mg/kg per parą imatinibo dozę, metu statistiškai reikšmingai sumažėjo patinų, gavusių 60 mg/kg per parą, ir patelių, gavusių ≥ 30 mg/kg per parą, gyvenimo trukmė. Kritusių gyvūnėlių histopatologinių tyrimų metu nustatytos pagrindinės gyvūnėlių žūties ar jų užmigdymo priežastys buvo: kardiomiopatija (abiems lytims), lėtinė progresuojanti nefropatija (patelėms) ir apyvarpės liaukų papiloma. Neoplastinis procesas pažeidė inkstus, šlapimo pūslę, šlaplę, apyvarpės ir varputės liaukas, plonąjį žarnyną, prieskydines liaukas, antinksčius ir ne liaukinę skrandžio dalį.</w:t>
      </w:r>
    </w:p>
    <w:p w14:paraId="768C1A37" w14:textId="77777777" w:rsidR="003646A0" w:rsidRPr="00F93FFA" w:rsidRDefault="003646A0" w:rsidP="00DE16D0">
      <w:pPr>
        <w:widowControl w:val="0"/>
        <w:rPr>
          <w:color w:val="000000"/>
          <w:sz w:val="22"/>
          <w:szCs w:val="22"/>
        </w:rPr>
      </w:pPr>
    </w:p>
    <w:p w14:paraId="77D6A52A" w14:textId="77777777" w:rsidR="003646A0" w:rsidRPr="00F93FFA" w:rsidRDefault="003646A0" w:rsidP="00DE16D0">
      <w:pPr>
        <w:widowControl w:val="0"/>
        <w:rPr>
          <w:bCs/>
          <w:color w:val="000000"/>
          <w:sz w:val="22"/>
          <w:szCs w:val="22"/>
        </w:rPr>
      </w:pPr>
      <w:r w:rsidRPr="00F93FFA">
        <w:rPr>
          <w:color w:val="000000"/>
          <w:sz w:val="22"/>
          <w:szCs w:val="22"/>
        </w:rPr>
        <w:t>Apyvarpės ar varputės liaukų papilomos ar karcinomos stebėtos žiurkėms, kurios gavo nuo 30 mg/kg per parą dozę į priekį kas yra maždaug 0,5 arba 0,3 kartus didesnė ekspozicija (pagal AUC) negu žmonėms vartojant 400 mg arba 800 mg per parą atitinkamai ir 0,4 karto didesnė ekspozicija vaikams (pagal AUC) vartojant 340 mg/m² per parą. Nepastebimo poveikio lygmens (NPL) dozė buvo 15 mg/kg per parą. Inkstų adenoma ar karcinoma, šlapimo pūslės ir šlaplės papiloma,</w:t>
      </w:r>
      <w:r w:rsidRPr="00F93FFA">
        <w:rPr>
          <w:bCs/>
          <w:color w:val="000000"/>
          <w:sz w:val="22"/>
          <w:szCs w:val="22"/>
        </w:rPr>
        <w:t xml:space="preserve"> plonojo žarnyno adenokarcinoma, prieskydinių liaukų adenoma, gėrybiniai ir piktybiniai antinksčių šerdinės dalies navikai bei ne liaukinės skrandžio dalies papiloma ar karcinoma </w:t>
      </w:r>
      <w:r w:rsidRPr="00F93FFA">
        <w:rPr>
          <w:color w:val="000000"/>
          <w:sz w:val="22"/>
          <w:szCs w:val="22"/>
        </w:rPr>
        <w:t>stebėtos duodant 60 mg/kg per parą dozę kas yra maždaug 1,7 arba 1 kartus didesnė ekspozicija (pagal AUC) negu žmonėms vartojant 400 mg arba 800 mg per parą atitinkamai ir 1,2 karto didesnė ekspozicija vaikams (pagal AUC) vartojant 340 mg/m² per parą</w:t>
      </w:r>
      <w:r w:rsidRPr="00F93FFA">
        <w:rPr>
          <w:bCs/>
          <w:color w:val="000000"/>
          <w:sz w:val="22"/>
          <w:szCs w:val="22"/>
        </w:rPr>
        <w:t>. Nepastebimo poveikio lygmens (NPL) dozė buvo 30 mg/kg per parą.</w:t>
      </w:r>
    </w:p>
    <w:p w14:paraId="008B3FC3" w14:textId="77777777" w:rsidR="003646A0" w:rsidRPr="00F93FFA" w:rsidRDefault="003646A0" w:rsidP="00DE16D0">
      <w:pPr>
        <w:widowControl w:val="0"/>
        <w:rPr>
          <w:bCs/>
          <w:color w:val="000000"/>
          <w:sz w:val="22"/>
          <w:szCs w:val="22"/>
        </w:rPr>
      </w:pPr>
    </w:p>
    <w:p w14:paraId="7919C6EC" w14:textId="77777777" w:rsidR="003646A0" w:rsidRPr="00F93FFA" w:rsidRDefault="003646A0" w:rsidP="00DE16D0">
      <w:pPr>
        <w:widowControl w:val="0"/>
        <w:rPr>
          <w:color w:val="000000"/>
          <w:sz w:val="22"/>
          <w:szCs w:val="22"/>
        </w:rPr>
      </w:pPr>
      <w:r w:rsidRPr="00F93FFA">
        <w:rPr>
          <w:color w:val="000000"/>
          <w:sz w:val="22"/>
          <w:szCs w:val="22"/>
        </w:rPr>
        <w:t>Šių žiurkių kancerogeniškumo tyrimų radinių reikšmė ir mechanizmas žmonėms dar neaiškus.</w:t>
      </w:r>
    </w:p>
    <w:p w14:paraId="6CF13695" w14:textId="77777777" w:rsidR="003646A0" w:rsidRPr="00F93FFA" w:rsidRDefault="003646A0" w:rsidP="00DE16D0">
      <w:pPr>
        <w:widowControl w:val="0"/>
        <w:rPr>
          <w:bCs/>
          <w:color w:val="000000"/>
          <w:sz w:val="22"/>
          <w:szCs w:val="22"/>
        </w:rPr>
      </w:pPr>
    </w:p>
    <w:p w14:paraId="7CC7D841" w14:textId="77777777" w:rsidR="003646A0" w:rsidRPr="00F93FFA" w:rsidRDefault="003646A0" w:rsidP="00DE16D0">
      <w:pPr>
        <w:widowControl w:val="0"/>
        <w:rPr>
          <w:bCs/>
          <w:color w:val="000000"/>
          <w:sz w:val="22"/>
          <w:szCs w:val="22"/>
        </w:rPr>
      </w:pPr>
      <w:r w:rsidRPr="00F93FFA">
        <w:rPr>
          <w:bCs/>
          <w:color w:val="000000"/>
          <w:sz w:val="22"/>
          <w:szCs w:val="22"/>
        </w:rPr>
        <w:t>Ankstesniuse tyrimuose nebuvo registruota kitų, ne neoplastinių širdies ir kraujagyslių sistemos, kasos, endokrininių liaukų ir dantų pažeidimų. Svarbiausi pakitimai buvo širdies hipertrofija ir išsiplėtimas, dėl ko kai kuriems gyvūnėliams pasireiškė širdies nepakankamumo simptomai.</w:t>
      </w:r>
    </w:p>
    <w:p w14:paraId="19C025A2" w14:textId="77777777" w:rsidR="003646A0" w:rsidRPr="00F93FFA" w:rsidRDefault="003646A0" w:rsidP="00DE16D0">
      <w:pPr>
        <w:widowControl w:val="0"/>
        <w:rPr>
          <w:bCs/>
          <w:color w:val="000000"/>
          <w:sz w:val="22"/>
          <w:szCs w:val="22"/>
        </w:rPr>
      </w:pPr>
    </w:p>
    <w:p w14:paraId="7B70809B" w14:textId="77777777" w:rsidR="003646A0" w:rsidRPr="00F93FFA" w:rsidRDefault="003646A0" w:rsidP="00DE16D0">
      <w:pPr>
        <w:widowControl w:val="0"/>
        <w:rPr>
          <w:bCs/>
          <w:color w:val="000000"/>
          <w:sz w:val="22"/>
          <w:szCs w:val="22"/>
        </w:rPr>
      </w:pPr>
      <w:r w:rsidRPr="00F93FFA">
        <w:rPr>
          <w:bCs/>
          <w:color w:val="000000"/>
          <w:sz w:val="22"/>
          <w:szCs w:val="22"/>
        </w:rPr>
        <w:t>Nustatyta, kad veiklioji medžiaga imatinibas kelia pavojų nuosėdose aptinkamiems organizmams.</w:t>
      </w:r>
    </w:p>
    <w:p w14:paraId="2602A276" w14:textId="77777777" w:rsidR="003646A0" w:rsidRPr="00F93FFA" w:rsidRDefault="003646A0" w:rsidP="00DE16D0">
      <w:pPr>
        <w:widowControl w:val="0"/>
        <w:rPr>
          <w:bCs/>
          <w:color w:val="000000"/>
          <w:sz w:val="22"/>
          <w:szCs w:val="22"/>
        </w:rPr>
      </w:pPr>
    </w:p>
    <w:p w14:paraId="4E1F4EED" w14:textId="77777777" w:rsidR="003646A0" w:rsidRPr="00F93FFA" w:rsidRDefault="003646A0" w:rsidP="00DE16D0">
      <w:pPr>
        <w:widowControl w:val="0"/>
        <w:ind w:left="567" w:hanging="567"/>
        <w:rPr>
          <w:color w:val="000000"/>
          <w:sz w:val="22"/>
          <w:szCs w:val="22"/>
        </w:rPr>
      </w:pPr>
    </w:p>
    <w:p w14:paraId="2223AD92"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6.</w:t>
      </w:r>
      <w:r w:rsidRPr="00F93FFA">
        <w:rPr>
          <w:b/>
          <w:caps/>
          <w:color w:val="000000"/>
          <w:sz w:val="22"/>
          <w:szCs w:val="22"/>
        </w:rPr>
        <w:tab/>
        <w:t>farmacinė informacija</w:t>
      </w:r>
    </w:p>
    <w:p w14:paraId="4DC67ADA" w14:textId="77777777" w:rsidR="003646A0" w:rsidRPr="00F93FFA" w:rsidRDefault="003646A0" w:rsidP="00C94C5B">
      <w:pPr>
        <w:keepNext/>
        <w:widowControl w:val="0"/>
        <w:ind w:left="567" w:hanging="567"/>
        <w:rPr>
          <w:color w:val="000000"/>
          <w:sz w:val="22"/>
          <w:szCs w:val="22"/>
        </w:rPr>
      </w:pPr>
    </w:p>
    <w:p w14:paraId="5263DB9B"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6.1</w:t>
      </w:r>
      <w:r w:rsidRPr="00F93FFA">
        <w:rPr>
          <w:b/>
          <w:color w:val="000000"/>
          <w:sz w:val="22"/>
          <w:szCs w:val="22"/>
        </w:rPr>
        <w:tab/>
        <w:t>Pagalbinių medžiagų sąrašas</w:t>
      </w:r>
    </w:p>
    <w:p w14:paraId="5BEC9E0D" w14:textId="77777777" w:rsidR="003646A0" w:rsidRPr="00F93FFA" w:rsidRDefault="003646A0" w:rsidP="00C94C5B">
      <w:pPr>
        <w:keepNext/>
        <w:widowControl w:val="0"/>
        <w:ind w:left="567" w:hanging="567"/>
        <w:rPr>
          <w:color w:val="000000"/>
          <w:sz w:val="22"/>
          <w:szCs w:val="22"/>
        </w:rPr>
      </w:pPr>
    </w:p>
    <w:p w14:paraId="550DEFC5" w14:textId="3BE1F928" w:rsidR="00200F8F" w:rsidRPr="00F93FFA" w:rsidRDefault="00200F8F" w:rsidP="00335718">
      <w:pPr>
        <w:keepNext/>
        <w:widowControl w:val="0"/>
        <w:ind w:left="2268" w:hanging="2268"/>
        <w:rPr>
          <w:color w:val="000000"/>
          <w:sz w:val="22"/>
          <w:szCs w:val="22"/>
        </w:rPr>
      </w:pPr>
      <w:r w:rsidRPr="00F93FFA">
        <w:rPr>
          <w:color w:val="000000"/>
          <w:sz w:val="22"/>
          <w:szCs w:val="22"/>
        </w:rPr>
        <w:t>Kapsulės turinys:</w:t>
      </w:r>
      <w:r w:rsidRPr="00F93FFA">
        <w:rPr>
          <w:color w:val="000000"/>
          <w:sz w:val="22"/>
          <w:szCs w:val="22"/>
        </w:rPr>
        <w:tab/>
      </w:r>
      <w:r w:rsidR="005571AF" w:rsidRPr="00F93FFA">
        <w:rPr>
          <w:color w:val="000000"/>
          <w:sz w:val="22"/>
          <w:szCs w:val="22"/>
        </w:rPr>
        <w:t>M</w:t>
      </w:r>
      <w:r w:rsidRPr="00F93FFA">
        <w:rPr>
          <w:color w:val="000000"/>
          <w:sz w:val="22"/>
          <w:szCs w:val="22"/>
        </w:rPr>
        <w:t>ikrokristalinė celiuliozė</w:t>
      </w:r>
    </w:p>
    <w:p w14:paraId="12B42A2B" w14:textId="6720449A" w:rsidR="00200F8F" w:rsidRPr="00F93FFA" w:rsidRDefault="005571AF" w:rsidP="00335718">
      <w:pPr>
        <w:keepNext/>
        <w:widowControl w:val="0"/>
        <w:ind w:left="2268"/>
        <w:rPr>
          <w:color w:val="000000"/>
          <w:sz w:val="22"/>
          <w:szCs w:val="22"/>
        </w:rPr>
      </w:pPr>
      <w:r w:rsidRPr="00F93FFA">
        <w:rPr>
          <w:color w:val="000000"/>
          <w:sz w:val="22"/>
          <w:szCs w:val="22"/>
        </w:rPr>
        <w:t>K</w:t>
      </w:r>
      <w:r w:rsidR="00200F8F" w:rsidRPr="00F93FFA">
        <w:rPr>
          <w:color w:val="000000"/>
          <w:sz w:val="22"/>
          <w:szCs w:val="22"/>
        </w:rPr>
        <w:t>rospovidonas</w:t>
      </w:r>
    </w:p>
    <w:p w14:paraId="24C25FAE" w14:textId="5BF4B650" w:rsidR="00200F8F" w:rsidRPr="00F93FFA" w:rsidRDefault="005571AF" w:rsidP="00335718">
      <w:pPr>
        <w:keepNext/>
        <w:widowControl w:val="0"/>
        <w:ind w:left="2268"/>
        <w:rPr>
          <w:color w:val="000000"/>
          <w:sz w:val="22"/>
          <w:szCs w:val="22"/>
        </w:rPr>
      </w:pPr>
      <w:r w:rsidRPr="00F93FFA">
        <w:rPr>
          <w:color w:val="000000"/>
          <w:sz w:val="22"/>
          <w:szCs w:val="22"/>
        </w:rPr>
        <w:t>M</w:t>
      </w:r>
      <w:r w:rsidR="00200F8F" w:rsidRPr="00F93FFA">
        <w:rPr>
          <w:color w:val="000000"/>
          <w:sz w:val="22"/>
          <w:szCs w:val="22"/>
        </w:rPr>
        <w:t>agnio stearatas</w:t>
      </w:r>
    </w:p>
    <w:p w14:paraId="4FDD688E" w14:textId="4DAD4EBB" w:rsidR="00200F8F" w:rsidRPr="00F93FFA" w:rsidRDefault="005571AF" w:rsidP="00335718">
      <w:pPr>
        <w:widowControl w:val="0"/>
        <w:ind w:left="2268"/>
        <w:rPr>
          <w:color w:val="000000"/>
          <w:sz w:val="22"/>
          <w:szCs w:val="22"/>
        </w:rPr>
      </w:pPr>
      <w:r w:rsidRPr="00F93FFA">
        <w:rPr>
          <w:color w:val="000000"/>
          <w:sz w:val="22"/>
          <w:szCs w:val="22"/>
        </w:rPr>
        <w:t>K</w:t>
      </w:r>
      <w:r w:rsidR="00200F8F" w:rsidRPr="00F93FFA">
        <w:rPr>
          <w:color w:val="000000"/>
          <w:sz w:val="22"/>
          <w:szCs w:val="22"/>
        </w:rPr>
        <w:t xml:space="preserve">oloidinis </w:t>
      </w:r>
      <w:r w:rsidRPr="00F93FFA">
        <w:rPr>
          <w:color w:val="000000"/>
          <w:sz w:val="22"/>
          <w:szCs w:val="22"/>
        </w:rPr>
        <w:t xml:space="preserve">bevandenis </w:t>
      </w:r>
      <w:r w:rsidR="00200F8F" w:rsidRPr="00F93FFA">
        <w:rPr>
          <w:color w:val="000000"/>
          <w:sz w:val="22"/>
          <w:szCs w:val="22"/>
        </w:rPr>
        <w:t>silicio dioksidas</w:t>
      </w:r>
    </w:p>
    <w:p w14:paraId="7C010153" w14:textId="77777777" w:rsidR="00200F8F" w:rsidRPr="00F93FFA" w:rsidRDefault="00200F8F" w:rsidP="00DE16D0">
      <w:pPr>
        <w:widowControl w:val="0"/>
        <w:rPr>
          <w:color w:val="000000"/>
          <w:sz w:val="22"/>
          <w:szCs w:val="22"/>
        </w:rPr>
      </w:pPr>
    </w:p>
    <w:p w14:paraId="4D9CC304" w14:textId="2DEAC5E7" w:rsidR="00200F8F" w:rsidRPr="00F93FFA" w:rsidRDefault="00200F8F" w:rsidP="00335718">
      <w:pPr>
        <w:keepNext/>
        <w:widowControl w:val="0"/>
        <w:ind w:left="2268" w:hanging="2268"/>
        <w:rPr>
          <w:color w:val="000000"/>
          <w:sz w:val="22"/>
          <w:szCs w:val="22"/>
        </w:rPr>
      </w:pPr>
      <w:r w:rsidRPr="00F93FFA">
        <w:rPr>
          <w:color w:val="000000"/>
          <w:sz w:val="22"/>
          <w:szCs w:val="22"/>
        </w:rPr>
        <w:t xml:space="preserve">Kapsulės </w:t>
      </w:r>
      <w:r w:rsidR="007738D8" w:rsidRPr="00F93FFA">
        <w:rPr>
          <w:color w:val="000000"/>
          <w:sz w:val="22"/>
          <w:szCs w:val="22"/>
        </w:rPr>
        <w:t>apvalkalas</w:t>
      </w:r>
      <w:r w:rsidRPr="00F93FFA">
        <w:rPr>
          <w:color w:val="000000"/>
          <w:sz w:val="22"/>
          <w:szCs w:val="22"/>
        </w:rPr>
        <w:t>:</w:t>
      </w:r>
      <w:r w:rsidRPr="00F93FFA">
        <w:rPr>
          <w:color w:val="000000"/>
          <w:sz w:val="22"/>
          <w:szCs w:val="22"/>
        </w:rPr>
        <w:tab/>
      </w:r>
      <w:r w:rsidR="005571AF" w:rsidRPr="00F93FFA">
        <w:rPr>
          <w:color w:val="000000"/>
          <w:sz w:val="22"/>
          <w:szCs w:val="22"/>
        </w:rPr>
        <w:t>Ž</w:t>
      </w:r>
      <w:r w:rsidRPr="00F93FFA">
        <w:rPr>
          <w:color w:val="000000"/>
          <w:sz w:val="22"/>
          <w:szCs w:val="22"/>
        </w:rPr>
        <w:t>elatina</w:t>
      </w:r>
    </w:p>
    <w:p w14:paraId="11F23FA8" w14:textId="22B6F474" w:rsidR="00200F8F" w:rsidRPr="00F93FFA" w:rsidRDefault="005571AF" w:rsidP="00335718">
      <w:pPr>
        <w:keepNext/>
        <w:widowControl w:val="0"/>
        <w:ind w:left="2268"/>
        <w:rPr>
          <w:color w:val="000000"/>
          <w:sz w:val="22"/>
          <w:szCs w:val="22"/>
        </w:rPr>
      </w:pPr>
      <w:r w:rsidRPr="00F93FFA">
        <w:rPr>
          <w:color w:val="000000"/>
          <w:sz w:val="22"/>
          <w:szCs w:val="22"/>
        </w:rPr>
        <w:t>R</w:t>
      </w:r>
      <w:r w:rsidR="00200F8F" w:rsidRPr="00F93FFA">
        <w:rPr>
          <w:color w:val="000000"/>
          <w:sz w:val="22"/>
          <w:szCs w:val="22"/>
        </w:rPr>
        <w:t>audonasis geležies oksidas (E172)</w:t>
      </w:r>
    </w:p>
    <w:p w14:paraId="1580C349" w14:textId="5FCCCF32" w:rsidR="00200F8F" w:rsidRPr="00F93FFA" w:rsidRDefault="005571AF" w:rsidP="00335718">
      <w:pPr>
        <w:keepNext/>
        <w:widowControl w:val="0"/>
        <w:ind w:left="2268"/>
        <w:rPr>
          <w:color w:val="000000"/>
          <w:sz w:val="22"/>
          <w:szCs w:val="22"/>
        </w:rPr>
      </w:pPr>
      <w:r w:rsidRPr="00F93FFA">
        <w:rPr>
          <w:color w:val="000000"/>
          <w:sz w:val="22"/>
          <w:szCs w:val="22"/>
        </w:rPr>
        <w:t>G</w:t>
      </w:r>
      <w:r w:rsidR="00200F8F" w:rsidRPr="00F93FFA">
        <w:rPr>
          <w:color w:val="000000"/>
          <w:sz w:val="22"/>
          <w:szCs w:val="22"/>
        </w:rPr>
        <w:t>eltonasis geležies oksidas (E172)</w:t>
      </w:r>
    </w:p>
    <w:p w14:paraId="07D0844A" w14:textId="4F358ED3" w:rsidR="00200F8F" w:rsidRPr="00F93FFA" w:rsidRDefault="005571AF" w:rsidP="00335718">
      <w:pPr>
        <w:widowControl w:val="0"/>
        <w:ind w:left="2268"/>
        <w:rPr>
          <w:color w:val="000000"/>
          <w:sz w:val="22"/>
          <w:szCs w:val="22"/>
        </w:rPr>
      </w:pPr>
      <w:r w:rsidRPr="00F93FFA">
        <w:rPr>
          <w:color w:val="000000"/>
          <w:sz w:val="22"/>
          <w:szCs w:val="22"/>
        </w:rPr>
        <w:t>T</w:t>
      </w:r>
      <w:r w:rsidR="00200F8F" w:rsidRPr="00F93FFA">
        <w:rPr>
          <w:color w:val="000000"/>
          <w:sz w:val="22"/>
          <w:szCs w:val="22"/>
        </w:rPr>
        <w:t>itano dioksidas (E171)</w:t>
      </w:r>
    </w:p>
    <w:p w14:paraId="656FCA45" w14:textId="77777777" w:rsidR="00200F8F" w:rsidRPr="00F93FFA" w:rsidRDefault="00200F8F" w:rsidP="00DE16D0">
      <w:pPr>
        <w:widowControl w:val="0"/>
        <w:rPr>
          <w:color w:val="000000"/>
          <w:sz w:val="22"/>
          <w:szCs w:val="22"/>
        </w:rPr>
      </w:pPr>
    </w:p>
    <w:p w14:paraId="0CAFAC89" w14:textId="54B51070" w:rsidR="00200F8F" w:rsidRPr="00F93FFA" w:rsidRDefault="00200F8F" w:rsidP="00335718">
      <w:pPr>
        <w:keepNext/>
        <w:widowControl w:val="0"/>
        <w:ind w:left="2268" w:hanging="2268"/>
        <w:rPr>
          <w:color w:val="000000"/>
          <w:sz w:val="22"/>
          <w:szCs w:val="22"/>
        </w:rPr>
      </w:pPr>
      <w:r w:rsidRPr="00F93FFA">
        <w:rPr>
          <w:color w:val="000000"/>
          <w:sz w:val="22"/>
          <w:szCs w:val="22"/>
        </w:rPr>
        <w:t>Rašalas:</w:t>
      </w:r>
      <w:r w:rsidRPr="00F93FFA">
        <w:rPr>
          <w:color w:val="000000"/>
          <w:sz w:val="22"/>
          <w:szCs w:val="22"/>
        </w:rPr>
        <w:tab/>
      </w:r>
      <w:r w:rsidR="005571AF" w:rsidRPr="00F93FFA">
        <w:rPr>
          <w:color w:val="000000"/>
          <w:sz w:val="22"/>
          <w:szCs w:val="22"/>
        </w:rPr>
        <w:t>R</w:t>
      </w:r>
      <w:r w:rsidRPr="00F93FFA">
        <w:rPr>
          <w:color w:val="000000"/>
          <w:sz w:val="22"/>
          <w:szCs w:val="22"/>
        </w:rPr>
        <w:t>audonasis geležies oksidas (E172)</w:t>
      </w:r>
    </w:p>
    <w:p w14:paraId="4A7AB3B9" w14:textId="41448615" w:rsidR="00200F8F" w:rsidRPr="00F93FFA" w:rsidRDefault="005571AF" w:rsidP="00335718">
      <w:pPr>
        <w:widowControl w:val="0"/>
        <w:ind w:left="2268"/>
        <w:rPr>
          <w:color w:val="000000"/>
          <w:sz w:val="22"/>
          <w:szCs w:val="22"/>
        </w:rPr>
      </w:pPr>
      <w:r w:rsidRPr="00F93FFA">
        <w:rPr>
          <w:color w:val="000000"/>
          <w:sz w:val="22"/>
          <w:szCs w:val="22"/>
        </w:rPr>
        <w:t>Š</w:t>
      </w:r>
      <w:r w:rsidR="00200F8F" w:rsidRPr="00F93FFA">
        <w:rPr>
          <w:color w:val="000000"/>
          <w:sz w:val="22"/>
          <w:szCs w:val="22"/>
        </w:rPr>
        <w:t>elakas</w:t>
      </w:r>
    </w:p>
    <w:p w14:paraId="604DA3A3" w14:textId="77777777" w:rsidR="00200F8F" w:rsidRPr="00F93FFA" w:rsidRDefault="00200F8F" w:rsidP="00DE16D0">
      <w:pPr>
        <w:widowControl w:val="0"/>
        <w:rPr>
          <w:color w:val="000000"/>
          <w:sz w:val="22"/>
          <w:szCs w:val="22"/>
        </w:rPr>
      </w:pPr>
    </w:p>
    <w:p w14:paraId="1D8B7F7B"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6.2</w:t>
      </w:r>
      <w:r w:rsidRPr="00F93FFA">
        <w:rPr>
          <w:b/>
          <w:color w:val="000000"/>
          <w:sz w:val="22"/>
          <w:szCs w:val="22"/>
        </w:rPr>
        <w:tab/>
        <w:t>Nesuderinamumas</w:t>
      </w:r>
    </w:p>
    <w:p w14:paraId="0BA64E4E" w14:textId="77777777" w:rsidR="003646A0" w:rsidRPr="00F93FFA" w:rsidRDefault="003646A0" w:rsidP="00C94C5B">
      <w:pPr>
        <w:keepNext/>
        <w:widowControl w:val="0"/>
        <w:ind w:left="567" w:hanging="567"/>
        <w:rPr>
          <w:color w:val="000000"/>
          <w:sz w:val="22"/>
          <w:szCs w:val="22"/>
        </w:rPr>
      </w:pPr>
    </w:p>
    <w:p w14:paraId="0616B7CB" w14:textId="77777777" w:rsidR="003646A0" w:rsidRPr="00F93FFA" w:rsidRDefault="003646A0" w:rsidP="00DE16D0">
      <w:pPr>
        <w:widowControl w:val="0"/>
        <w:ind w:left="567" w:hanging="567"/>
        <w:rPr>
          <w:color w:val="000000"/>
          <w:sz w:val="22"/>
          <w:szCs w:val="22"/>
        </w:rPr>
      </w:pPr>
      <w:r w:rsidRPr="00F93FFA">
        <w:rPr>
          <w:color w:val="000000"/>
          <w:sz w:val="22"/>
          <w:szCs w:val="22"/>
        </w:rPr>
        <w:t>Duomenys nebūtini.</w:t>
      </w:r>
    </w:p>
    <w:p w14:paraId="309595BA" w14:textId="77777777" w:rsidR="003646A0" w:rsidRPr="00F93FFA" w:rsidRDefault="003646A0" w:rsidP="00DE16D0">
      <w:pPr>
        <w:widowControl w:val="0"/>
        <w:ind w:left="567" w:hanging="567"/>
        <w:rPr>
          <w:color w:val="000000"/>
          <w:sz w:val="22"/>
          <w:szCs w:val="22"/>
        </w:rPr>
      </w:pPr>
    </w:p>
    <w:p w14:paraId="759DD623"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6.3</w:t>
      </w:r>
      <w:r w:rsidRPr="00F93FFA">
        <w:rPr>
          <w:b/>
          <w:color w:val="000000"/>
          <w:sz w:val="22"/>
          <w:szCs w:val="22"/>
        </w:rPr>
        <w:tab/>
        <w:t>Tinkamumo laikas</w:t>
      </w:r>
    </w:p>
    <w:p w14:paraId="432CE730" w14:textId="77777777" w:rsidR="003646A0" w:rsidRPr="00F93FFA" w:rsidRDefault="003646A0" w:rsidP="00C94C5B">
      <w:pPr>
        <w:keepNext/>
        <w:widowControl w:val="0"/>
        <w:ind w:left="567" w:hanging="567"/>
        <w:rPr>
          <w:sz w:val="22"/>
          <w:szCs w:val="22"/>
        </w:rPr>
      </w:pPr>
    </w:p>
    <w:p w14:paraId="2CADFAA0" w14:textId="77777777" w:rsidR="003646A0" w:rsidRPr="00F93FFA" w:rsidRDefault="003646A0" w:rsidP="00DE16D0">
      <w:pPr>
        <w:widowControl w:val="0"/>
        <w:ind w:left="567" w:hanging="567"/>
        <w:rPr>
          <w:sz w:val="22"/>
          <w:szCs w:val="22"/>
        </w:rPr>
      </w:pPr>
      <w:r w:rsidRPr="00F93FFA">
        <w:rPr>
          <w:sz w:val="22"/>
          <w:szCs w:val="22"/>
        </w:rPr>
        <w:t>2 metai</w:t>
      </w:r>
    </w:p>
    <w:p w14:paraId="29748BF7" w14:textId="77777777" w:rsidR="003646A0" w:rsidRPr="00F93FFA" w:rsidRDefault="003646A0" w:rsidP="00DE16D0">
      <w:pPr>
        <w:widowControl w:val="0"/>
        <w:ind w:left="567" w:hanging="567"/>
        <w:rPr>
          <w:sz w:val="22"/>
          <w:szCs w:val="22"/>
        </w:rPr>
      </w:pPr>
    </w:p>
    <w:p w14:paraId="772A5346" w14:textId="77777777" w:rsidR="003646A0" w:rsidRPr="00F93FFA" w:rsidRDefault="003646A0" w:rsidP="00C94C5B">
      <w:pPr>
        <w:keepNext/>
        <w:widowControl w:val="0"/>
        <w:ind w:left="567" w:hanging="567"/>
        <w:rPr>
          <w:b/>
          <w:sz w:val="22"/>
          <w:szCs w:val="22"/>
        </w:rPr>
      </w:pPr>
      <w:r w:rsidRPr="00F93FFA">
        <w:rPr>
          <w:b/>
          <w:sz w:val="22"/>
          <w:szCs w:val="22"/>
        </w:rPr>
        <w:t>6.4</w:t>
      </w:r>
      <w:r w:rsidRPr="00F93FFA">
        <w:rPr>
          <w:b/>
          <w:sz w:val="22"/>
          <w:szCs w:val="22"/>
        </w:rPr>
        <w:tab/>
        <w:t>Specialios laikymo sąlygos</w:t>
      </w:r>
    </w:p>
    <w:p w14:paraId="2DC9AEC0" w14:textId="77777777" w:rsidR="003646A0" w:rsidRPr="00F93FFA" w:rsidRDefault="003646A0" w:rsidP="00C94C5B">
      <w:pPr>
        <w:keepNext/>
        <w:widowControl w:val="0"/>
        <w:ind w:left="567" w:hanging="567"/>
        <w:rPr>
          <w:sz w:val="22"/>
          <w:szCs w:val="22"/>
        </w:rPr>
      </w:pPr>
    </w:p>
    <w:p w14:paraId="2D41BB37" w14:textId="77777777" w:rsidR="003646A0" w:rsidRPr="00F93FFA" w:rsidRDefault="003646A0" w:rsidP="00DE16D0">
      <w:pPr>
        <w:widowControl w:val="0"/>
        <w:rPr>
          <w:sz w:val="22"/>
          <w:szCs w:val="22"/>
        </w:rPr>
      </w:pPr>
      <w:r w:rsidRPr="00F93FFA">
        <w:rPr>
          <w:sz w:val="22"/>
          <w:szCs w:val="22"/>
        </w:rPr>
        <w:t>Laikyti ne aukštesnėje kaip 30 </w:t>
      </w:r>
      <w:r w:rsidRPr="00F93FFA">
        <w:rPr>
          <w:sz w:val="22"/>
          <w:szCs w:val="22"/>
        </w:rPr>
        <w:sym w:font="Symbol" w:char="F0B0"/>
      </w:r>
      <w:r w:rsidRPr="00F93FFA">
        <w:rPr>
          <w:sz w:val="22"/>
          <w:szCs w:val="22"/>
        </w:rPr>
        <w:t>C temperatūroje.</w:t>
      </w:r>
    </w:p>
    <w:p w14:paraId="4DB8010D" w14:textId="77777777" w:rsidR="003646A0" w:rsidRPr="00F93FFA" w:rsidRDefault="003646A0" w:rsidP="00DE16D0">
      <w:pPr>
        <w:widowControl w:val="0"/>
        <w:rPr>
          <w:sz w:val="22"/>
          <w:szCs w:val="22"/>
        </w:rPr>
      </w:pPr>
    </w:p>
    <w:p w14:paraId="270D21EC" w14:textId="77777777" w:rsidR="003646A0" w:rsidRPr="00F93FFA" w:rsidRDefault="003646A0" w:rsidP="00DE16D0">
      <w:pPr>
        <w:widowControl w:val="0"/>
        <w:rPr>
          <w:sz w:val="22"/>
          <w:szCs w:val="22"/>
        </w:rPr>
      </w:pPr>
      <w:r w:rsidRPr="00F93FFA">
        <w:rPr>
          <w:sz w:val="22"/>
          <w:szCs w:val="22"/>
        </w:rPr>
        <w:t xml:space="preserve">Laikyti gamintojo pakuotėje, kad </w:t>
      </w:r>
      <w:r w:rsidR="00C42121" w:rsidRPr="00F93FFA">
        <w:rPr>
          <w:sz w:val="22"/>
          <w:szCs w:val="22"/>
        </w:rPr>
        <w:t xml:space="preserve">vaistinis </w:t>
      </w:r>
      <w:r w:rsidRPr="00F93FFA">
        <w:rPr>
          <w:sz w:val="22"/>
          <w:szCs w:val="22"/>
        </w:rPr>
        <w:t>preparatas būtų apsaugotas nuo drėgmės.</w:t>
      </w:r>
    </w:p>
    <w:p w14:paraId="3DDB182D" w14:textId="77777777" w:rsidR="003646A0" w:rsidRPr="00F93FFA" w:rsidRDefault="003646A0" w:rsidP="00DE16D0">
      <w:pPr>
        <w:widowControl w:val="0"/>
        <w:ind w:left="567" w:hanging="567"/>
        <w:rPr>
          <w:sz w:val="22"/>
          <w:szCs w:val="22"/>
        </w:rPr>
      </w:pPr>
    </w:p>
    <w:p w14:paraId="193B4E17" w14:textId="77777777" w:rsidR="003646A0" w:rsidRPr="00F93FFA" w:rsidRDefault="003646A0" w:rsidP="00C94C5B">
      <w:pPr>
        <w:keepNext/>
        <w:widowControl w:val="0"/>
        <w:ind w:left="567" w:hanging="567"/>
        <w:rPr>
          <w:b/>
          <w:sz w:val="22"/>
          <w:szCs w:val="22"/>
        </w:rPr>
      </w:pPr>
      <w:r w:rsidRPr="00F93FFA">
        <w:rPr>
          <w:b/>
          <w:sz w:val="22"/>
          <w:szCs w:val="22"/>
        </w:rPr>
        <w:t>6.5</w:t>
      </w:r>
      <w:r w:rsidRPr="00F93FFA">
        <w:rPr>
          <w:b/>
          <w:sz w:val="22"/>
          <w:szCs w:val="22"/>
        </w:rPr>
        <w:tab/>
        <w:t>Talpyklės pobūdis ir jos turinys</w:t>
      </w:r>
    </w:p>
    <w:p w14:paraId="132F96BC" w14:textId="77777777" w:rsidR="003646A0" w:rsidRPr="00F93FFA" w:rsidRDefault="003646A0" w:rsidP="00C94C5B">
      <w:pPr>
        <w:keepNext/>
        <w:widowControl w:val="0"/>
        <w:ind w:left="567" w:hanging="567"/>
        <w:rPr>
          <w:sz w:val="22"/>
          <w:szCs w:val="22"/>
        </w:rPr>
      </w:pPr>
    </w:p>
    <w:p w14:paraId="23B65DA0" w14:textId="77777777" w:rsidR="003646A0" w:rsidRPr="00F93FFA" w:rsidRDefault="003646A0" w:rsidP="00DE16D0">
      <w:pPr>
        <w:widowControl w:val="0"/>
        <w:ind w:left="567" w:hanging="567"/>
        <w:rPr>
          <w:sz w:val="22"/>
          <w:szCs w:val="22"/>
        </w:rPr>
      </w:pPr>
      <w:r w:rsidRPr="00F93FFA">
        <w:rPr>
          <w:sz w:val="22"/>
          <w:szCs w:val="22"/>
        </w:rPr>
        <w:t>PVC/aliuminio lizdinės plokštelės.</w:t>
      </w:r>
    </w:p>
    <w:p w14:paraId="263286DD" w14:textId="77777777" w:rsidR="003646A0" w:rsidRPr="00F93FFA" w:rsidRDefault="003646A0" w:rsidP="00DE16D0">
      <w:pPr>
        <w:widowControl w:val="0"/>
        <w:ind w:left="567" w:hanging="567"/>
        <w:rPr>
          <w:sz w:val="22"/>
          <w:szCs w:val="22"/>
        </w:rPr>
      </w:pPr>
    </w:p>
    <w:p w14:paraId="3B14640E" w14:textId="77777777" w:rsidR="00200F8F" w:rsidRPr="00F93FFA" w:rsidRDefault="00200F8F" w:rsidP="00DE16D0">
      <w:pPr>
        <w:widowControl w:val="0"/>
        <w:ind w:left="567" w:hanging="567"/>
        <w:rPr>
          <w:color w:val="000000"/>
          <w:sz w:val="22"/>
          <w:szCs w:val="22"/>
        </w:rPr>
      </w:pPr>
      <w:r w:rsidRPr="00F93FFA">
        <w:rPr>
          <w:color w:val="000000"/>
          <w:sz w:val="22"/>
          <w:szCs w:val="22"/>
        </w:rPr>
        <w:t>Pakuotėje yra 24, 48, 96 kapsulės, 120 ir 180 kapsulių.</w:t>
      </w:r>
    </w:p>
    <w:p w14:paraId="184F3F36" w14:textId="77777777" w:rsidR="00200F8F" w:rsidRPr="00F93FFA" w:rsidRDefault="00200F8F" w:rsidP="00DE16D0">
      <w:pPr>
        <w:widowControl w:val="0"/>
        <w:ind w:left="567" w:hanging="567"/>
        <w:rPr>
          <w:color w:val="000000"/>
          <w:sz w:val="22"/>
          <w:szCs w:val="22"/>
        </w:rPr>
      </w:pPr>
    </w:p>
    <w:p w14:paraId="3338B117" w14:textId="77777777" w:rsidR="00200F8F" w:rsidRPr="00F93FFA" w:rsidRDefault="00200F8F" w:rsidP="00DE16D0">
      <w:pPr>
        <w:widowControl w:val="0"/>
        <w:ind w:left="567" w:hanging="567"/>
        <w:rPr>
          <w:color w:val="000000"/>
          <w:sz w:val="22"/>
          <w:szCs w:val="22"/>
        </w:rPr>
      </w:pPr>
      <w:r w:rsidRPr="00F93FFA">
        <w:rPr>
          <w:color w:val="000000"/>
          <w:sz w:val="22"/>
          <w:szCs w:val="22"/>
        </w:rPr>
        <w:t>Gali būti tiekiamos ne visų dydžių pakuotės.</w:t>
      </w:r>
    </w:p>
    <w:p w14:paraId="20EE9B38" w14:textId="77777777" w:rsidR="003646A0" w:rsidRPr="00F93FFA" w:rsidRDefault="003646A0" w:rsidP="00DE16D0">
      <w:pPr>
        <w:widowControl w:val="0"/>
        <w:ind w:left="567" w:hanging="567"/>
        <w:rPr>
          <w:color w:val="000000"/>
          <w:sz w:val="22"/>
          <w:szCs w:val="22"/>
        </w:rPr>
      </w:pPr>
    </w:p>
    <w:p w14:paraId="7CC58157" w14:textId="77777777" w:rsidR="003646A0" w:rsidRPr="00F93FFA" w:rsidRDefault="003646A0" w:rsidP="00C94C5B">
      <w:pPr>
        <w:keepNext/>
        <w:widowControl w:val="0"/>
        <w:ind w:left="567" w:hanging="567"/>
        <w:rPr>
          <w:b/>
          <w:color w:val="000000"/>
          <w:sz w:val="22"/>
          <w:szCs w:val="22"/>
        </w:rPr>
      </w:pPr>
      <w:r w:rsidRPr="00F93FFA">
        <w:rPr>
          <w:b/>
          <w:color w:val="000000"/>
          <w:sz w:val="22"/>
          <w:szCs w:val="22"/>
        </w:rPr>
        <w:t>6.6</w:t>
      </w:r>
      <w:r w:rsidRPr="00F93FFA">
        <w:rPr>
          <w:b/>
          <w:color w:val="000000"/>
          <w:sz w:val="22"/>
          <w:szCs w:val="22"/>
        </w:rPr>
        <w:tab/>
        <w:t xml:space="preserve">Specialūs reikalavimai </w:t>
      </w:r>
      <w:r w:rsidRPr="00F93FFA">
        <w:rPr>
          <w:rStyle w:val="Strong"/>
          <w:color w:val="000000"/>
          <w:sz w:val="22"/>
          <w:szCs w:val="22"/>
        </w:rPr>
        <w:t>atliekoms tvarkyti</w:t>
      </w:r>
    </w:p>
    <w:p w14:paraId="3FFFEA2E" w14:textId="77777777" w:rsidR="003646A0" w:rsidRPr="00F93FFA" w:rsidRDefault="003646A0" w:rsidP="00C94C5B">
      <w:pPr>
        <w:keepNext/>
        <w:widowControl w:val="0"/>
        <w:ind w:left="567" w:hanging="567"/>
        <w:rPr>
          <w:color w:val="000000"/>
          <w:sz w:val="22"/>
          <w:szCs w:val="22"/>
        </w:rPr>
      </w:pPr>
    </w:p>
    <w:p w14:paraId="57C7BF0D" w14:textId="77777777" w:rsidR="003646A0" w:rsidRPr="00F93FFA" w:rsidRDefault="003646A0" w:rsidP="00DE16D0">
      <w:pPr>
        <w:widowControl w:val="0"/>
        <w:ind w:left="567" w:hanging="567"/>
        <w:rPr>
          <w:color w:val="000000"/>
          <w:sz w:val="22"/>
          <w:szCs w:val="22"/>
        </w:rPr>
      </w:pPr>
      <w:r w:rsidRPr="00F93FFA">
        <w:rPr>
          <w:noProof/>
          <w:sz w:val="22"/>
          <w:szCs w:val="22"/>
        </w:rPr>
        <w:t>Nesuvartotą vaistinį preparatą ar atliekas reikia tvarkyti laikantis vietinių reikalavimų</w:t>
      </w:r>
      <w:r w:rsidRPr="00F93FFA">
        <w:rPr>
          <w:color w:val="000000"/>
          <w:sz w:val="22"/>
          <w:szCs w:val="22"/>
        </w:rPr>
        <w:t>.</w:t>
      </w:r>
    </w:p>
    <w:p w14:paraId="24F9357C" w14:textId="77777777" w:rsidR="003646A0" w:rsidRPr="00F93FFA" w:rsidRDefault="003646A0" w:rsidP="00DE16D0">
      <w:pPr>
        <w:widowControl w:val="0"/>
        <w:ind w:left="567" w:hanging="567"/>
        <w:rPr>
          <w:color w:val="000000"/>
          <w:sz w:val="22"/>
          <w:szCs w:val="22"/>
        </w:rPr>
      </w:pPr>
    </w:p>
    <w:p w14:paraId="07858EC5" w14:textId="77777777" w:rsidR="003646A0" w:rsidRPr="00F93FFA" w:rsidRDefault="003646A0" w:rsidP="00DE16D0">
      <w:pPr>
        <w:widowControl w:val="0"/>
        <w:ind w:left="567" w:hanging="567"/>
        <w:rPr>
          <w:color w:val="000000"/>
          <w:sz w:val="22"/>
          <w:szCs w:val="22"/>
        </w:rPr>
      </w:pPr>
    </w:p>
    <w:p w14:paraId="29C2E24D"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7.</w:t>
      </w:r>
      <w:r w:rsidRPr="00F93FFA">
        <w:rPr>
          <w:b/>
          <w:caps/>
          <w:color w:val="000000"/>
          <w:sz w:val="22"/>
          <w:szCs w:val="22"/>
        </w:rPr>
        <w:tab/>
      </w:r>
      <w:r w:rsidR="006D33A7" w:rsidRPr="00F93FFA">
        <w:rPr>
          <w:b/>
          <w:caps/>
          <w:noProof/>
          <w:sz w:val="22"/>
          <w:szCs w:val="22"/>
          <w:lang w:bidi="lt-LT"/>
        </w:rPr>
        <w:t>REGISTRUOTOJAS</w:t>
      </w:r>
    </w:p>
    <w:p w14:paraId="3470696F" w14:textId="77777777" w:rsidR="003646A0" w:rsidRPr="00F93FFA" w:rsidRDefault="003646A0" w:rsidP="00C94C5B">
      <w:pPr>
        <w:keepNext/>
        <w:widowControl w:val="0"/>
        <w:ind w:left="567" w:hanging="567"/>
        <w:rPr>
          <w:color w:val="000000"/>
          <w:sz w:val="22"/>
          <w:szCs w:val="22"/>
        </w:rPr>
      </w:pPr>
    </w:p>
    <w:p w14:paraId="57898969" w14:textId="77777777" w:rsidR="003646A0" w:rsidRPr="00F93FFA" w:rsidRDefault="003646A0" w:rsidP="00C94C5B">
      <w:pPr>
        <w:keepNext/>
        <w:widowControl w:val="0"/>
        <w:rPr>
          <w:color w:val="000000"/>
          <w:sz w:val="22"/>
          <w:szCs w:val="22"/>
        </w:rPr>
      </w:pPr>
      <w:r w:rsidRPr="00F93FFA">
        <w:rPr>
          <w:color w:val="000000"/>
          <w:sz w:val="22"/>
          <w:szCs w:val="22"/>
        </w:rPr>
        <w:t>Novartis Europharm Limited</w:t>
      </w:r>
    </w:p>
    <w:p w14:paraId="526962ED" w14:textId="77777777" w:rsidR="008D67C4" w:rsidRPr="00F93FFA" w:rsidRDefault="008D67C4" w:rsidP="00C94C5B">
      <w:pPr>
        <w:keepNext/>
        <w:widowControl w:val="0"/>
        <w:rPr>
          <w:color w:val="000000"/>
          <w:sz w:val="22"/>
          <w:szCs w:val="22"/>
        </w:rPr>
      </w:pPr>
      <w:r w:rsidRPr="00F93FFA">
        <w:rPr>
          <w:color w:val="000000"/>
          <w:sz w:val="22"/>
          <w:szCs w:val="22"/>
        </w:rPr>
        <w:t>Vista Building</w:t>
      </w:r>
    </w:p>
    <w:p w14:paraId="3004F983" w14:textId="77777777" w:rsidR="008D67C4" w:rsidRPr="00F93FFA" w:rsidRDefault="008D67C4" w:rsidP="00C94C5B">
      <w:pPr>
        <w:keepNext/>
        <w:widowControl w:val="0"/>
        <w:rPr>
          <w:color w:val="000000"/>
          <w:sz w:val="22"/>
          <w:szCs w:val="22"/>
        </w:rPr>
      </w:pPr>
      <w:r w:rsidRPr="00F93FFA">
        <w:rPr>
          <w:color w:val="000000"/>
          <w:sz w:val="22"/>
          <w:szCs w:val="22"/>
        </w:rPr>
        <w:t>Elm Park, Merrion Road</w:t>
      </w:r>
    </w:p>
    <w:p w14:paraId="49E4E125" w14:textId="77777777" w:rsidR="008D67C4" w:rsidRPr="00F93FFA" w:rsidRDefault="008D67C4" w:rsidP="00C94C5B">
      <w:pPr>
        <w:keepNext/>
        <w:widowControl w:val="0"/>
        <w:rPr>
          <w:color w:val="000000"/>
          <w:sz w:val="22"/>
          <w:szCs w:val="22"/>
        </w:rPr>
      </w:pPr>
      <w:r w:rsidRPr="00F93FFA">
        <w:rPr>
          <w:color w:val="000000"/>
          <w:sz w:val="22"/>
          <w:szCs w:val="22"/>
        </w:rPr>
        <w:t>Dublin 4</w:t>
      </w:r>
    </w:p>
    <w:p w14:paraId="6C9E1803" w14:textId="77777777" w:rsidR="003646A0" w:rsidRPr="00F93FFA" w:rsidRDefault="008D67C4" w:rsidP="00DE16D0">
      <w:pPr>
        <w:pStyle w:val="EndnoteText"/>
        <w:widowControl w:val="0"/>
        <w:tabs>
          <w:tab w:val="clear" w:pos="567"/>
        </w:tabs>
        <w:rPr>
          <w:color w:val="000000"/>
          <w:szCs w:val="22"/>
          <w:lang w:val="lt-LT"/>
        </w:rPr>
      </w:pPr>
      <w:r w:rsidRPr="00F93FFA">
        <w:rPr>
          <w:color w:val="000000"/>
        </w:rPr>
        <w:t>Airija</w:t>
      </w:r>
    </w:p>
    <w:p w14:paraId="080C278D" w14:textId="77777777" w:rsidR="003646A0" w:rsidRPr="00F93FFA" w:rsidRDefault="003646A0" w:rsidP="00DE16D0">
      <w:pPr>
        <w:widowControl w:val="0"/>
        <w:ind w:left="567" w:hanging="567"/>
        <w:rPr>
          <w:color w:val="000000"/>
          <w:sz w:val="22"/>
          <w:szCs w:val="22"/>
        </w:rPr>
      </w:pPr>
    </w:p>
    <w:p w14:paraId="5555F475" w14:textId="77777777" w:rsidR="003646A0" w:rsidRPr="00F93FFA" w:rsidRDefault="003646A0" w:rsidP="00DE16D0">
      <w:pPr>
        <w:widowControl w:val="0"/>
        <w:ind w:left="567" w:hanging="567"/>
        <w:rPr>
          <w:color w:val="000000"/>
          <w:sz w:val="22"/>
          <w:szCs w:val="22"/>
        </w:rPr>
      </w:pPr>
    </w:p>
    <w:p w14:paraId="5D901B19"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8.</w:t>
      </w:r>
      <w:r w:rsidRPr="00F93FFA">
        <w:rPr>
          <w:b/>
          <w:caps/>
          <w:color w:val="000000"/>
          <w:sz w:val="22"/>
          <w:szCs w:val="22"/>
        </w:rPr>
        <w:tab/>
      </w:r>
      <w:r w:rsidR="006D33A7" w:rsidRPr="00F93FFA">
        <w:rPr>
          <w:b/>
          <w:caps/>
          <w:noProof/>
          <w:sz w:val="22"/>
          <w:szCs w:val="22"/>
          <w:lang w:bidi="lt-LT"/>
        </w:rPr>
        <w:t>REGISTRACIJOS PAŽYMĖJIMO NUMERIS (-IAI)</w:t>
      </w:r>
    </w:p>
    <w:p w14:paraId="7C6C6BD0" w14:textId="77777777" w:rsidR="003646A0" w:rsidRPr="00F93FFA" w:rsidRDefault="003646A0" w:rsidP="00C94C5B">
      <w:pPr>
        <w:keepNext/>
        <w:widowControl w:val="0"/>
        <w:ind w:left="567" w:hanging="567"/>
        <w:rPr>
          <w:color w:val="000000"/>
          <w:sz w:val="22"/>
          <w:szCs w:val="22"/>
        </w:rPr>
      </w:pPr>
    </w:p>
    <w:p w14:paraId="73CFB207" w14:textId="77777777" w:rsidR="00200F8F" w:rsidRPr="00F93FFA" w:rsidRDefault="00200F8F" w:rsidP="00DE16D0">
      <w:pPr>
        <w:widowControl w:val="0"/>
        <w:ind w:left="567" w:hanging="567"/>
        <w:rPr>
          <w:color w:val="000000"/>
          <w:sz w:val="22"/>
          <w:szCs w:val="22"/>
        </w:rPr>
      </w:pPr>
      <w:r w:rsidRPr="00F93FFA">
        <w:rPr>
          <w:color w:val="000000"/>
          <w:sz w:val="22"/>
          <w:szCs w:val="22"/>
        </w:rPr>
        <w:t>EU/1/01/198/002-006</w:t>
      </w:r>
    </w:p>
    <w:p w14:paraId="01EDA511" w14:textId="77777777" w:rsidR="00200F8F" w:rsidRPr="00F93FFA" w:rsidRDefault="00200F8F" w:rsidP="00DE16D0">
      <w:pPr>
        <w:widowControl w:val="0"/>
        <w:ind w:left="567" w:hanging="567"/>
        <w:rPr>
          <w:color w:val="000000"/>
          <w:sz w:val="22"/>
          <w:szCs w:val="22"/>
        </w:rPr>
      </w:pPr>
    </w:p>
    <w:p w14:paraId="14E22DA8" w14:textId="77777777" w:rsidR="003646A0" w:rsidRPr="00F93FFA" w:rsidRDefault="003646A0" w:rsidP="00DE16D0">
      <w:pPr>
        <w:widowControl w:val="0"/>
        <w:ind w:left="567" w:hanging="567"/>
        <w:rPr>
          <w:color w:val="000000"/>
          <w:sz w:val="22"/>
          <w:szCs w:val="22"/>
        </w:rPr>
      </w:pPr>
    </w:p>
    <w:p w14:paraId="43FE4D84"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9.</w:t>
      </w:r>
      <w:r w:rsidRPr="00F93FFA">
        <w:rPr>
          <w:b/>
          <w:caps/>
          <w:color w:val="000000"/>
          <w:sz w:val="22"/>
          <w:szCs w:val="22"/>
        </w:rPr>
        <w:tab/>
      </w:r>
      <w:r w:rsidR="006D33A7" w:rsidRPr="00F93FFA">
        <w:rPr>
          <w:b/>
          <w:caps/>
          <w:noProof/>
          <w:sz w:val="22"/>
          <w:szCs w:val="22"/>
          <w:lang w:bidi="lt-LT"/>
        </w:rPr>
        <w:t>REGISTRAVIMO / PERREGISTRAVIMO DATA</w:t>
      </w:r>
    </w:p>
    <w:p w14:paraId="0DF09660" w14:textId="77777777" w:rsidR="003646A0" w:rsidRPr="00F93FFA" w:rsidRDefault="003646A0" w:rsidP="00C94C5B">
      <w:pPr>
        <w:keepNext/>
        <w:widowControl w:val="0"/>
        <w:ind w:left="567" w:hanging="567"/>
        <w:rPr>
          <w:color w:val="000000"/>
          <w:sz w:val="22"/>
          <w:szCs w:val="22"/>
        </w:rPr>
      </w:pPr>
    </w:p>
    <w:p w14:paraId="61C5970C" w14:textId="77777777" w:rsidR="003646A0" w:rsidRPr="00F93FFA" w:rsidRDefault="006D33A7" w:rsidP="00C94C5B">
      <w:pPr>
        <w:keepNext/>
        <w:widowControl w:val="0"/>
        <w:ind w:left="567" w:hanging="567"/>
        <w:rPr>
          <w:color w:val="000000"/>
          <w:sz w:val="22"/>
          <w:szCs w:val="22"/>
        </w:rPr>
      </w:pPr>
      <w:r w:rsidRPr="00F93FFA">
        <w:rPr>
          <w:color w:val="000000"/>
          <w:sz w:val="22"/>
          <w:szCs w:val="22"/>
          <w:lang w:bidi="lt-LT"/>
        </w:rPr>
        <w:t>Registravimo data</w:t>
      </w:r>
      <w:r w:rsidR="003646A0" w:rsidRPr="00F93FFA">
        <w:rPr>
          <w:color w:val="000000"/>
          <w:sz w:val="22"/>
          <w:szCs w:val="22"/>
        </w:rPr>
        <w:t xml:space="preserve"> 2001</w:t>
      </w:r>
      <w:r w:rsidRPr="00F93FFA">
        <w:rPr>
          <w:color w:val="000000"/>
          <w:sz w:val="22"/>
          <w:szCs w:val="22"/>
        </w:rPr>
        <w:t> </w:t>
      </w:r>
      <w:r w:rsidR="003646A0" w:rsidRPr="00F93FFA">
        <w:rPr>
          <w:color w:val="000000"/>
          <w:sz w:val="22"/>
          <w:szCs w:val="22"/>
        </w:rPr>
        <w:t>m. lapkričio 07</w:t>
      </w:r>
      <w:r w:rsidRPr="00F93FFA">
        <w:rPr>
          <w:color w:val="000000"/>
          <w:sz w:val="22"/>
          <w:szCs w:val="22"/>
        </w:rPr>
        <w:t> </w:t>
      </w:r>
      <w:r w:rsidR="003646A0" w:rsidRPr="00F93FFA">
        <w:rPr>
          <w:color w:val="000000"/>
          <w:sz w:val="22"/>
          <w:szCs w:val="22"/>
        </w:rPr>
        <w:t>d.</w:t>
      </w:r>
    </w:p>
    <w:p w14:paraId="74408DB5" w14:textId="77777777" w:rsidR="003646A0" w:rsidRPr="00F93FFA" w:rsidRDefault="00BB5232" w:rsidP="00DE16D0">
      <w:pPr>
        <w:widowControl w:val="0"/>
        <w:rPr>
          <w:color w:val="000000"/>
          <w:sz w:val="22"/>
          <w:szCs w:val="22"/>
        </w:rPr>
      </w:pPr>
      <w:r w:rsidRPr="00F93FFA">
        <w:rPr>
          <w:color w:val="000000"/>
          <w:sz w:val="22"/>
          <w:szCs w:val="22"/>
          <w:lang w:bidi="lt-LT"/>
        </w:rPr>
        <w:t>Paskutinio perregistravimo data</w:t>
      </w:r>
      <w:r w:rsidR="003646A0" w:rsidRPr="00F93FFA">
        <w:rPr>
          <w:color w:val="000000"/>
          <w:sz w:val="22"/>
          <w:szCs w:val="22"/>
        </w:rPr>
        <w:t xml:space="preserve"> 2006</w:t>
      </w:r>
      <w:r w:rsidRPr="00F93FFA">
        <w:rPr>
          <w:color w:val="000000"/>
          <w:sz w:val="22"/>
          <w:szCs w:val="22"/>
        </w:rPr>
        <w:t> </w:t>
      </w:r>
      <w:r w:rsidR="003646A0" w:rsidRPr="00F93FFA">
        <w:rPr>
          <w:color w:val="000000"/>
          <w:sz w:val="22"/>
          <w:szCs w:val="22"/>
        </w:rPr>
        <w:t>m. lapkričio 07</w:t>
      </w:r>
      <w:r w:rsidRPr="00F93FFA">
        <w:rPr>
          <w:color w:val="000000"/>
          <w:sz w:val="22"/>
          <w:szCs w:val="22"/>
        </w:rPr>
        <w:t> </w:t>
      </w:r>
      <w:r w:rsidR="003646A0" w:rsidRPr="00F93FFA">
        <w:rPr>
          <w:color w:val="000000"/>
          <w:sz w:val="22"/>
          <w:szCs w:val="22"/>
        </w:rPr>
        <w:t>d.</w:t>
      </w:r>
    </w:p>
    <w:p w14:paraId="6B895D99" w14:textId="77777777" w:rsidR="003646A0" w:rsidRPr="00F93FFA" w:rsidRDefault="003646A0" w:rsidP="00DE16D0">
      <w:pPr>
        <w:widowControl w:val="0"/>
        <w:ind w:left="567" w:hanging="567"/>
        <w:rPr>
          <w:color w:val="000000"/>
          <w:sz w:val="22"/>
          <w:szCs w:val="22"/>
        </w:rPr>
      </w:pPr>
    </w:p>
    <w:p w14:paraId="0FD8B8BC" w14:textId="77777777" w:rsidR="003646A0" w:rsidRPr="00F93FFA" w:rsidRDefault="003646A0" w:rsidP="00DE16D0">
      <w:pPr>
        <w:widowControl w:val="0"/>
        <w:ind w:left="567" w:hanging="567"/>
        <w:rPr>
          <w:color w:val="000000"/>
          <w:sz w:val="22"/>
          <w:szCs w:val="22"/>
        </w:rPr>
      </w:pPr>
    </w:p>
    <w:p w14:paraId="0833CB68" w14:textId="77777777" w:rsidR="003646A0" w:rsidRPr="00F93FFA" w:rsidRDefault="003646A0" w:rsidP="00DE16D0">
      <w:pPr>
        <w:widowControl w:val="0"/>
        <w:ind w:left="567" w:hanging="567"/>
        <w:rPr>
          <w:b/>
          <w:caps/>
          <w:color w:val="000000"/>
          <w:sz w:val="22"/>
          <w:szCs w:val="22"/>
        </w:rPr>
      </w:pPr>
      <w:r w:rsidRPr="00F93FFA">
        <w:rPr>
          <w:b/>
          <w:caps/>
          <w:color w:val="000000"/>
          <w:sz w:val="22"/>
          <w:szCs w:val="22"/>
        </w:rPr>
        <w:t>10.</w:t>
      </w:r>
      <w:r w:rsidRPr="00F93FFA">
        <w:rPr>
          <w:b/>
          <w:caps/>
          <w:color w:val="000000"/>
          <w:sz w:val="22"/>
          <w:szCs w:val="22"/>
        </w:rPr>
        <w:tab/>
        <w:t>teksto peržiūros data</w:t>
      </w:r>
    </w:p>
    <w:p w14:paraId="460F16B8" w14:textId="77777777" w:rsidR="003646A0" w:rsidRPr="00F93FFA" w:rsidRDefault="003646A0" w:rsidP="00DE16D0">
      <w:pPr>
        <w:widowControl w:val="0"/>
        <w:ind w:left="567" w:hanging="567"/>
        <w:rPr>
          <w:color w:val="000000"/>
          <w:sz w:val="22"/>
          <w:szCs w:val="22"/>
        </w:rPr>
      </w:pPr>
    </w:p>
    <w:p w14:paraId="4BE764B0" w14:textId="77777777" w:rsidR="003646A0" w:rsidRPr="00F93FFA" w:rsidRDefault="003646A0" w:rsidP="00DE16D0">
      <w:pPr>
        <w:widowControl w:val="0"/>
        <w:ind w:left="567" w:hanging="567"/>
        <w:rPr>
          <w:color w:val="000000"/>
          <w:sz w:val="22"/>
          <w:szCs w:val="22"/>
        </w:rPr>
      </w:pPr>
    </w:p>
    <w:p w14:paraId="070E9799" w14:textId="77777777" w:rsidR="003646A0" w:rsidRPr="00F93FFA" w:rsidRDefault="003646A0" w:rsidP="00C94C5B">
      <w:pPr>
        <w:keepLines/>
        <w:widowControl w:val="0"/>
        <w:rPr>
          <w:color w:val="000000"/>
          <w:sz w:val="22"/>
          <w:szCs w:val="22"/>
        </w:rPr>
      </w:pPr>
      <w:r w:rsidRPr="00F93FFA">
        <w:rPr>
          <w:color w:val="000000"/>
          <w:sz w:val="22"/>
          <w:szCs w:val="22"/>
        </w:rPr>
        <w:t>Išsami informacija apie šį vaistinį preparatą pateikiama Europos vaistų agentūros tinklalapyje http://www.ema.europa.eu</w:t>
      </w:r>
      <w:r w:rsidR="00BB5232" w:rsidRPr="00F93FFA">
        <w:rPr>
          <w:color w:val="000000"/>
          <w:sz w:val="22"/>
          <w:szCs w:val="22"/>
        </w:rPr>
        <w:t>/</w:t>
      </w:r>
    </w:p>
    <w:p w14:paraId="55DA6C06" w14:textId="77777777" w:rsidR="00DD0A16" w:rsidRPr="00F93FFA" w:rsidRDefault="003646A0" w:rsidP="00DE16D0">
      <w:pPr>
        <w:widowControl w:val="0"/>
        <w:rPr>
          <w:snapToGrid w:val="0"/>
          <w:sz w:val="22"/>
        </w:rPr>
      </w:pPr>
      <w:r w:rsidRPr="00F93FFA">
        <w:rPr>
          <w:color w:val="000000"/>
          <w:sz w:val="22"/>
          <w:szCs w:val="22"/>
        </w:rPr>
        <w:br w:type="page"/>
      </w:r>
      <w:r w:rsidR="00C3077F" w:rsidRPr="00F93FFA">
        <w:rPr>
          <w:noProof/>
          <w:snapToGrid w:val="0"/>
          <w:sz w:val="22"/>
          <w:szCs w:val="20"/>
          <w:lang w:val="en-US"/>
        </w:rPr>
        <w:lastRenderedPageBreak/>
        <w:drawing>
          <wp:inline distT="0" distB="0" distL="0" distR="0" wp14:anchorId="32C48860" wp14:editId="38B096A1">
            <wp:extent cx="198120" cy="17272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DD0A16" w:rsidRPr="00F93FFA">
        <w:rPr>
          <w:noProof/>
          <w:snapToGrid w:val="0"/>
          <w:sz w:val="22"/>
          <w:lang w:val="it-IT"/>
        </w:rPr>
        <w:t>Vykdoma papildoma šio vaistinio preparato stebėsena. Tai padės greitai nustatyti naują saugumo informaciją.</w:t>
      </w:r>
      <w:r w:rsidR="00DD0A16" w:rsidRPr="00F93FFA">
        <w:rPr>
          <w:snapToGrid w:val="0"/>
          <w:sz w:val="22"/>
        </w:rPr>
        <w:t xml:space="preserve"> </w:t>
      </w:r>
      <w:r w:rsidR="00DD0A16" w:rsidRPr="00F93FFA">
        <w:rPr>
          <w:noProof/>
          <w:snapToGrid w:val="0"/>
          <w:sz w:val="22"/>
        </w:rPr>
        <w:t>Sveikatos priežiūros specialistai turi pranešti apie bet kokias įtariamas nepageidaujamas reakcijas.</w:t>
      </w:r>
      <w:r w:rsidR="00DD0A16" w:rsidRPr="00F93FFA">
        <w:rPr>
          <w:snapToGrid w:val="0"/>
          <w:sz w:val="22"/>
        </w:rPr>
        <w:t xml:space="preserve"> </w:t>
      </w:r>
      <w:r w:rsidR="00DD0A16" w:rsidRPr="00F93FFA">
        <w:rPr>
          <w:noProof/>
          <w:snapToGrid w:val="0"/>
          <w:sz w:val="22"/>
        </w:rPr>
        <w:t>Apie tai, kaip pranešti apie nepageidaujamas reakcijas, žr.</w:t>
      </w:r>
      <w:r w:rsidR="00DD0A16" w:rsidRPr="00F93FFA">
        <w:rPr>
          <w:snapToGrid w:val="0"/>
          <w:sz w:val="22"/>
        </w:rPr>
        <w:t xml:space="preserve"> </w:t>
      </w:r>
      <w:r w:rsidR="00DD0A16" w:rsidRPr="00F93FFA">
        <w:rPr>
          <w:noProof/>
          <w:snapToGrid w:val="0"/>
          <w:sz w:val="22"/>
        </w:rPr>
        <w:t>4.8</w:t>
      </w:r>
      <w:r w:rsidR="00BB5232" w:rsidRPr="00F93FFA">
        <w:rPr>
          <w:noProof/>
          <w:snapToGrid w:val="0"/>
          <w:sz w:val="22"/>
        </w:rPr>
        <w:t> </w:t>
      </w:r>
      <w:r w:rsidR="00DD0A16" w:rsidRPr="00F93FFA">
        <w:rPr>
          <w:noProof/>
          <w:snapToGrid w:val="0"/>
          <w:sz w:val="22"/>
        </w:rPr>
        <w:t>skyriuje.</w:t>
      </w:r>
    </w:p>
    <w:p w14:paraId="376EF8CC" w14:textId="77777777" w:rsidR="00DD0A16" w:rsidRPr="00F93FFA" w:rsidRDefault="00DD0A16" w:rsidP="00DE16D0">
      <w:pPr>
        <w:widowControl w:val="0"/>
        <w:tabs>
          <w:tab w:val="left" w:pos="567"/>
        </w:tabs>
        <w:rPr>
          <w:snapToGrid w:val="0"/>
          <w:sz w:val="22"/>
        </w:rPr>
      </w:pPr>
    </w:p>
    <w:p w14:paraId="374B830D" w14:textId="77777777" w:rsidR="00DD0A16" w:rsidRPr="00F93FFA" w:rsidRDefault="00DD0A16" w:rsidP="00DE16D0">
      <w:pPr>
        <w:widowControl w:val="0"/>
        <w:tabs>
          <w:tab w:val="left" w:pos="567"/>
        </w:tabs>
        <w:rPr>
          <w:snapToGrid w:val="0"/>
          <w:sz w:val="22"/>
        </w:rPr>
      </w:pPr>
    </w:p>
    <w:p w14:paraId="66EF5480" w14:textId="77777777" w:rsidR="003646A0" w:rsidRPr="00F93FFA" w:rsidRDefault="003646A0" w:rsidP="00DE16D0">
      <w:pPr>
        <w:widowControl w:val="0"/>
        <w:ind w:left="567" w:hanging="567"/>
        <w:rPr>
          <w:b/>
          <w:color w:val="000000"/>
          <w:sz w:val="22"/>
          <w:szCs w:val="22"/>
        </w:rPr>
      </w:pPr>
      <w:r w:rsidRPr="00F93FFA">
        <w:rPr>
          <w:b/>
          <w:color w:val="000000"/>
          <w:sz w:val="22"/>
          <w:szCs w:val="22"/>
        </w:rPr>
        <w:t>1.</w:t>
      </w:r>
      <w:r w:rsidRPr="00F93FFA">
        <w:rPr>
          <w:b/>
          <w:color w:val="000000"/>
          <w:sz w:val="22"/>
          <w:szCs w:val="22"/>
        </w:rPr>
        <w:tab/>
      </w:r>
      <w:r w:rsidRPr="00F93FFA">
        <w:rPr>
          <w:b/>
          <w:caps/>
          <w:color w:val="000000"/>
          <w:sz w:val="22"/>
          <w:szCs w:val="22"/>
        </w:rPr>
        <w:t>VAISTINIO</w:t>
      </w:r>
      <w:r w:rsidRPr="00F93FFA">
        <w:rPr>
          <w:b/>
          <w:color w:val="000000"/>
          <w:sz w:val="22"/>
          <w:szCs w:val="22"/>
        </w:rPr>
        <w:t xml:space="preserve"> PREPARATO PAVADINIMAS</w:t>
      </w:r>
    </w:p>
    <w:p w14:paraId="068996FC" w14:textId="77777777" w:rsidR="003646A0" w:rsidRPr="00F93FFA" w:rsidRDefault="003646A0" w:rsidP="00DE16D0">
      <w:pPr>
        <w:widowControl w:val="0"/>
        <w:ind w:left="567" w:hanging="567"/>
        <w:rPr>
          <w:color w:val="000000"/>
          <w:sz w:val="22"/>
          <w:szCs w:val="22"/>
        </w:rPr>
      </w:pPr>
    </w:p>
    <w:p w14:paraId="6771E4E9" w14:textId="77777777" w:rsidR="003646A0" w:rsidRPr="00F93FFA" w:rsidRDefault="003646A0" w:rsidP="00DE16D0">
      <w:pPr>
        <w:widowControl w:val="0"/>
        <w:ind w:left="567" w:hanging="567"/>
        <w:rPr>
          <w:color w:val="000000"/>
          <w:sz w:val="22"/>
          <w:szCs w:val="22"/>
        </w:rPr>
      </w:pPr>
      <w:r w:rsidRPr="00F93FFA">
        <w:rPr>
          <w:color w:val="000000"/>
          <w:sz w:val="22"/>
          <w:szCs w:val="22"/>
        </w:rPr>
        <w:t>Glivec 100 mg plėvele dengtos tabletės</w:t>
      </w:r>
    </w:p>
    <w:p w14:paraId="1767B4A9" w14:textId="77777777" w:rsidR="00200F8F" w:rsidRPr="00F93FFA" w:rsidRDefault="00200F8F" w:rsidP="00DE16D0">
      <w:pPr>
        <w:widowControl w:val="0"/>
        <w:ind w:left="567" w:hanging="567"/>
        <w:rPr>
          <w:color w:val="000000"/>
          <w:sz w:val="22"/>
          <w:szCs w:val="22"/>
        </w:rPr>
      </w:pPr>
      <w:r w:rsidRPr="00F93FFA">
        <w:rPr>
          <w:color w:val="000000"/>
          <w:sz w:val="22"/>
          <w:szCs w:val="22"/>
        </w:rPr>
        <w:t>Glivec 400 mg plėvele dengtos tabletės</w:t>
      </w:r>
    </w:p>
    <w:p w14:paraId="008A6E19" w14:textId="77777777" w:rsidR="003646A0" w:rsidRPr="00F93FFA" w:rsidRDefault="003646A0" w:rsidP="00DE16D0">
      <w:pPr>
        <w:widowControl w:val="0"/>
        <w:ind w:left="567" w:hanging="567"/>
        <w:rPr>
          <w:color w:val="000000"/>
          <w:sz w:val="22"/>
          <w:szCs w:val="22"/>
        </w:rPr>
      </w:pPr>
    </w:p>
    <w:p w14:paraId="59AE591F" w14:textId="77777777" w:rsidR="003646A0" w:rsidRPr="00F93FFA" w:rsidRDefault="003646A0" w:rsidP="00DE16D0">
      <w:pPr>
        <w:widowControl w:val="0"/>
        <w:ind w:left="567" w:hanging="567"/>
        <w:rPr>
          <w:color w:val="000000"/>
          <w:sz w:val="22"/>
          <w:szCs w:val="22"/>
        </w:rPr>
      </w:pPr>
    </w:p>
    <w:p w14:paraId="109DE244"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2.</w:t>
      </w:r>
      <w:r w:rsidRPr="00F93FFA">
        <w:rPr>
          <w:b/>
          <w:caps/>
          <w:color w:val="000000"/>
          <w:sz w:val="22"/>
          <w:szCs w:val="22"/>
        </w:rPr>
        <w:tab/>
        <w:t>kokybinė ir kiekybinė sudėtis</w:t>
      </w:r>
    </w:p>
    <w:p w14:paraId="13FE0E24" w14:textId="77777777" w:rsidR="003646A0" w:rsidRPr="00F93FFA" w:rsidRDefault="003646A0" w:rsidP="00C94C5B">
      <w:pPr>
        <w:keepNext/>
        <w:widowControl w:val="0"/>
        <w:ind w:left="567" w:hanging="567"/>
        <w:rPr>
          <w:color w:val="000000"/>
          <w:sz w:val="22"/>
          <w:szCs w:val="22"/>
        </w:rPr>
      </w:pPr>
    </w:p>
    <w:p w14:paraId="147140D7" w14:textId="77777777" w:rsidR="00200F8F" w:rsidRPr="00F93FFA" w:rsidRDefault="00200F8F" w:rsidP="00C94C5B">
      <w:pPr>
        <w:keepNext/>
        <w:widowControl w:val="0"/>
        <w:ind w:left="567" w:hanging="567"/>
        <w:rPr>
          <w:color w:val="000000"/>
          <w:sz w:val="22"/>
          <w:szCs w:val="22"/>
          <w:u w:val="single"/>
        </w:rPr>
      </w:pPr>
      <w:r w:rsidRPr="00F93FFA">
        <w:rPr>
          <w:color w:val="000000"/>
          <w:sz w:val="22"/>
          <w:szCs w:val="22"/>
          <w:u w:val="single"/>
        </w:rPr>
        <w:t>Glivec 100 mg plėvele dengtos tabletės</w:t>
      </w:r>
    </w:p>
    <w:p w14:paraId="57D12FB3" w14:textId="7CD8B4F5" w:rsidR="003646A0" w:rsidRPr="00F93FFA" w:rsidRDefault="00A82D78" w:rsidP="00DE16D0">
      <w:pPr>
        <w:widowControl w:val="0"/>
        <w:rPr>
          <w:color w:val="000000"/>
          <w:sz w:val="22"/>
          <w:szCs w:val="22"/>
        </w:rPr>
      </w:pPr>
      <w:r w:rsidRPr="00F93FFA">
        <w:rPr>
          <w:color w:val="000000"/>
          <w:sz w:val="22"/>
          <w:szCs w:val="22"/>
        </w:rPr>
        <w:t xml:space="preserve">Kiekvienoje </w:t>
      </w:r>
      <w:r w:rsidR="003646A0" w:rsidRPr="00F93FFA">
        <w:rPr>
          <w:color w:val="000000"/>
          <w:sz w:val="22"/>
          <w:szCs w:val="22"/>
        </w:rPr>
        <w:t>plėvele dengtoje tabletėje yra 100 mg imatinibo (mesilato pavidalu)</w:t>
      </w:r>
      <w:r w:rsidR="00510466" w:rsidRPr="00F93FFA">
        <w:rPr>
          <w:color w:val="000000"/>
          <w:sz w:val="22"/>
          <w:szCs w:val="22"/>
        </w:rPr>
        <w:t xml:space="preserve"> (</w:t>
      </w:r>
      <w:r w:rsidRPr="00F93FFA">
        <w:rPr>
          <w:i/>
          <w:color w:val="000000"/>
          <w:sz w:val="22"/>
          <w:szCs w:val="22"/>
        </w:rPr>
        <w:t>i</w:t>
      </w:r>
      <w:r w:rsidR="00510466" w:rsidRPr="00F93FFA">
        <w:rPr>
          <w:i/>
          <w:color w:val="000000"/>
          <w:sz w:val="22"/>
          <w:szCs w:val="22"/>
        </w:rPr>
        <w:t>matinibum</w:t>
      </w:r>
      <w:r w:rsidR="00510466" w:rsidRPr="00F93FFA">
        <w:rPr>
          <w:color w:val="000000"/>
          <w:sz w:val="22"/>
          <w:szCs w:val="22"/>
        </w:rPr>
        <w:t>)</w:t>
      </w:r>
      <w:r w:rsidR="003646A0" w:rsidRPr="00F93FFA">
        <w:rPr>
          <w:color w:val="000000"/>
          <w:sz w:val="22"/>
          <w:szCs w:val="22"/>
        </w:rPr>
        <w:t>.</w:t>
      </w:r>
    </w:p>
    <w:p w14:paraId="0F1FDDB1" w14:textId="77777777" w:rsidR="003646A0" w:rsidRPr="00F93FFA" w:rsidRDefault="003646A0" w:rsidP="00DE16D0">
      <w:pPr>
        <w:widowControl w:val="0"/>
        <w:ind w:left="567" w:hanging="567"/>
        <w:rPr>
          <w:color w:val="000000"/>
          <w:sz w:val="22"/>
          <w:szCs w:val="22"/>
        </w:rPr>
      </w:pPr>
    </w:p>
    <w:p w14:paraId="548885D9" w14:textId="77777777" w:rsidR="00200F8F" w:rsidRPr="00F93FFA" w:rsidRDefault="00200F8F" w:rsidP="00C94C5B">
      <w:pPr>
        <w:keepNext/>
        <w:widowControl w:val="0"/>
        <w:ind w:left="567" w:hanging="567"/>
        <w:rPr>
          <w:color w:val="000000"/>
          <w:sz w:val="22"/>
          <w:szCs w:val="22"/>
          <w:u w:val="single"/>
        </w:rPr>
      </w:pPr>
      <w:r w:rsidRPr="00F93FFA">
        <w:rPr>
          <w:color w:val="000000"/>
          <w:sz w:val="22"/>
          <w:szCs w:val="22"/>
          <w:u w:val="single"/>
        </w:rPr>
        <w:t>Glivec 400 mg plėvele dengtos tabletės</w:t>
      </w:r>
    </w:p>
    <w:p w14:paraId="1483B8AA" w14:textId="20A31956" w:rsidR="00200F8F" w:rsidRPr="00F93FFA" w:rsidRDefault="00A82D78" w:rsidP="00DE16D0">
      <w:pPr>
        <w:widowControl w:val="0"/>
        <w:ind w:left="567" w:hanging="567"/>
        <w:rPr>
          <w:color w:val="000000"/>
          <w:sz w:val="22"/>
          <w:szCs w:val="22"/>
        </w:rPr>
      </w:pPr>
      <w:r w:rsidRPr="00F93FFA">
        <w:rPr>
          <w:color w:val="000000"/>
          <w:sz w:val="22"/>
          <w:szCs w:val="22"/>
        </w:rPr>
        <w:t xml:space="preserve">Kiekvienoje </w:t>
      </w:r>
      <w:r w:rsidR="00200F8F" w:rsidRPr="00F93FFA">
        <w:rPr>
          <w:color w:val="000000"/>
          <w:sz w:val="22"/>
          <w:szCs w:val="22"/>
        </w:rPr>
        <w:t>plėvele dengtoje tabletėje yra 400 mg imatinibo (mesilato pavidalu)</w:t>
      </w:r>
      <w:r w:rsidR="00510466" w:rsidRPr="00F93FFA">
        <w:rPr>
          <w:color w:val="000000"/>
          <w:sz w:val="22"/>
          <w:szCs w:val="22"/>
        </w:rPr>
        <w:t xml:space="preserve"> (</w:t>
      </w:r>
      <w:r w:rsidRPr="00F93FFA">
        <w:rPr>
          <w:i/>
          <w:color w:val="000000"/>
          <w:sz w:val="22"/>
          <w:szCs w:val="22"/>
        </w:rPr>
        <w:t>i</w:t>
      </w:r>
      <w:r w:rsidR="00510466" w:rsidRPr="00F93FFA">
        <w:rPr>
          <w:i/>
          <w:color w:val="000000"/>
          <w:sz w:val="22"/>
          <w:szCs w:val="22"/>
        </w:rPr>
        <w:t>matinibum</w:t>
      </w:r>
      <w:r w:rsidR="00510466" w:rsidRPr="00F93FFA">
        <w:rPr>
          <w:color w:val="000000"/>
          <w:sz w:val="22"/>
          <w:szCs w:val="22"/>
        </w:rPr>
        <w:t>)</w:t>
      </w:r>
      <w:r w:rsidR="00200F8F" w:rsidRPr="00F93FFA">
        <w:rPr>
          <w:color w:val="000000"/>
          <w:sz w:val="22"/>
          <w:szCs w:val="22"/>
        </w:rPr>
        <w:t>.</w:t>
      </w:r>
    </w:p>
    <w:p w14:paraId="1C501BA4" w14:textId="77777777" w:rsidR="00200F8F" w:rsidRPr="00F93FFA" w:rsidRDefault="00200F8F" w:rsidP="00DE16D0">
      <w:pPr>
        <w:widowControl w:val="0"/>
        <w:ind w:left="567" w:hanging="567"/>
        <w:rPr>
          <w:color w:val="000000"/>
          <w:sz w:val="22"/>
          <w:szCs w:val="22"/>
        </w:rPr>
      </w:pPr>
    </w:p>
    <w:p w14:paraId="484119CD" w14:textId="77777777" w:rsidR="003646A0" w:rsidRPr="00F93FFA" w:rsidRDefault="003646A0" w:rsidP="00DE16D0">
      <w:pPr>
        <w:widowControl w:val="0"/>
        <w:ind w:left="567" w:hanging="567"/>
        <w:rPr>
          <w:color w:val="000000"/>
          <w:sz w:val="22"/>
          <w:szCs w:val="22"/>
        </w:rPr>
      </w:pPr>
      <w:r w:rsidRPr="00F93FFA">
        <w:rPr>
          <w:color w:val="000000"/>
          <w:sz w:val="22"/>
          <w:szCs w:val="22"/>
        </w:rPr>
        <w:t>Visos pagalbinės medžiagos išvardytos 6.1</w:t>
      </w:r>
      <w:r w:rsidR="00BB5232" w:rsidRPr="00F93FFA">
        <w:rPr>
          <w:color w:val="000000"/>
          <w:sz w:val="22"/>
          <w:szCs w:val="22"/>
        </w:rPr>
        <w:t> </w:t>
      </w:r>
      <w:r w:rsidRPr="00F93FFA">
        <w:rPr>
          <w:color w:val="000000"/>
          <w:sz w:val="22"/>
          <w:szCs w:val="22"/>
        </w:rPr>
        <w:t>skyriuje.</w:t>
      </w:r>
    </w:p>
    <w:p w14:paraId="0487A24C" w14:textId="77777777" w:rsidR="003646A0" w:rsidRPr="00F93FFA" w:rsidRDefault="003646A0" w:rsidP="00DE16D0">
      <w:pPr>
        <w:widowControl w:val="0"/>
        <w:ind w:left="567" w:hanging="567"/>
        <w:rPr>
          <w:color w:val="000000"/>
          <w:sz w:val="22"/>
          <w:szCs w:val="22"/>
        </w:rPr>
      </w:pPr>
    </w:p>
    <w:p w14:paraId="6269E266" w14:textId="77777777" w:rsidR="003646A0" w:rsidRPr="00F93FFA" w:rsidRDefault="003646A0" w:rsidP="00DE16D0">
      <w:pPr>
        <w:widowControl w:val="0"/>
        <w:ind w:left="567" w:hanging="567"/>
        <w:rPr>
          <w:color w:val="000000"/>
          <w:sz w:val="22"/>
          <w:szCs w:val="22"/>
        </w:rPr>
      </w:pPr>
    </w:p>
    <w:p w14:paraId="131F4404" w14:textId="77777777" w:rsidR="003646A0" w:rsidRPr="00F93FFA" w:rsidRDefault="003646A0" w:rsidP="00C94C5B">
      <w:pPr>
        <w:keepNext/>
        <w:widowControl w:val="0"/>
        <w:ind w:left="567" w:hanging="567"/>
        <w:rPr>
          <w:b/>
          <w:caps/>
          <w:color w:val="000000"/>
          <w:sz w:val="22"/>
          <w:szCs w:val="22"/>
        </w:rPr>
      </w:pPr>
      <w:r w:rsidRPr="00F93FFA">
        <w:rPr>
          <w:b/>
          <w:caps/>
          <w:color w:val="000000"/>
          <w:sz w:val="22"/>
          <w:szCs w:val="22"/>
        </w:rPr>
        <w:t>3.</w:t>
      </w:r>
      <w:r w:rsidRPr="00F93FFA">
        <w:rPr>
          <w:b/>
          <w:caps/>
          <w:color w:val="000000"/>
          <w:sz w:val="22"/>
          <w:szCs w:val="22"/>
        </w:rPr>
        <w:tab/>
      </w:r>
      <w:r w:rsidRPr="00F93FFA">
        <w:rPr>
          <w:b/>
          <w:caps/>
          <w:noProof/>
          <w:sz w:val="22"/>
          <w:szCs w:val="22"/>
        </w:rPr>
        <w:t>FARMACINĖ</w:t>
      </w:r>
      <w:r w:rsidRPr="00F93FFA">
        <w:rPr>
          <w:b/>
          <w:caps/>
          <w:color w:val="000000"/>
          <w:sz w:val="22"/>
          <w:szCs w:val="22"/>
        </w:rPr>
        <w:t xml:space="preserve"> forma</w:t>
      </w:r>
    </w:p>
    <w:p w14:paraId="31810294" w14:textId="77777777" w:rsidR="003646A0" w:rsidRPr="00F93FFA" w:rsidRDefault="003646A0" w:rsidP="00C94C5B">
      <w:pPr>
        <w:keepNext/>
        <w:widowControl w:val="0"/>
        <w:ind w:left="567" w:hanging="567"/>
        <w:rPr>
          <w:color w:val="000000"/>
          <w:sz w:val="22"/>
          <w:szCs w:val="22"/>
        </w:rPr>
      </w:pPr>
    </w:p>
    <w:p w14:paraId="3D4CB94A" w14:textId="77777777" w:rsidR="003646A0" w:rsidRPr="00F93FFA" w:rsidRDefault="003646A0" w:rsidP="00DE16D0">
      <w:pPr>
        <w:widowControl w:val="0"/>
        <w:ind w:left="567" w:hanging="567"/>
        <w:rPr>
          <w:color w:val="000000"/>
          <w:sz w:val="22"/>
          <w:szCs w:val="22"/>
        </w:rPr>
      </w:pPr>
      <w:r w:rsidRPr="00F93FFA">
        <w:rPr>
          <w:color w:val="000000"/>
          <w:sz w:val="22"/>
          <w:szCs w:val="22"/>
        </w:rPr>
        <w:t>Plėvele dengta tabletė</w:t>
      </w:r>
    </w:p>
    <w:p w14:paraId="436D1756" w14:textId="77777777" w:rsidR="003646A0" w:rsidRPr="00F93FFA" w:rsidRDefault="003646A0" w:rsidP="00DE16D0">
      <w:pPr>
        <w:widowControl w:val="0"/>
        <w:ind w:left="567" w:hanging="567"/>
        <w:rPr>
          <w:color w:val="000000"/>
          <w:sz w:val="22"/>
          <w:szCs w:val="22"/>
        </w:rPr>
      </w:pPr>
    </w:p>
    <w:p w14:paraId="4B2514B6" w14:textId="77777777" w:rsidR="00200F8F" w:rsidRPr="00F93FFA" w:rsidRDefault="00200F8F" w:rsidP="00C94C5B">
      <w:pPr>
        <w:keepNext/>
        <w:widowControl w:val="0"/>
        <w:ind w:left="567" w:hanging="567"/>
        <w:rPr>
          <w:color w:val="000000"/>
          <w:sz w:val="22"/>
          <w:szCs w:val="22"/>
        </w:rPr>
      </w:pPr>
      <w:r w:rsidRPr="00F93FFA">
        <w:rPr>
          <w:color w:val="000000"/>
          <w:sz w:val="22"/>
          <w:szCs w:val="22"/>
          <w:u w:val="single"/>
        </w:rPr>
        <w:t>Glivec 100 mg plėvele dengtos tabletės</w:t>
      </w:r>
    </w:p>
    <w:p w14:paraId="6898551E" w14:textId="77777777" w:rsidR="003646A0" w:rsidRPr="00F93FFA" w:rsidRDefault="003646A0" w:rsidP="00DE16D0">
      <w:pPr>
        <w:widowControl w:val="0"/>
        <w:rPr>
          <w:color w:val="000000"/>
          <w:sz w:val="22"/>
          <w:szCs w:val="22"/>
        </w:rPr>
      </w:pPr>
      <w:r w:rsidRPr="00F93FFA">
        <w:rPr>
          <w:color w:val="000000"/>
          <w:sz w:val="22"/>
          <w:szCs w:val="22"/>
        </w:rPr>
        <w:t>Tamsiai geltonos ar rudai oranžinės plėvele dengtos apvalios tabletės, kurių vienoje pusėje pažymėta “NVR”, kitoje pusėje yra vagelė ir “SA” ženklas.</w:t>
      </w:r>
    </w:p>
    <w:p w14:paraId="37065948" w14:textId="77777777" w:rsidR="00200F8F" w:rsidRPr="00F93FFA" w:rsidRDefault="00200F8F" w:rsidP="00DE16D0">
      <w:pPr>
        <w:widowControl w:val="0"/>
        <w:rPr>
          <w:color w:val="000000"/>
          <w:sz w:val="22"/>
          <w:szCs w:val="22"/>
        </w:rPr>
      </w:pPr>
    </w:p>
    <w:p w14:paraId="099C02E4" w14:textId="77777777" w:rsidR="00200F8F" w:rsidRPr="00F93FFA" w:rsidRDefault="00200F8F" w:rsidP="00C94C5B">
      <w:pPr>
        <w:keepNext/>
        <w:widowControl w:val="0"/>
        <w:rPr>
          <w:color w:val="000000"/>
          <w:sz w:val="22"/>
          <w:szCs w:val="22"/>
        </w:rPr>
      </w:pPr>
      <w:r w:rsidRPr="00F93FFA">
        <w:rPr>
          <w:color w:val="000000"/>
          <w:sz w:val="22"/>
          <w:szCs w:val="22"/>
          <w:u w:val="single"/>
        </w:rPr>
        <w:t>Glivec 400 mg plėvele dengtos tabletės</w:t>
      </w:r>
    </w:p>
    <w:p w14:paraId="41278F3D" w14:textId="77777777" w:rsidR="003646A0" w:rsidRPr="00F93FFA" w:rsidRDefault="00200F8F" w:rsidP="00DE16D0">
      <w:pPr>
        <w:widowControl w:val="0"/>
        <w:rPr>
          <w:color w:val="000000"/>
          <w:sz w:val="22"/>
          <w:szCs w:val="22"/>
        </w:rPr>
      </w:pPr>
      <w:r w:rsidRPr="00F93FFA">
        <w:rPr>
          <w:color w:val="000000"/>
          <w:sz w:val="22"/>
          <w:szCs w:val="22"/>
        </w:rPr>
        <w:t>Tamsiai geltonos ar rusvai oranžinės, ovalios, abipus išgaubtos su užapvali</w:t>
      </w:r>
      <w:r w:rsidR="00FB70EF" w:rsidRPr="00F93FFA">
        <w:rPr>
          <w:color w:val="000000"/>
          <w:sz w:val="22"/>
          <w:szCs w:val="22"/>
        </w:rPr>
        <w:t>n</w:t>
      </w:r>
      <w:r w:rsidRPr="00F93FFA">
        <w:rPr>
          <w:color w:val="000000"/>
          <w:sz w:val="22"/>
          <w:szCs w:val="22"/>
        </w:rPr>
        <w:t>tais kraštais tabletės, kurių vienoje pusėje pažymėta “glivec”.</w:t>
      </w:r>
    </w:p>
    <w:p w14:paraId="25AEE9A8" w14:textId="77777777" w:rsidR="003646A0" w:rsidRPr="00F93FFA" w:rsidRDefault="003646A0" w:rsidP="00DE16D0">
      <w:pPr>
        <w:widowControl w:val="0"/>
        <w:ind w:left="567" w:hanging="567"/>
        <w:rPr>
          <w:color w:val="000000"/>
          <w:sz w:val="22"/>
          <w:szCs w:val="22"/>
        </w:rPr>
      </w:pPr>
    </w:p>
    <w:p w14:paraId="4246AB59" w14:textId="77777777" w:rsidR="00200F8F" w:rsidRPr="00F93FFA" w:rsidRDefault="00200F8F" w:rsidP="00DE16D0">
      <w:pPr>
        <w:widowControl w:val="0"/>
        <w:ind w:left="567" w:hanging="567"/>
        <w:rPr>
          <w:color w:val="000000"/>
          <w:sz w:val="22"/>
          <w:szCs w:val="22"/>
        </w:rPr>
      </w:pPr>
    </w:p>
    <w:p w14:paraId="2C283C97" w14:textId="77777777" w:rsidR="003646A0" w:rsidRPr="00F93FFA" w:rsidRDefault="003646A0" w:rsidP="008B45F8">
      <w:pPr>
        <w:keepNext/>
        <w:widowControl w:val="0"/>
        <w:ind w:left="567" w:hanging="567"/>
        <w:rPr>
          <w:b/>
          <w:caps/>
          <w:color w:val="000000"/>
          <w:sz w:val="22"/>
          <w:szCs w:val="22"/>
        </w:rPr>
      </w:pPr>
      <w:r w:rsidRPr="00F93FFA">
        <w:rPr>
          <w:b/>
          <w:caps/>
          <w:color w:val="000000"/>
          <w:sz w:val="22"/>
          <w:szCs w:val="22"/>
        </w:rPr>
        <w:t>4.</w:t>
      </w:r>
      <w:r w:rsidRPr="00F93FFA">
        <w:rPr>
          <w:b/>
          <w:caps/>
          <w:color w:val="000000"/>
          <w:sz w:val="22"/>
          <w:szCs w:val="22"/>
        </w:rPr>
        <w:tab/>
        <w:t>klinikinĖ informacija</w:t>
      </w:r>
    </w:p>
    <w:p w14:paraId="1EA93CBB" w14:textId="77777777" w:rsidR="003646A0" w:rsidRPr="00F93FFA" w:rsidRDefault="003646A0" w:rsidP="008B45F8">
      <w:pPr>
        <w:keepNext/>
        <w:widowControl w:val="0"/>
        <w:ind w:left="567" w:hanging="567"/>
        <w:rPr>
          <w:color w:val="000000"/>
          <w:sz w:val="22"/>
          <w:szCs w:val="22"/>
        </w:rPr>
      </w:pPr>
    </w:p>
    <w:p w14:paraId="5D8B9D89" w14:textId="77777777" w:rsidR="003646A0" w:rsidRPr="00F93FFA" w:rsidRDefault="003646A0" w:rsidP="008B45F8">
      <w:pPr>
        <w:keepNext/>
        <w:widowControl w:val="0"/>
        <w:ind w:left="567" w:hanging="567"/>
        <w:rPr>
          <w:b/>
          <w:color w:val="000000"/>
          <w:sz w:val="22"/>
          <w:szCs w:val="22"/>
        </w:rPr>
      </w:pPr>
      <w:r w:rsidRPr="00F93FFA">
        <w:rPr>
          <w:b/>
          <w:color w:val="000000"/>
          <w:sz w:val="22"/>
          <w:szCs w:val="22"/>
        </w:rPr>
        <w:t>4.1</w:t>
      </w:r>
      <w:r w:rsidRPr="00F93FFA">
        <w:rPr>
          <w:b/>
          <w:color w:val="000000"/>
          <w:sz w:val="22"/>
          <w:szCs w:val="22"/>
        </w:rPr>
        <w:tab/>
        <w:t>Terapinės indikacijos</w:t>
      </w:r>
    </w:p>
    <w:p w14:paraId="5027752C" w14:textId="77777777" w:rsidR="003646A0" w:rsidRPr="00F93FFA" w:rsidRDefault="003646A0" w:rsidP="008B45F8">
      <w:pPr>
        <w:keepNext/>
        <w:widowControl w:val="0"/>
        <w:ind w:left="567" w:hanging="567"/>
        <w:rPr>
          <w:color w:val="000000"/>
          <w:sz w:val="22"/>
          <w:szCs w:val="22"/>
        </w:rPr>
      </w:pPr>
    </w:p>
    <w:p w14:paraId="14C7021D" w14:textId="77777777" w:rsidR="003646A0" w:rsidRPr="00F93FFA" w:rsidRDefault="003646A0" w:rsidP="008B45F8">
      <w:pPr>
        <w:keepNext/>
        <w:widowControl w:val="0"/>
        <w:rPr>
          <w:color w:val="000000"/>
          <w:sz w:val="22"/>
          <w:szCs w:val="22"/>
        </w:rPr>
      </w:pPr>
      <w:r w:rsidRPr="00F93FFA">
        <w:rPr>
          <w:color w:val="000000"/>
          <w:sz w:val="22"/>
          <w:szCs w:val="22"/>
        </w:rPr>
        <w:t>Glivec skiriama gydyti</w:t>
      </w:r>
    </w:p>
    <w:p w14:paraId="31A8BFF1" w14:textId="77777777" w:rsidR="003646A0" w:rsidRPr="00F93FFA" w:rsidRDefault="003646A0" w:rsidP="00DE16D0">
      <w:pPr>
        <w:widowControl w:val="0"/>
        <w:numPr>
          <w:ilvl w:val="0"/>
          <w:numId w:val="9"/>
        </w:numPr>
        <w:tabs>
          <w:tab w:val="clear" w:pos="720"/>
        </w:tabs>
        <w:ind w:left="540" w:hanging="540"/>
        <w:rPr>
          <w:color w:val="000000"/>
          <w:sz w:val="22"/>
          <w:szCs w:val="22"/>
        </w:rPr>
      </w:pPr>
      <w:r w:rsidRPr="00F93FFA">
        <w:rPr>
          <w:color w:val="000000"/>
          <w:sz w:val="22"/>
          <w:szCs w:val="22"/>
        </w:rPr>
        <w:t xml:space="preserve">suaugusiuosius ir vaikus, kuriems naujai diagnozuota </w:t>
      </w:r>
      <w:r w:rsidRPr="00F93FFA">
        <w:rPr>
          <w:i/>
          <w:color w:val="000000"/>
          <w:sz w:val="22"/>
          <w:szCs w:val="22"/>
        </w:rPr>
        <w:t>Philadelphia</w:t>
      </w:r>
      <w:r w:rsidRPr="00F93FFA">
        <w:rPr>
          <w:color w:val="000000"/>
          <w:sz w:val="22"/>
          <w:szCs w:val="22"/>
        </w:rPr>
        <w:t xml:space="preserve"> chromosomai (bcr-abl) teigiama (Ph+) lėtinė mieloleukemija (LML) ir kuriems kaulų čiulpų transplantacija nėra pirmiausiai pasirenkamas gydymas.</w:t>
      </w:r>
    </w:p>
    <w:p w14:paraId="31D85D3D" w14:textId="77777777" w:rsidR="003646A0" w:rsidRPr="00F93FFA" w:rsidRDefault="003646A0" w:rsidP="00DE16D0">
      <w:pPr>
        <w:widowControl w:val="0"/>
        <w:numPr>
          <w:ilvl w:val="0"/>
          <w:numId w:val="8"/>
        </w:numPr>
        <w:tabs>
          <w:tab w:val="clear" w:pos="357"/>
        </w:tabs>
        <w:ind w:left="540" w:hanging="540"/>
        <w:rPr>
          <w:color w:val="000000"/>
          <w:sz w:val="22"/>
          <w:szCs w:val="22"/>
        </w:rPr>
      </w:pPr>
      <w:r w:rsidRPr="00F93FFA">
        <w:rPr>
          <w:color w:val="000000"/>
          <w:sz w:val="22"/>
          <w:szCs w:val="22"/>
        </w:rPr>
        <w:t>suaugusiuosius ir vaikus, kuriems yra Ph+ LML lėtinė fazė po neefektyvaus gydymo interferonu alfa arba akceleracijos fazė, ar blastinė krizė.</w:t>
      </w:r>
    </w:p>
    <w:p w14:paraId="547DBB16"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eastAsia="de-DE"/>
        </w:rPr>
      </w:pPr>
      <w:r w:rsidRPr="00F93FFA">
        <w:rPr>
          <w:rFonts w:eastAsia="MS Mincho"/>
          <w:color w:val="000000"/>
          <w:szCs w:val="22"/>
          <w:lang w:val="lt-LT" w:eastAsia="ja-JP"/>
        </w:rPr>
        <w:t xml:space="preserve">suaugusiųjų ir vaikų </w:t>
      </w:r>
      <w:r w:rsidRPr="00F93FFA">
        <w:rPr>
          <w:color w:val="000000"/>
          <w:szCs w:val="22"/>
          <w:lang w:val="lt-LT"/>
        </w:rPr>
        <w:t xml:space="preserve">naujai diagnozuotos </w:t>
      </w:r>
      <w:r w:rsidRPr="00F93FFA">
        <w:rPr>
          <w:i/>
          <w:color w:val="000000"/>
          <w:szCs w:val="22"/>
          <w:lang w:val="lt-LT"/>
        </w:rPr>
        <w:t>Philadelphia</w:t>
      </w:r>
      <w:r w:rsidRPr="00F93FFA">
        <w:rPr>
          <w:color w:val="000000"/>
          <w:szCs w:val="22"/>
          <w:lang w:val="lt-LT"/>
        </w:rPr>
        <w:t xml:space="preserve"> chromosomai teigiamos ūminės limfoleukemijos</w:t>
      </w:r>
      <w:r w:rsidRPr="00F93FFA">
        <w:rPr>
          <w:rFonts w:eastAsia="MS Mincho"/>
          <w:color w:val="000000"/>
          <w:szCs w:val="22"/>
          <w:lang w:val="lt-LT" w:eastAsia="ja-JP"/>
        </w:rPr>
        <w:t xml:space="preserve"> (Ph+ ŪLL) gydymui kartu su chemoterapija</w:t>
      </w:r>
      <w:r w:rsidRPr="00F93FFA">
        <w:rPr>
          <w:color w:val="000000"/>
          <w:szCs w:val="22"/>
          <w:lang w:val="lt-LT"/>
        </w:rPr>
        <w:t>.</w:t>
      </w:r>
    </w:p>
    <w:p w14:paraId="767F113B"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eastAsia="de-DE"/>
        </w:rPr>
      </w:pPr>
      <w:r w:rsidRPr="00F93FFA">
        <w:rPr>
          <w:rFonts w:eastAsia="MS Mincho"/>
          <w:color w:val="000000"/>
          <w:szCs w:val="22"/>
          <w:lang w:val="lt-LT" w:eastAsia="ja-JP"/>
        </w:rPr>
        <w:t>suaugusiųjų recidyvavusios ar refrakterinės Ph+ŪLL monoterapijai.</w:t>
      </w:r>
    </w:p>
    <w:p w14:paraId="03C50743" w14:textId="77777777" w:rsidR="003646A0" w:rsidRPr="00F93FFA" w:rsidRDefault="003646A0" w:rsidP="00DE16D0">
      <w:pPr>
        <w:pStyle w:val="EndnoteText"/>
        <w:widowControl w:val="0"/>
        <w:numPr>
          <w:ilvl w:val="0"/>
          <w:numId w:val="8"/>
        </w:numPr>
        <w:tabs>
          <w:tab w:val="clear" w:pos="357"/>
          <w:tab w:val="clear" w:pos="567"/>
        </w:tabs>
        <w:ind w:left="540" w:hanging="540"/>
        <w:rPr>
          <w:snapToGrid w:val="0"/>
          <w:color w:val="000000"/>
          <w:szCs w:val="22"/>
          <w:lang w:val="lt-LT"/>
        </w:rPr>
      </w:pPr>
      <w:r w:rsidRPr="00F93FFA">
        <w:rPr>
          <w:snapToGrid w:val="0"/>
          <w:color w:val="000000"/>
          <w:szCs w:val="22"/>
          <w:lang w:val="lt-LT"/>
        </w:rPr>
        <w:t>suaugusiųjų mielodisplazines ar mieloproliferacines ligas (MDS/MPL), susijusias su</w:t>
      </w:r>
      <w:r w:rsidRPr="00F93FFA">
        <w:rPr>
          <w:color w:val="000000"/>
          <w:szCs w:val="22"/>
          <w:lang w:val="lt-LT"/>
        </w:rPr>
        <w:t xml:space="preserve"> trombocitų kilmės augimo faktoriaus receptoriaus (</w:t>
      </w:r>
      <w:r w:rsidRPr="00F93FFA">
        <w:rPr>
          <w:i/>
          <w:color w:val="000000"/>
          <w:szCs w:val="22"/>
          <w:lang w:val="lt-LT"/>
        </w:rPr>
        <w:t>platelet-derived growth factor receptor</w:t>
      </w:r>
      <w:r w:rsidRPr="00F93FFA">
        <w:rPr>
          <w:color w:val="000000"/>
          <w:szCs w:val="22"/>
          <w:lang w:val="lt-LT"/>
        </w:rPr>
        <w:t>, PDGFR)</w:t>
      </w:r>
      <w:r w:rsidRPr="00F93FFA">
        <w:rPr>
          <w:snapToGrid w:val="0"/>
          <w:color w:val="000000"/>
          <w:szCs w:val="22"/>
          <w:lang w:val="lt-LT"/>
        </w:rPr>
        <w:t xml:space="preserve"> genų pakitimais.</w:t>
      </w:r>
    </w:p>
    <w:p w14:paraId="38B44E83" w14:textId="77777777" w:rsidR="003646A0" w:rsidRPr="00F93FFA" w:rsidRDefault="003646A0" w:rsidP="00DE16D0">
      <w:pPr>
        <w:widowControl w:val="0"/>
        <w:numPr>
          <w:ilvl w:val="0"/>
          <w:numId w:val="8"/>
        </w:numPr>
        <w:tabs>
          <w:tab w:val="clear" w:pos="357"/>
        </w:tabs>
        <w:ind w:left="540" w:hanging="540"/>
        <w:rPr>
          <w:color w:val="000000"/>
          <w:sz w:val="22"/>
          <w:szCs w:val="22"/>
          <w:lang w:eastAsia="ja-JP"/>
        </w:rPr>
      </w:pPr>
      <w:r w:rsidRPr="00F93FFA">
        <w:rPr>
          <w:color w:val="000000"/>
          <w:sz w:val="22"/>
          <w:szCs w:val="22"/>
          <w:lang w:eastAsia="ja-JP"/>
        </w:rPr>
        <w:t xml:space="preserve">suaugusiųjų progresavusį hipereozinofilijos sindromą (HES) ar (arba) lėtinę eozinofilinę leukemiją (LEL) su </w:t>
      </w:r>
      <w:r w:rsidRPr="00F93FFA">
        <w:rPr>
          <w:color w:val="000000"/>
          <w:sz w:val="22"/>
          <w:szCs w:val="22"/>
        </w:rPr>
        <w:t>FIP1L1-PDGFR</w:t>
      </w:r>
      <w:r w:rsidRPr="00F93FFA">
        <w:rPr>
          <w:color w:val="000000"/>
          <w:sz w:val="22"/>
          <w:szCs w:val="22"/>
        </w:rPr>
        <w:sym w:font="Symbol" w:char="F061"/>
      </w:r>
      <w:r w:rsidRPr="00F93FFA">
        <w:rPr>
          <w:color w:val="000000"/>
          <w:sz w:val="22"/>
          <w:szCs w:val="22"/>
        </w:rPr>
        <w:t xml:space="preserve"> pokyčiu.</w:t>
      </w:r>
    </w:p>
    <w:p w14:paraId="7834C1C4" w14:textId="77777777" w:rsidR="003646A0" w:rsidRPr="00F93FFA" w:rsidRDefault="003646A0" w:rsidP="00DE16D0">
      <w:pPr>
        <w:pStyle w:val="EndnoteText"/>
        <w:widowControl w:val="0"/>
        <w:tabs>
          <w:tab w:val="clear" w:pos="567"/>
        </w:tabs>
        <w:rPr>
          <w:color w:val="000000"/>
          <w:szCs w:val="22"/>
          <w:lang w:val="lt-LT"/>
        </w:rPr>
      </w:pPr>
    </w:p>
    <w:p w14:paraId="1AFA75AA" w14:textId="77777777" w:rsidR="003646A0" w:rsidRPr="00F93FFA" w:rsidRDefault="003646A0" w:rsidP="00DE16D0">
      <w:pPr>
        <w:widowControl w:val="0"/>
        <w:rPr>
          <w:color w:val="000000"/>
          <w:sz w:val="22"/>
          <w:szCs w:val="22"/>
        </w:rPr>
      </w:pPr>
      <w:r w:rsidRPr="00F93FFA">
        <w:rPr>
          <w:color w:val="000000"/>
          <w:sz w:val="22"/>
          <w:szCs w:val="22"/>
        </w:rPr>
        <w:t>Glivec poveikis kaulų čiulpų transplantacijos rezultatams nenustatytas.</w:t>
      </w:r>
    </w:p>
    <w:p w14:paraId="1580BF2C" w14:textId="77777777" w:rsidR="003646A0" w:rsidRPr="00F93FFA" w:rsidRDefault="003646A0" w:rsidP="00DE16D0">
      <w:pPr>
        <w:widowControl w:val="0"/>
        <w:rPr>
          <w:color w:val="000000"/>
          <w:sz w:val="22"/>
          <w:szCs w:val="22"/>
        </w:rPr>
      </w:pPr>
    </w:p>
    <w:p w14:paraId="0732A83F" w14:textId="77777777" w:rsidR="003646A0" w:rsidRPr="00F93FFA" w:rsidRDefault="003646A0" w:rsidP="008B45F8">
      <w:pPr>
        <w:keepNext/>
        <w:widowControl w:val="0"/>
        <w:rPr>
          <w:color w:val="000000"/>
          <w:sz w:val="22"/>
          <w:szCs w:val="22"/>
        </w:rPr>
      </w:pPr>
      <w:r w:rsidRPr="00F93FFA">
        <w:rPr>
          <w:color w:val="000000"/>
          <w:sz w:val="22"/>
          <w:szCs w:val="22"/>
        </w:rPr>
        <w:lastRenderedPageBreak/>
        <w:t>Glivec skiriama:</w:t>
      </w:r>
    </w:p>
    <w:p w14:paraId="3D6D2146" w14:textId="77777777" w:rsidR="003646A0" w:rsidRPr="00F93FFA" w:rsidRDefault="003646A0" w:rsidP="00DE16D0">
      <w:pPr>
        <w:widowControl w:val="0"/>
        <w:numPr>
          <w:ilvl w:val="0"/>
          <w:numId w:val="11"/>
        </w:numPr>
        <w:tabs>
          <w:tab w:val="clear" w:pos="227"/>
          <w:tab w:val="num" w:pos="540"/>
        </w:tabs>
        <w:ind w:left="540" w:hanging="540"/>
        <w:rPr>
          <w:color w:val="000000"/>
          <w:sz w:val="22"/>
          <w:szCs w:val="22"/>
        </w:rPr>
      </w:pPr>
      <w:r w:rsidRPr="00F93FFA">
        <w:rPr>
          <w:color w:val="000000"/>
          <w:sz w:val="22"/>
          <w:szCs w:val="22"/>
        </w:rPr>
        <w:t>suaugusiesiems, kuriems yra Kit (CD 117) teigiamas nerezekuotinas ir (ar) metastazavęs piktybinis virškinimo trakto stromos navikas (VTSN), gydyti.</w:t>
      </w:r>
    </w:p>
    <w:p w14:paraId="1EA25099" w14:textId="77777777" w:rsidR="003646A0" w:rsidRPr="00F93FFA" w:rsidRDefault="003646A0" w:rsidP="00DE16D0">
      <w:pPr>
        <w:widowControl w:val="0"/>
        <w:numPr>
          <w:ilvl w:val="0"/>
          <w:numId w:val="11"/>
        </w:numPr>
        <w:tabs>
          <w:tab w:val="clear" w:pos="227"/>
          <w:tab w:val="num" w:pos="540"/>
        </w:tabs>
        <w:ind w:left="540" w:hanging="540"/>
        <w:rPr>
          <w:color w:val="000000"/>
          <w:sz w:val="22"/>
          <w:szCs w:val="22"/>
        </w:rPr>
      </w:pPr>
      <w:r w:rsidRPr="00F93FFA">
        <w:rPr>
          <w:sz w:val="22"/>
          <w:szCs w:val="22"/>
        </w:rPr>
        <w:t xml:space="preserve">adjuvantiniam suaugusiųjų, kuriems po atliktos </w:t>
      </w:r>
      <w:r w:rsidRPr="00F93FFA">
        <w:rPr>
          <w:color w:val="000000"/>
          <w:sz w:val="22"/>
          <w:szCs w:val="22"/>
        </w:rPr>
        <w:t>Kit (CD 117) teigiamo VTSN rezekcijos</w:t>
      </w:r>
      <w:r w:rsidRPr="00F93FFA">
        <w:rPr>
          <w:sz w:val="22"/>
          <w:szCs w:val="22"/>
        </w:rPr>
        <w:t xml:space="preserve"> yra reikšmingai padidėjusi recidyvo rizika</w:t>
      </w:r>
      <w:r w:rsidRPr="00F93FFA">
        <w:rPr>
          <w:color w:val="000000"/>
          <w:sz w:val="22"/>
          <w:szCs w:val="22"/>
        </w:rPr>
        <w:t>, gydymui. Pacientai, kuriems yra maža ar labai maža recidyvo rizika neturėtų gauti adjuvantinio gydymo.</w:t>
      </w:r>
    </w:p>
    <w:p w14:paraId="53FAD313" w14:textId="77777777" w:rsidR="003646A0" w:rsidRPr="00F93FFA" w:rsidRDefault="003646A0" w:rsidP="00DE16D0">
      <w:pPr>
        <w:widowControl w:val="0"/>
        <w:numPr>
          <w:ilvl w:val="0"/>
          <w:numId w:val="11"/>
        </w:numPr>
        <w:tabs>
          <w:tab w:val="clear" w:pos="227"/>
        </w:tabs>
        <w:ind w:left="540" w:hanging="540"/>
        <w:rPr>
          <w:color w:val="000000"/>
          <w:sz w:val="22"/>
          <w:szCs w:val="22"/>
        </w:rPr>
      </w:pPr>
      <w:r w:rsidRPr="00F93FFA">
        <w:rPr>
          <w:color w:val="000000"/>
          <w:sz w:val="22"/>
          <w:szCs w:val="22"/>
        </w:rPr>
        <w:t>suaugusiesiems,</w:t>
      </w:r>
      <w:r w:rsidRPr="00F93FFA">
        <w:rPr>
          <w:snapToGrid w:val="0"/>
          <w:color w:val="000000"/>
          <w:sz w:val="22"/>
          <w:szCs w:val="22"/>
          <w:lang w:eastAsia="de-DE"/>
        </w:rPr>
        <w:t xml:space="preserve"> kuriems yra nerezekuotina iškilioji dermatofibrosarkoma</w:t>
      </w:r>
      <w:r w:rsidRPr="00F93FFA">
        <w:rPr>
          <w:i/>
          <w:snapToGrid w:val="0"/>
          <w:color w:val="000000"/>
          <w:sz w:val="22"/>
          <w:szCs w:val="22"/>
          <w:lang w:eastAsia="de-DE"/>
        </w:rPr>
        <w:t xml:space="preserve"> (dermatofibrosarcoma </w:t>
      </w:r>
      <w:r w:rsidRPr="00F93FFA">
        <w:rPr>
          <w:i/>
          <w:color w:val="000000"/>
          <w:sz w:val="22"/>
          <w:szCs w:val="22"/>
        </w:rPr>
        <w:t>protuberans</w:t>
      </w:r>
      <w:r w:rsidRPr="00F93FFA">
        <w:rPr>
          <w:color w:val="000000"/>
          <w:sz w:val="22"/>
          <w:szCs w:val="22"/>
        </w:rPr>
        <w:t xml:space="preserve"> - DFSP) ar, kuriems yra pasikartojanti ir (ar) metastazavusi DFSP ir kurių negalima operuoti.</w:t>
      </w:r>
    </w:p>
    <w:p w14:paraId="58806368" w14:textId="77777777" w:rsidR="003646A0" w:rsidRPr="00F93FFA" w:rsidRDefault="003646A0" w:rsidP="00DE16D0">
      <w:pPr>
        <w:widowControl w:val="0"/>
        <w:rPr>
          <w:color w:val="000000"/>
          <w:sz w:val="22"/>
          <w:szCs w:val="22"/>
        </w:rPr>
      </w:pPr>
    </w:p>
    <w:p w14:paraId="50726F03" w14:textId="2C0FB54F" w:rsidR="003646A0" w:rsidRPr="00F93FFA" w:rsidRDefault="003646A0" w:rsidP="00DE16D0">
      <w:pPr>
        <w:widowControl w:val="0"/>
        <w:rPr>
          <w:color w:val="000000"/>
          <w:sz w:val="22"/>
          <w:szCs w:val="22"/>
        </w:rPr>
      </w:pPr>
      <w:r w:rsidRPr="00F93FFA">
        <w:rPr>
          <w:color w:val="000000"/>
          <w:sz w:val="22"/>
          <w:szCs w:val="22"/>
        </w:rPr>
        <w:t xml:space="preserve">Suaugusiems pacientams ir vaikams Glivec efektyvumas grindžiamas bendra hematologinio ir citologinio atsako dalimi ir gyvenimo trukme be ligos progresavimo, kai yra LML, hematologiniu ir citogenetiniu atsako dažniu, kai yra Ph+ ŪLL, MDS/MPL, hematologiniu atsako dažniu, kai yra HES/LEL, objektyvia atsako dalimi suaugusiųjų pacientų, sergančių nerezekuotinu ir (ar) metastazavusiu VTSN ir DFSP, tarpe ir išgyvenamumo be ligos recidyvo trukme, kai </w:t>
      </w:r>
      <w:r w:rsidR="00C42121" w:rsidRPr="00F93FFA">
        <w:rPr>
          <w:color w:val="000000"/>
          <w:sz w:val="22"/>
          <w:szCs w:val="22"/>
        </w:rPr>
        <w:t xml:space="preserve">vaistinio </w:t>
      </w:r>
      <w:r w:rsidRPr="00F93FFA">
        <w:rPr>
          <w:color w:val="000000"/>
          <w:sz w:val="22"/>
          <w:szCs w:val="22"/>
        </w:rPr>
        <w:t>preparato skiriama adjuvantiniam VTSN gydymui. Patirtis gydant Glivec pacientus, sergančius MDS/MPL, susijusia su PDGF geno pakitimais yra labai ribota (žr. 5.1</w:t>
      </w:r>
      <w:r w:rsidR="00BF7B5C" w:rsidRPr="00F93FFA">
        <w:rPr>
          <w:color w:val="000000"/>
          <w:sz w:val="22"/>
          <w:szCs w:val="22"/>
        </w:rPr>
        <w:t> </w:t>
      </w:r>
      <w:r w:rsidRPr="00F93FFA">
        <w:rPr>
          <w:color w:val="000000"/>
          <w:sz w:val="22"/>
          <w:szCs w:val="22"/>
        </w:rPr>
        <w:t>skyrių). Nėra kontroliuojamų tyrimų, įrodančių klinikinę naudą ar pailgėjusią gyvenimo trukmę, kai yra kuri nors iš šių ligų, išskyrus naujai diagnozuotą lėtinę LML fazę.</w:t>
      </w:r>
    </w:p>
    <w:p w14:paraId="5119A4F3" w14:textId="77777777" w:rsidR="003646A0" w:rsidRPr="00F93FFA" w:rsidRDefault="003646A0" w:rsidP="00DE16D0">
      <w:pPr>
        <w:widowControl w:val="0"/>
        <w:rPr>
          <w:color w:val="000000"/>
          <w:sz w:val="22"/>
          <w:szCs w:val="22"/>
        </w:rPr>
      </w:pPr>
    </w:p>
    <w:p w14:paraId="5FD9D677" w14:textId="77777777" w:rsidR="003646A0" w:rsidRPr="00F93FFA" w:rsidRDefault="003646A0" w:rsidP="008B45F8">
      <w:pPr>
        <w:keepNext/>
        <w:widowControl w:val="0"/>
        <w:ind w:left="567" w:hanging="567"/>
        <w:rPr>
          <w:b/>
          <w:color w:val="000000"/>
          <w:sz w:val="22"/>
          <w:szCs w:val="22"/>
        </w:rPr>
      </w:pPr>
      <w:r w:rsidRPr="00F93FFA">
        <w:rPr>
          <w:b/>
          <w:color w:val="000000"/>
          <w:sz w:val="22"/>
          <w:szCs w:val="22"/>
        </w:rPr>
        <w:t>4.2</w:t>
      </w:r>
      <w:r w:rsidRPr="00F93FFA">
        <w:rPr>
          <w:b/>
          <w:color w:val="000000"/>
          <w:sz w:val="22"/>
          <w:szCs w:val="22"/>
        </w:rPr>
        <w:tab/>
        <w:t>Dozavimas ir vartojimo metodas</w:t>
      </w:r>
    </w:p>
    <w:p w14:paraId="43058B6A" w14:textId="77777777" w:rsidR="003646A0" w:rsidRPr="00F93FFA" w:rsidRDefault="003646A0" w:rsidP="008B45F8">
      <w:pPr>
        <w:keepNext/>
        <w:widowControl w:val="0"/>
        <w:ind w:left="567" w:hanging="567"/>
        <w:rPr>
          <w:color w:val="000000"/>
          <w:sz w:val="22"/>
          <w:szCs w:val="22"/>
        </w:rPr>
      </w:pPr>
    </w:p>
    <w:p w14:paraId="46C248D5" w14:textId="77777777" w:rsidR="003646A0" w:rsidRPr="00F93FFA" w:rsidRDefault="003646A0" w:rsidP="00DE16D0">
      <w:pPr>
        <w:widowControl w:val="0"/>
        <w:rPr>
          <w:color w:val="000000"/>
          <w:sz w:val="22"/>
          <w:szCs w:val="22"/>
        </w:rPr>
      </w:pPr>
      <w:r w:rsidRPr="00F93FFA">
        <w:rPr>
          <w:color w:val="000000"/>
          <w:sz w:val="22"/>
          <w:szCs w:val="22"/>
        </w:rPr>
        <w:t xml:space="preserve">Skirti </w:t>
      </w:r>
      <w:r w:rsidR="00A70D12" w:rsidRPr="00F93FFA">
        <w:rPr>
          <w:color w:val="000000"/>
          <w:sz w:val="22"/>
          <w:szCs w:val="22"/>
        </w:rPr>
        <w:t xml:space="preserve">vaistinį preparatą </w:t>
      </w:r>
      <w:r w:rsidRPr="00F93FFA">
        <w:rPr>
          <w:color w:val="000000"/>
          <w:sz w:val="22"/>
          <w:szCs w:val="22"/>
        </w:rPr>
        <w:t>gali tik gydytojas, turintis patirties, kaip gydyti pacientus, sergančius piktybiniais hematologiniais navikais ar piktybine sarkoma.</w:t>
      </w:r>
    </w:p>
    <w:p w14:paraId="2670FFBA" w14:textId="77777777" w:rsidR="00200F8F" w:rsidRPr="00F93FFA" w:rsidRDefault="00200F8F" w:rsidP="00DE16D0">
      <w:pPr>
        <w:widowControl w:val="0"/>
        <w:ind w:left="567" w:hanging="567"/>
        <w:rPr>
          <w:color w:val="000000"/>
          <w:sz w:val="22"/>
          <w:szCs w:val="22"/>
        </w:rPr>
      </w:pPr>
    </w:p>
    <w:p w14:paraId="580F4F12" w14:textId="77777777" w:rsidR="003646A0" w:rsidRPr="00F93FFA" w:rsidRDefault="000850D9" w:rsidP="00DE16D0">
      <w:pPr>
        <w:widowControl w:val="0"/>
        <w:rPr>
          <w:color w:val="000000"/>
          <w:sz w:val="22"/>
          <w:szCs w:val="22"/>
        </w:rPr>
      </w:pPr>
      <w:r w:rsidRPr="00F93FFA">
        <w:rPr>
          <w:color w:val="000000"/>
          <w:sz w:val="22"/>
          <w:szCs w:val="22"/>
        </w:rPr>
        <w:t xml:space="preserve">Kitokiai negu 400 mg ar 800 mg dozei (žr. dozavimo rekomendacijas </w:t>
      </w:r>
      <w:r w:rsidR="00227CEF" w:rsidRPr="00F93FFA">
        <w:rPr>
          <w:color w:val="000000"/>
          <w:sz w:val="22"/>
          <w:szCs w:val="22"/>
        </w:rPr>
        <w:t>toliau</w:t>
      </w:r>
      <w:r w:rsidRPr="00F93FFA">
        <w:rPr>
          <w:color w:val="000000"/>
          <w:sz w:val="22"/>
          <w:szCs w:val="22"/>
        </w:rPr>
        <w:t>) išleidžiamos 100 mg dalijamos tabletės.</w:t>
      </w:r>
    </w:p>
    <w:p w14:paraId="5E5950D6" w14:textId="77777777" w:rsidR="00200F8F" w:rsidRPr="00F93FFA" w:rsidRDefault="003646A0" w:rsidP="00DE16D0">
      <w:pPr>
        <w:widowControl w:val="0"/>
        <w:rPr>
          <w:color w:val="000000"/>
          <w:sz w:val="22"/>
          <w:szCs w:val="22"/>
        </w:rPr>
      </w:pPr>
      <w:r w:rsidRPr="00F93FFA">
        <w:rPr>
          <w:color w:val="000000"/>
          <w:sz w:val="22"/>
          <w:szCs w:val="22"/>
        </w:rPr>
        <w:t>Jeigu skiriama 400 mg ar didesnė dozė (žr. dozavimo rekomendacijas toliau), rekomenduojama vartoti išleidžiamas 400 mg tabletes (nedalijamas).</w:t>
      </w:r>
    </w:p>
    <w:p w14:paraId="237EFFC7" w14:textId="77777777" w:rsidR="003646A0" w:rsidRPr="00F93FFA" w:rsidRDefault="003646A0" w:rsidP="00DE16D0">
      <w:pPr>
        <w:pStyle w:val="EndnoteText"/>
        <w:widowControl w:val="0"/>
        <w:tabs>
          <w:tab w:val="clear" w:pos="567"/>
        </w:tabs>
        <w:rPr>
          <w:color w:val="000000"/>
          <w:szCs w:val="22"/>
          <w:lang w:val="lt-LT"/>
        </w:rPr>
      </w:pPr>
    </w:p>
    <w:p w14:paraId="5A274D8F" w14:textId="77777777" w:rsidR="003646A0" w:rsidRPr="00F93FFA" w:rsidRDefault="003646A0" w:rsidP="00DE16D0">
      <w:pPr>
        <w:widowControl w:val="0"/>
        <w:rPr>
          <w:color w:val="000000"/>
          <w:sz w:val="22"/>
          <w:szCs w:val="22"/>
        </w:rPr>
      </w:pPr>
      <w:r w:rsidRPr="00F93FFA">
        <w:rPr>
          <w:color w:val="000000"/>
          <w:sz w:val="22"/>
          <w:szCs w:val="22"/>
        </w:rPr>
        <w:t>Paskirta dozė geriama valgant ir užgeriant didele stikline vandens, kad būtų sumažinta virškinimo trakto dirginimo rizika. 400 mg ar 600 mg dozę vartoti vieną kartą per parą, tuo tarpu 800 mg paros dozę reikėtų vartoti po 400 mg du kartus per parą, ryte ir vakare.</w:t>
      </w:r>
    </w:p>
    <w:p w14:paraId="30D73FBE" w14:textId="77777777" w:rsidR="003646A0" w:rsidRPr="00F93FFA" w:rsidRDefault="003646A0" w:rsidP="00DE16D0">
      <w:pPr>
        <w:widowControl w:val="0"/>
        <w:rPr>
          <w:color w:val="000000"/>
          <w:sz w:val="22"/>
          <w:szCs w:val="22"/>
        </w:rPr>
      </w:pPr>
    </w:p>
    <w:p w14:paraId="4CB518DD" w14:textId="77777777" w:rsidR="003646A0" w:rsidRPr="00F93FFA" w:rsidRDefault="003646A0" w:rsidP="00DE16D0">
      <w:pPr>
        <w:widowControl w:val="0"/>
        <w:rPr>
          <w:color w:val="000000"/>
          <w:sz w:val="22"/>
          <w:szCs w:val="22"/>
        </w:rPr>
      </w:pPr>
      <w:r w:rsidRPr="00F93FFA">
        <w:rPr>
          <w:color w:val="000000"/>
          <w:sz w:val="22"/>
          <w:szCs w:val="22"/>
        </w:rPr>
        <w:t>Pacientams, kurie negali nuryti plėvele dengtos tabletės, ją galima ištirpinti stiklinėje negazuoto vandens ar obuolių sulčių. Reikiamą tablečių skaičių įmesti į atitinkamą skysčio tūrį (maždaug į 50 ml – 100 mg tabletę, į 200 ml – 400 mg tabletę) ir pamaišyti šaukštu. Tabletei suirus, suspensiją išgerti nedelsiant.</w:t>
      </w:r>
    </w:p>
    <w:p w14:paraId="5A87C301" w14:textId="77777777" w:rsidR="003646A0" w:rsidRPr="00F93FFA" w:rsidRDefault="003646A0" w:rsidP="00DE16D0">
      <w:pPr>
        <w:widowControl w:val="0"/>
        <w:rPr>
          <w:color w:val="000000"/>
          <w:sz w:val="22"/>
          <w:szCs w:val="22"/>
        </w:rPr>
      </w:pPr>
    </w:p>
    <w:p w14:paraId="2550ECB5" w14:textId="77777777" w:rsidR="003646A0" w:rsidRPr="00F93FFA" w:rsidRDefault="003646A0" w:rsidP="008B45F8">
      <w:pPr>
        <w:keepNext/>
        <w:widowControl w:val="0"/>
        <w:rPr>
          <w:color w:val="000000"/>
          <w:sz w:val="22"/>
          <w:szCs w:val="22"/>
          <w:u w:val="single"/>
        </w:rPr>
      </w:pPr>
      <w:r w:rsidRPr="00F93FFA">
        <w:rPr>
          <w:color w:val="000000"/>
          <w:sz w:val="22"/>
          <w:szCs w:val="22"/>
          <w:u w:val="single"/>
        </w:rPr>
        <w:t>Dozavimas, kai yra suaugusiųjų LML</w:t>
      </w:r>
    </w:p>
    <w:p w14:paraId="2C95B273" w14:textId="77777777" w:rsidR="003646A0" w:rsidRPr="00F93FFA" w:rsidRDefault="003646A0" w:rsidP="00DE16D0">
      <w:pPr>
        <w:widowControl w:val="0"/>
        <w:rPr>
          <w:snapToGrid w:val="0"/>
          <w:color w:val="000000"/>
          <w:sz w:val="22"/>
          <w:szCs w:val="22"/>
        </w:rPr>
      </w:pPr>
      <w:r w:rsidRPr="00F93FFA">
        <w:rPr>
          <w:color w:val="000000"/>
          <w:sz w:val="22"/>
          <w:szCs w:val="22"/>
        </w:rPr>
        <w:t xml:space="preserve">Rekomenduojama Glivec dozė suaugusiesiems pacientams, sergantiems LML lėtinėje fazėje, yra 400 mg per parą. Lėtinė LML fazė diagnozuojama tada, kai yra visi šie kriterijai: blastų kiekis kraujyje ir kaulų čiulpuose </w:t>
      </w:r>
      <w:r w:rsidRPr="00F93FFA">
        <w:rPr>
          <w:snapToGrid w:val="0"/>
          <w:color w:val="000000"/>
          <w:sz w:val="22"/>
          <w:szCs w:val="22"/>
        </w:rPr>
        <w:t>&lt; 15 %, bazofilų periferiniame kraujyje &lt; 20 %, trombocitų &gt; 100 x 10</w:t>
      </w:r>
      <w:r w:rsidRPr="00F93FFA">
        <w:rPr>
          <w:snapToGrid w:val="0"/>
          <w:color w:val="000000"/>
          <w:sz w:val="22"/>
          <w:szCs w:val="22"/>
          <w:vertAlign w:val="superscript"/>
        </w:rPr>
        <w:t>9</w:t>
      </w:r>
      <w:r w:rsidRPr="00F93FFA">
        <w:rPr>
          <w:snapToGrid w:val="0"/>
          <w:color w:val="000000"/>
          <w:sz w:val="22"/>
          <w:szCs w:val="22"/>
        </w:rPr>
        <w:t>/l.</w:t>
      </w:r>
    </w:p>
    <w:p w14:paraId="05EB9F53" w14:textId="77777777" w:rsidR="003646A0" w:rsidRPr="00F93FFA" w:rsidRDefault="003646A0" w:rsidP="00DE16D0">
      <w:pPr>
        <w:widowControl w:val="0"/>
        <w:rPr>
          <w:snapToGrid w:val="0"/>
          <w:color w:val="000000"/>
          <w:sz w:val="22"/>
          <w:szCs w:val="22"/>
        </w:rPr>
      </w:pPr>
    </w:p>
    <w:p w14:paraId="3B4BF9CF" w14:textId="77777777" w:rsidR="003646A0" w:rsidRPr="00F93FFA" w:rsidRDefault="003646A0" w:rsidP="00DE16D0">
      <w:pPr>
        <w:widowControl w:val="0"/>
        <w:rPr>
          <w:color w:val="000000"/>
          <w:sz w:val="22"/>
          <w:szCs w:val="22"/>
        </w:rPr>
      </w:pPr>
      <w:r w:rsidRPr="00F93FFA">
        <w:rPr>
          <w:color w:val="000000"/>
          <w:sz w:val="22"/>
          <w:szCs w:val="22"/>
        </w:rPr>
        <w:t xml:space="preserve">Rekomenduojama Glivec dozė suaugusiesiems pacientams, kuriems yra akceleracijos fazė, yra 600 mg per parą. Akceleracijos fazė diagnozuojama, kai yra bet kuris iš šių požymių: blastų kiekis kraujyje ar kaulų čiulpuose </w:t>
      </w:r>
      <w:r w:rsidRPr="00F93FFA">
        <w:rPr>
          <w:snapToGrid w:val="0"/>
          <w:color w:val="000000"/>
          <w:sz w:val="22"/>
          <w:szCs w:val="22"/>
        </w:rPr>
        <w:sym w:font="Symbol" w:char="F0B3"/>
      </w:r>
      <w:r w:rsidRPr="00F93FFA">
        <w:rPr>
          <w:snapToGrid w:val="0"/>
          <w:color w:val="000000"/>
          <w:sz w:val="22"/>
          <w:szCs w:val="22"/>
        </w:rPr>
        <w:t xml:space="preserve"> 15 %, bet &lt; 30 %, blastų su promielocitais </w:t>
      </w:r>
      <w:r w:rsidRPr="00F93FFA">
        <w:rPr>
          <w:color w:val="000000"/>
          <w:sz w:val="22"/>
          <w:szCs w:val="22"/>
        </w:rPr>
        <w:t xml:space="preserve">kiekis kraujyje ar kaulų čiulpuose </w:t>
      </w:r>
      <w:r w:rsidRPr="00F93FFA">
        <w:rPr>
          <w:snapToGrid w:val="0"/>
          <w:color w:val="000000"/>
          <w:sz w:val="22"/>
          <w:szCs w:val="22"/>
        </w:rPr>
        <w:sym w:font="Symbol" w:char="F0B3"/>
      </w:r>
      <w:r w:rsidRPr="00F93FFA">
        <w:rPr>
          <w:snapToGrid w:val="0"/>
          <w:color w:val="000000"/>
          <w:sz w:val="22"/>
          <w:szCs w:val="22"/>
        </w:rPr>
        <w:t xml:space="preserve"> 30 % (blastų &lt; 30 %), bazofilų periferiniame kraujyje </w:t>
      </w:r>
      <w:r w:rsidRPr="00F93FFA">
        <w:rPr>
          <w:snapToGrid w:val="0"/>
          <w:color w:val="000000"/>
          <w:sz w:val="22"/>
          <w:szCs w:val="22"/>
        </w:rPr>
        <w:sym w:font="Symbol" w:char="F0B3"/>
      </w:r>
      <w:r w:rsidRPr="00F93FFA">
        <w:rPr>
          <w:snapToGrid w:val="0"/>
          <w:color w:val="000000"/>
          <w:sz w:val="22"/>
          <w:szCs w:val="22"/>
        </w:rPr>
        <w:t> 20 %, trombocitų &lt; 100 x 10</w:t>
      </w:r>
      <w:r w:rsidRPr="00F93FFA">
        <w:rPr>
          <w:snapToGrid w:val="0"/>
          <w:color w:val="000000"/>
          <w:sz w:val="22"/>
          <w:szCs w:val="22"/>
          <w:vertAlign w:val="superscript"/>
        </w:rPr>
        <w:t>9</w:t>
      </w:r>
      <w:r w:rsidRPr="00F93FFA">
        <w:rPr>
          <w:snapToGrid w:val="0"/>
          <w:color w:val="000000"/>
          <w:sz w:val="22"/>
          <w:szCs w:val="22"/>
        </w:rPr>
        <w:t>/l neatsižvelgiant į gydymą.</w:t>
      </w:r>
    </w:p>
    <w:p w14:paraId="6CBB5F0D" w14:textId="77777777" w:rsidR="003646A0" w:rsidRPr="00F93FFA" w:rsidRDefault="003646A0" w:rsidP="00DE16D0">
      <w:pPr>
        <w:widowControl w:val="0"/>
        <w:ind w:left="567" w:hanging="567"/>
        <w:rPr>
          <w:color w:val="000000"/>
          <w:sz w:val="22"/>
          <w:szCs w:val="22"/>
        </w:rPr>
      </w:pPr>
    </w:p>
    <w:p w14:paraId="6B3A624B" w14:textId="77777777" w:rsidR="003646A0" w:rsidRPr="00F93FFA" w:rsidRDefault="003646A0" w:rsidP="00DE16D0">
      <w:pPr>
        <w:widowControl w:val="0"/>
        <w:rPr>
          <w:color w:val="000000"/>
          <w:sz w:val="22"/>
          <w:szCs w:val="22"/>
        </w:rPr>
      </w:pPr>
      <w:r w:rsidRPr="00F93FFA">
        <w:rPr>
          <w:color w:val="000000"/>
          <w:sz w:val="22"/>
          <w:szCs w:val="22"/>
        </w:rPr>
        <w:t xml:space="preserve">Rekomenduojama Glivec dozė suaugusiesiems pacientams, kuriems yra blastinė krizė, yra 600 mg per parą. Blastinė krizė diagnozuojama, kai blastų kraujyje ar kaulų čiulpuose </w:t>
      </w:r>
      <w:r w:rsidRPr="00F93FFA">
        <w:rPr>
          <w:snapToGrid w:val="0"/>
          <w:color w:val="000000"/>
          <w:sz w:val="22"/>
          <w:szCs w:val="22"/>
        </w:rPr>
        <w:sym w:font="Symbol" w:char="F0B3"/>
      </w:r>
      <w:r w:rsidRPr="00F93FFA">
        <w:rPr>
          <w:snapToGrid w:val="0"/>
          <w:color w:val="000000"/>
          <w:sz w:val="22"/>
          <w:szCs w:val="22"/>
        </w:rPr>
        <w:t> 30 % ar yra kitokia negu hepatosplenomegalija ekstramedulinė liga.</w:t>
      </w:r>
    </w:p>
    <w:p w14:paraId="39D9B8BA" w14:textId="77777777" w:rsidR="003646A0" w:rsidRPr="00F93FFA" w:rsidRDefault="003646A0" w:rsidP="00DE16D0">
      <w:pPr>
        <w:widowControl w:val="0"/>
        <w:ind w:left="567" w:hanging="567"/>
        <w:rPr>
          <w:color w:val="000000"/>
          <w:sz w:val="22"/>
          <w:szCs w:val="22"/>
        </w:rPr>
      </w:pPr>
    </w:p>
    <w:p w14:paraId="70909D8C" w14:textId="77777777" w:rsidR="003646A0" w:rsidRPr="00F93FFA" w:rsidRDefault="003646A0" w:rsidP="00DE16D0">
      <w:pPr>
        <w:widowControl w:val="0"/>
        <w:rPr>
          <w:color w:val="000000"/>
          <w:sz w:val="22"/>
          <w:szCs w:val="22"/>
        </w:rPr>
      </w:pPr>
      <w:r w:rsidRPr="00F93FFA">
        <w:rPr>
          <w:color w:val="000000"/>
          <w:sz w:val="22"/>
          <w:szCs w:val="22"/>
        </w:rPr>
        <w:t>Gydymo trukmė. Klinikinių tyrimų metu Glivec vartotas iki ligos progresavimo. Gydymo nutraukimo poveikis gavus visišką citogenetinį atsaką netirtas.</w:t>
      </w:r>
    </w:p>
    <w:p w14:paraId="76F8E5DD" w14:textId="77777777" w:rsidR="003646A0" w:rsidRPr="00F93FFA" w:rsidRDefault="003646A0" w:rsidP="00DE16D0">
      <w:pPr>
        <w:widowControl w:val="0"/>
        <w:rPr>
          <w:color w:val="000000"/>
          <w:sz w:val="22"/>
          <w:szCs w:val="22"/>
        </w:rPr>
      </w:pPr>
    </w:p>
    <w:p w14:paraId="45973F9A" w14:textId="77777777" w:rsidR="003646A0" w:rsidRPr="00F93FFA" w:rsidRDefault="003646A0" w:rsidP="00DE16D0">
      <w:pPr>
        <w:widowControl w:val="0"/>
        <w:rPr>
          <w:color w:val="000000"/>
          <w:sz w:val="22"/>
          <w:szCs w:val="22"/>
        </w:rPr>
      </w:pPr>
      <w:r w:rsidRPr="00F93FFA">
        <w:rPr>
          <w:color w:val="000000"/>
          <w:sz w:val="22"/>
          <w:szCs w:val="22"/>
        </w:rPr>
        <w:lastRenderedPageBreak/>
        <w:t xml:space="preserve">Dozę galima didinti nuo 400 mg iki 600 mg ar 800 mg, kai yra lėtinė ligos fazė, ar nuo 600 mg iki didžiausios 800 mg dozės (po 400 mg 2 kartus per parą), kai yra akceleracijos fazė ar blastinė krizė ir nėra sunkių nepageidaujamų </w:t>
      </w:r>
      <w:r w:rsidR="00D62405" w:rsidRPr="00F93FFA">
        <w:rPr>
          <w:color w:val="000000"/>
          <w:sz w:val="22"/>
          <w:szCs w:val="22"/>
        </w:rPr>
        <w:t xml:space="preserve">vaistinio preparato </w:t>
      </w:r>
      <w:r w:rsidRPr="00F93FFA">
        <w:rPr>
          <w:color w:val="000000"/>
          <w:sz w:val="22"/>
          <w:szCs w:val="22"/>
        </w:rPr>
        <w:t>reakcijų ar sunkios su leukemija susijusios neutropenijos ar trombocitopemijos šiais atvejais: ligai progresuojant (bet kuriuo metu); po 3 mėnesių gydymo negavus reikiamo hematologinio atsako; po 12 mėnesių gydymo negavus citogenetinio atsako; ar išnykus anksčiau pasiektam hematologiniam ir (ar) citogenetiniam atsakui. Pacientą, kuriam padidinama dozė, būtina atidžiai stebėti dėl galimų dažnesnių nepageidaujamų reakcijų, sukeliamų didesnių dozių.</w:t>
      </w:r>
    </w:p>
    <w:p w14:paraId="566FDB93" w14:textId="77777777" w:rsidR="003646A0" w:rsidRPr="00F93FFA" w:rsidRDefault="003646A0" w:rsidP="00DE16D0">
      <w:pPr>
        <w:widowControl w:val="0"/>
        <w:rPr>
          <w:color w:val="000000"/>
          <w:sz w:val="22"/>
          <w:szCs w:val="22"/>
        </w:rPr>
      </w:pPr>
    </w:p>
    <w:p w14:paraId="1C476E12" w14:textId="77777777" w:rsidR="003646A0" w:rsidRPr="00F93FFA" w:rsidRDefault="003646A0" w:rsidP="008B45F8">
      <w:pPr>
        <w:keepNext/>
        <w:widowControl w:val="0"/>
        <w:rPr>
          <w:color w:val="000000"/>
          <w:sz w:val="22"/>
          <w:szCs w:val="22"/>
          <w:u w:val="single"/>
        </w:rPr>
      </w:pPr>
      <w:r w:rsidRPr="00F93FFA">
        <w:rPr>
          <w:color w:val="000000"/>
          <w:sz w:val="22"/>
          <w:szCs w:val="22"/>
          <w:u w:val="single"/>
        </w:rPr>
        <w:t>Dozavimas, kai yra vaikų LML</w:t>
      </w:r>
    </w:p>
    <w:p w14:paraId="7B566FF1" w14:textId="71AB72F6" w:rsidR="003646A0" w:rsidRPr="00F93FFA" w:rsidRDefault="003646A0" w:rsidP="00DE16D0">
      <w:pPr>
        <w:widowControl w:val="0"/>
        <w:rPr>
          <w:color w:val="000000"/>
          <w:sz w:val="22"/>
          <w:szCs w:val="22"/>
        </w:rPr>
      </w:pPr>
      <w:r w:rsidRPr="00F93FFA">
        <w:rPr>
          <w:color w:val="000000"/>
          <w:sz w:val="22"/>
          <w:szCs w:val="22"/>
        </w:rPr>
        <w:t>Vaikams dozuojama pagal kūno paviršiaus plotą (mg/m</w:t>
      </w:r>
      <w:r w:rsidRPr="00F93FFA">
        <w:rPr>
          <w:color w:val="000000"/>
          <w:sz w:val="22"/>
          <w:szCs w:val="22"/>
          <w:vertAlign w:val="superscript"/>
        </w:rPr>
        <w:t>2</w:t>
      </w:r>
      <w:r w:rsidRPr="00F93FFA">
        <w:rPr>
          <w:color w:val="000000"/>
          <w:sz w:val="22"/>
          <w:szCs w:val="22"/>
        </w:rPr>
        <w:t>). Kai yra lėtinė ir progresavusi LML fazė, vaikams rekomenduojama 340 mg/m</w:t>
      </w:r>
      <w:r w:rsidRPr="00F93FFA">
        <w:rPr>
          <w:color w:val="000000"/>
          <w:sz w:val="22"/>
          <w:szCs w:val="22"/>
          <w:vertAlign w:val="superscript"/>
        </w:rPr>
        <w:t>2</w:t>
      </w:r>
      <w:r w:rsidRPr="00F93FFA">
        <w:rPr>
          <w:color w:val="000000"/>
          <w:sz w:val="22"/>
          <w:szCs w:val="22"/>
        </w:rPr>
        <w:t xml:space="preserve"> paros dozė (bendros 800 mg dozės viršyti negalima). </w:t>
      </w:r>
      <w:r w:rsidR="00D62405" w:rsidRPr="00F93FFA">
        <w:rPr>
          <w:color w:val="000000"/>
          <w:sz w:val="22"/>
          <w:szCs w:val="22"/>
        </w:rPr>
        <w:t xml:space="preserve">Vaistinį preparatą </w:t>
      </w:r>
      <w:r w:rsidRPr="00F93FFA">
        <w:rPr>
          <w:color w:val="000000"/>
          <w:sz w:val="22"/>
          <w:szCs w:val="22"/>
        </w:rPr>
        <w:t>galima vartoti vieną kartą per parą arba paros dozę dalyti į dvi dozes – vieną vartoti rytą, kitą – vakare. Dabartinės dozavimo rekomendacijos vadovaujasi mažu vaikų skaičiumi (žr. 5.1 ir 5.2</w:t>
      </w:r>
      <w:r w:rsidR="00BF7B5C" w:rsidRPr="00F93FFA">
        <w:rPr>
          <w:color w:val="000000"/>
          <w:sz w:val="22"/>
          <w:szCs w:val="22"/>
        </w:rPr>
        <w:t> </w:t>
      </w:r>
      <w:r w:rsidRPr="00F93FFA">
        <w:rPr>
          <w:color w:val="000000"/>
          <w:sz w:val="22"/>
          <w:szCs w:val="22"/>
        </w:rPr>
        <w:t>skyrius). Kaip gydyti jaunesnius negu 2 metų vaikus, patirties nėra.</w:t>
      </w:r>
    </w:p>
    <w:p w14:paraId="3E1174BA" w14:textId="77777777" w:rsidR="003646A0" w:rsidRPr="00F93FFA" w:rsidRDefault="003646A0" w:rsidP="00DE16D0">
      <w:pPr>
        <w:widowControl w:val="0"/>
        <w:rPr>
          <w:color w:val="000000"/>
          <w:sz w:val="22"/>
          <w:szCs w:val="22"/>
        </w:rPr>
      </w:pPr>
    </w:p>
    <w:p w14:paraId="3EB7C6EE" w14:textId="77777777" w:rsidR="003646A0" w:rsidRPr="00F93FFA" w:rsidRDefault="003646A0" w:rsidP="00DE16D0">
      <w:pPr>
        <w:widowControl w:val="0"/>
        <w:rPr>
          <w:color w:val="000000"/>
          <w:sz w:val="22"/>
          <w:szCs w:val="22"/>
        </w:rPr>
      </w:pPr>
      <w:r w:rsidRPr="00F93FFA">
        <w:rPr>
          <w:color w:val="000000"/>
          <w:sz w:val="22"/>
          <w:szCs w:val="22"/>
        </w:rPr>
        <w:t>Jei nepasireiškė sunkaus nepageidaujamo poveikio ir sunkios ne su leukemija susijusios neutropenijos arba trombocitopenijos, dozė vaikams gali būti didinama nuo 340 mg/m</w:t>
      </w:r>
      <w:r w:rsidRPr="00F93FFA">
        <w:rPr>
          <w:color w:val="000000"/>
          <w:sz w:val="22"/>
          <w:szCs w:val="22"/>
          <w:vertAlign w:val="superscript"/>
        </w:rPr>
        <w:t>2</w:t>
      </w:r>
      <w:r w:rsidRPr="00F93FFA">
        <w:rPr>
          <w:color w:val="000000"/>
          <w:sz w:val="22"/>
          <w:szCs w:val="22"/>
        </w:rPr>
        <w:t xml:space="preserve"> iki 570 mg/m</w:t>
      </w:r>
      <w:r w:rsidRPr="00F93FFA">
        <w:rPr>
          <w:color w:val="000000"/>
          <w:sz w:val="22"/>
          <w:szCs w:val="22"/>
          <w:vertAlign w:val="superscript"/>
        </w:rPr>
        <w:t xml:space="preserve">2 </w:t>
      </w:r>
      <w:r w:rsidRPr="00F93FFA">
        <w:rPr>
          <w:color w:val="000000"/>
          <w:sz w:val="22"/>
          <w:szCs w:val="22"/>
        </w:rPr>
        <w:t>per parą (bendros 800 mg dozės viršyti negalima) sekančiomis sąlygomis: ligos progresavimas (bet kuriuo metu); nepasiektas patenkinamas hematologinis atsakas po mažiausiai 3 gydymo mėnesių; nepasiektas citogenetinis atsakas po 12 gydymo mėnesių; anksčiau pasiekto hematologinio ir/arba citogenetinio atsako praradimas. Didinant dozę, pacientai turi būti atidžiai stebimi dėl padidėjusio nepageidaujamo poveikio pasireiškimo galimybės gydant didesnėmis dozėmis.</w:t>
      </w:r>
    </w:p>
    <w:p w14:paraId="2B577D9E" w14:textId="77777777" w:rsidR="003646A0" w:rsidRPr="00F93FFA" w:rsidRDefault="003646A0" w:rsidP="00DE16D0">
      <w:pPr>
        <w:pStyle w:val="EndnoteText"/>
        <w:widowControl w:val="0"/>
        <w:tabs>
          <w:tab w:val="clear" w:pos="567"/>
        </w:tabs>
        <w:rPr>
          <w:color w:val="000000"/>
          <w:szCs w:val="22"/>
          <w:u w:val="single"/>
          <w:lang w:val="lt-LT"/>
        </w:rPr>
      </w:pPr>
    </w:p>
    <w:p w14:paraId="567AD21E" w14:textId="77777777" w:rsidR="003646A0" w:rsidRPr="00F93FFA" w:rsidRDefault="003646A0" w:rsidP="008B45F8">
      <w:pPr>
        <w:pStyle w:val="EndnoteText"/>
        <w:keepNext/>
        <w:widowControl w:val="0"/>
        <w:tabs>
          <w:tab w:val="clear" w:pos="567"/>
        </w:tabs>
        <w:rPr>
          <w:color w:val="000000"/>
          <w:szCs w:val="22"/>
          <w:u w:val="single"/>
          <w:lang w:val="lt-LT"/>
        </w:rPr>
      </w:pPr>
      <w:r w:rsidRPr="00F93FFA">
        <w:rPr>
          <w:color w:val="000000"/>
          <w:szCs w:val="22"/>
          <w:u w:val="single"/>
          <w:lang w:val="lt-LT"/>
        </w:rPr>
        <w:t xml:space="preserve">Dozavimas, kai yra </w:t>
      </w:r>
      <w:r w:rsidRPr="00F93FFA">
        <w:rPr>
          <w:color w:val="000000"/>
          <w:szCs w:val="22"/>
          <w:u w:val="single"/>
        </w:rPr>
        <w:t xml:space="preserve">suaugusiųjų </w:t>
      </w:r>
      <w:r w:rsidRPr="00F93FFA">
        <w:rPr>
          <w:color w:val="000000"/>
          <w:szCs w:val="22"/>
          <w:u w:val="single"/>
          <w:lang w:val="lt-LT"/>
        </w:rPr>
        <w:t>Ph+ ŪLL</w:t>
      </w:r>
    </w:p>
    <w:p w14:paraId="40DB99D2"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Ph+ ŪLL sergantiems</w:t>
      </w:r>
      <w:r w:rsidRPr="00F93FFA">
        <w:rPr>
          <w:color w:val="000000"/>
          <w:szCs w:val="22"/>
        </w:rPr>
        <w:t xml:space="preserve"> suaugusiesiems</w:t>
      </w:r>
      <w:r w:rsidRPr="00F93FFA">
        <w:rPr>
          <w:color w:val="000000"/>
          <w:szCs w:val="22"/>
          <w:lang w:val="lt-LT"/>
        </w:rPr>
        <w:t xml:space="preserve"> pacientams rekomenduojama Glivec dozė yra 600 mg per parą. Visų fazių metu gydymui turi vadovauti hematologai, turintys šios ligos gydymo patirties.</w:t>
      </w:r>
    </w:p>
    <w:p w14:paraId="43A8EDB9" w14:textId="77777777" w:rsidR="003646A0" w:rsidRPr="00F93FFA" w:rsidRDefault="003646A0" w:rsidP="00DE16D0">
      <w:pPr>
        <w:widowControl w:val="0"/>
        <w:rPr>
          <w:color w:val="000000"/>
          <w:sz w:val="22"/>
          <w:szCs w:val="22"/>
        </w:rPr>
      </w:pPr>
    </w:p>
    <w:p w14:paraId="42B4A348" w14:textId="59662A59" w:rsidR="003646A0" w:rsidRPr="00F93FFA" w:rsidRDefault="003646A0" w:rsidP="00DE16D0">
      <w:pPr>
        <w:widowControl w:val="0"/>
        <w:rPr>
          <w:rFonts w:eastAsia="MS Mincho"/>
          <w:color w:val="000000"/>
          <w:sz w:val="22"/>
          <w:szCs w:val="22"/>
          <w:lang w:eastAsia="ja-JP"/>
        </w:rPr>
      </w:pPr>
      <w:r w:rsidRPr="00F93FFA">
        <w:rPr>
          <w:rFonts w:eastAsia="MS Mincho"/>
          <w:color w:val="000000"/>
          <w:sz w:val="22"/>
          <w:szCs w:val="22"/>
          <w:lang w:eastAsia="ja-JP"/>
        </w:rPr>
        <w:t xml:space="preserve">Gydymo planas. Pagal turimus duomenis, Glivec 600 mg per parą dozė buvo efektyvi ir saugi kartu su chemoterapiniais </w:t>
      </w:r>
      <w:r w:rsidR="00C42121" w:rsidRPr="00F93FFA">
        <w:rPr>
          <w:rFonts w:eastAsia="MS Mincho"/>
          <w:color w:val="000000"/>
          <w:sz w:val="22"/>
          <w:szCs w:val="22"/>
          <w:lang w:eastAsia="ja-JP"/>
        </w:rPr>
        <w:t xml:space="preserve">vaistiniais </w:t>
      </w:r>
      <w:r w:rsidRPr="00F93FFA">
        <w:rPr>
          <w:rFonts w:eastAsia="MS Mincho"/>
          <w:color w:val="000000"/>
          <w:sz w:val="22"/>
          <w:szCs w:val="22"/>
          <w:lang w:eastAsia="ja-JP"/>
        </w:rPr>
        <w:t>preparatais pradinės, dozės didinimo ir palaikomosios chemoterapijos fazės metu (žr. 5.1</w:t>
      </w:r>
      <w:r w:rsidR="00BF7B5C" w:rsidRPr="00F93FFA">
        <w:rPr>
          <w:rFonts w:eastAsia="MS Mincho"/>
          <w:color w:val="000000"/>
          <w:sz w:val="22"/>
          <w:szCs w:val="22"/>
          <w:lang w:eastAsia="ja-JP"/>
        </w:rPr>
        <w:t> </w:t>
      </w:r>
      <w:r w:rsidRPr="00F93FFA">
        <w:rPr>
          <w:rFonts w:eastAsia="MS Mincho"/>
          <w:color w:val="000000"/>
          <w:sz w:val="22"/>
          <w:szCs w:val="22"/>
          <w:lang w:eastAsia="ja-JP"/>
        </w:rPr>
        <w:t>skyrių) suaugusiems pacientams, kuriems pirmą kartą diagnozuota Ph+ ŪLL. Gydymo Glivec trukmė gali priklausyti nuo pasirinktos gydymo programos, bet dažniausiai ilgiau vartojant Glivec rezultatai buvo geresni.</w:t>
      </w:r>
    </w:p>
    <w:p w14:paraId="26E8C92A" w14:textId="77777777" w:rsidR="003646A0" w:rsidRPr="00F93FFA" w:rsidRDefault="003646A0" w:rsidP="00DE16D0">
      <w:pPr>
        <w:widowControl w:val="0"/>
        <w:rPr>
          <w:rFonts w:eastAsia="MS Mincho"/>
          <w:color w:val="000000"/>
          <w:sz w:val="22"/>
          <w:szCs w:val="22"/>
          <w:lang w:eastAsia="ja-JP"/>
        </w:rPr>
      </w:pPr>
    </w:p>
    <w:p w14:paraId="4B7A1916" w14:textId="77777777" w:rsidR="003646A0" w:rsidRPr="00F93FFA" w:rsidRDefault="003646A0" w:rsidP="00DE16D0">
      <w:pPr>
        <w:widowControl w:val="0"/>
        <w:rPr>
          <w:rFonts w:eastAsia="MS Mincho"/>
          <w:color w:val="000000"/>
          <w:sz w:val="22"/>
          <w:szCs w:val="22"/>
          <w:lang w:eastAsia="ja-JP"/>
        </w:rPr>
      </w:pPr>
      <w:r w:rsidRPr="00F93FFA">
        <w:rPr>
          <w:rFonts w:eastAsia="MS Mincho"/>
          <w:color w:val="000000"/>
          <w:sz w:val="22"/>
          <w:szCs w:val="22"/>
          <w:lang w:eastAsia="ja-JP"/>
        </w:rPr>
        <w:t>Suaugusiesiems pacientams, kuriems yra recidyvas ar gydymui atspari Ph+ ŪLL, gydymas vien tik Glivec po 600 mg per parą yra saugus, efektyvus ir gali būti skiriamas, kol liga pradės progresuoti.</w:t>
      </w:r>
    </w:p>
    <w:p w14:paraId="2621501D" w14:textId="77777777" w:rsidR="003646A0" w:rsidRPr="00F93FFA" w:rsidRDefault="003646A0" w:rsidP="00DE16D0">
      <w:pPr>
        <w:widowControl w:val="0"/>
        <w:rPr>
          <w:rFonts w:eastAsia="MS Mincho"/>
          <w:color w:val="000000"/>
          <w:sz w:val="22"/>
          <w:szCs w:val="22"/>
          <w:lang w:eastAsia="ja-JP"/>
        </w:rPr>
      </w:pPr>
    </w:p>
    <w:p w14:paraId="670B2A52" w14:textId="77777777" w:rsidR="003646A0" w:rsidRPr="00F93FFA" w:rsidRDefault="003646A0" w:rsidP="008B45F8">
      <w:pPr>
        <w:pStyle w:val="EndnoteText"/>
        <w:keepNext/>
        <w:widowControl w:val="0"/>
        <w:tabs>
          <w:tab w:val="clear" w:pos="567"/>
        </w:tabs>
        <w:rPr>
          <w:color w:val="000000"/>
          <w:szCs w:val="22"/>
          <w:u w:val="single"/>
          <w:lang w:val="lt-LT"/>
        </w:rPr>
      </w:pPr>
      <w:r w:rsidRPr="00F93FFA">
        <w:rPr>
          <w:color w:val="000000"/>
          <w:szCs w:val="22"/>
          <w:u w:val="single"/>
          <w:lang w:val="lt-LT"/>
        </w:rPr>
        <w:t xml:space="preserve">Dozavimas, kai yra </w:t>
      </w:r>
      <w:r w:rsidRPr="00F93FFA">
        <w:rPr>
          <w:color w:val="000000"/>
          <w:szCs w:val="22"/>
          <w:u w:val="single"/>
        </w:rPr>
        <w:t xml:space="preserve">vaikų </w:t>
      </w:r>
      <w:r w:rsidRPr="00F93FFA">
        <w:rPr>
          <w:color w:val="000000"/>
          <w:szCs w:val="22"/>
          <w:u w:val="single"/>
          <w:lang w:val="lt-LT"/>
        </w:rPr>
        <w:t>Ph+ ŪLL</w:t>
      </w:r>
    </w:p>
    <w:p w14:paraId="32637810" w14:textId="77777777" w:rsidR="003646A0" w:rsidRPr="00F93FFA" w:rsidRDefault="003646A0" w:rsidP="00DE16D0">
      <w:pPr>
        <w:widowControl w:val="0"/>
        <w:rPr>
          <w:color w:val="000000"/>
          <w:sz w:val="22"/>
          <w:szCs w:val="22"/>
        </w:rPr>
      </w:pPr>
      <w:r w:rsidRPr="00F93FFA">
        <w:rPr>
          <w:sz w:val="22"/>
          <w:szCs w:val="22"/>
        </w:rPr>
        <w:t>Vaikams dozuojama pagal kūno paviršiaus plotą (mg/m</w:t>
      </w:r>
      <w:r w:rsidRPr="00F93FFA">
        <w:rPr>
          <w:sz w:val="22"/>
          <w:szCs w:val="22"/>
          <w:vertAlign w:val="superscript"/>
        </w:rPr>
        <w:t>2</w:t>
      </w:r>
      <w:r w:rsidRPr="00F93FFA">
        <w:rPr>
          <w:sz w:val="22"/>
          <w:szCs w:val="22"/>
        </w:rPr>
        <w:t xml:space="preserve">). Kai yra </w:t>
      </w:r>
      <w:r w:rsidRPr="00F93FFA">
        <w:rPr>
          <w:color w:val="000000"/>
          <w:sz w:val="22"/>
          <w:szCs w:val="22"/>
        </w:rPr>
        <w:t>Ph+ ŪLL</w:t>
      </w:r>
      <w:r w:rsidRPr="00F93FFA">
        <w:rPr>
          <w:sz w:val="22"/>
          <w:szCs w:val="22"/>
        </w:rPr>
        <w:t>, vaikams rekomenduojama 340 mg/m</w:t>
      </w:r>
      <w:r w:rsidRPr="00F93FFA">
        <w:rPr>
          <w:sz w:val="22"/>
          <w:szCs w:val="22"/>
          <w:vertAlign w:val="superscript"/>
        </w:rPr>
        <w:t>2</w:t>
      </w:r>
      <w:r w:rsidRPr="00F93FFA">
        <w:rPr>
          <w:sz w:val="22"/>
          <w:szCs w:val="22"/>
        </w:rPr>
        <w:t xml:space="preserve"> paros dozė (bendros 600 mg dozės viršyti negalima).</w:t>
      </w:r>
    </w:p>
    <w:p w14:paraId="2D01C359" w14:textId="77777777" w:rsidR="003646A0" w:rsidRPr="00F93FFA" w:rsidRDefault="003646A0" w:rsidP="00DE16D0">
      <w:pPr>
        <w:pStyle w:val="EndnoteText"/>
        <w:widowControl w:val="0"/>
        <w:tabs>
          <w:tab w:val="clear" w:pos="567"/>
        </w:tabs>
        <w:rPr>
          <w:color w:val="000000"/>
          <w:szCs w:val="22"/>
          <w:u w:val="single"/>
          <w:lang w:val="lt-LT"/>
        </w:rPr>
      </w:pPr>
    </w:p>
    <w:p w14:paraId="37AFF663" w14:textId="77777777" w:rsidR="003646A0" w:rsidRPr="00F93FFA" w:rsidRDefault="003646A0" w:rsidP="008B45F8">
      <w:pPr>
        <w:pStyle w:val="EndnoteText"/>
        <w:keepNext/>
        <w:widowControl w:val="0"/>
        <w:tabs>
          <w:tab w:val="clear" w:pos="567"/>
        </w:tabs>
        <w:rPr>
          <w:color w:val="000000"/>
          <w:szCs w:val="22"/>
          <w:u w:val="single"/>
          <w:lang w:val="lt-LT"/>
        </w:rPr>
      </w:pPr>
      <w:r w:rsidRPr="00F93FFA">
        <w:rPr>
          <w:color w:val="000000"/>
          <w:szCs w:val="22"/>
          <w:u w:val="single"/>
          <w:lang w:val="lt-LT"/>
        </w:rPr>
        <w:t>Dozavimas, kai yra MDS/MPL</w:t>
      </w:r>
    </w:p>
    <w:p w14:paraId="748C119F"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MDS ar MPL sergantiems</w:t>
      </w:r>
      <w:r w:rsidRPr="00F93FFA">
        <w:rPr>
          <w:color w:val="000000"/>
          <w:szCs w:val="22"/>
        </w:rPr>
        <w:t xml:space="preserve"> suaugusiesiems</w:t>
      </w:r>
      <w:r w:rsidRPr="00F93FFA">
        <w:rPr>
          <w:color w:val="000000"/>
          <w:szCs w:val="22"/>
          <w:lang w:val="lt-LT"/>
        </w:rPr>
        <w:t xml:space="preserve"> pacientams rekomenduojama Glivec dozė yra 400 mg per parą.</w:t>
      </w:r>
    </w:p>
    <w:p w14:paraId="3C8D02EA" w14:textId="77777777" w:rsidR="003646A0" w:rsidRPr="00F93FFA" w:rsidRDefault="003646A0" w:rsidP="00DE16D0">
      <w:pPr>
        <w:widowControl w:val="0"/>
        <w:rPr>
          <w:color w:val="000000"/>
          <w:sz w:val="22"/>
          <w:szCs w:val="22"/>
        </w:rPr>
      </w:pPr>
    </w:p>
    <w:p w14:paraId="08B5921E" w14:textId="3F737039" w:rsidR="003646A0" w:rsidRPr="00F93FFA" w:rsidRDefault="003646A0" w:rsidP="00DE16D0">
      <w:pPr>
        <w:widowControl w:val="0"/>
        <w:rPr>
          <w:color w:val="000000"/>
          <w:sz w:val="22"/>
          <w:szCs w:val="22"/>
        </w:rPr>
      </w:pPr>
      <w:r w:rsidRPr="00F93FFA">
        <w:rPr>
          <w:color w:val="000000"/>
          <w:sz w:val="22"/>
          <w:szCs w:val="22"/>
        </w:rPr>
        <w:t>Gydymo trukmė: Klinikinio tyrimo, tęsiamo iki šiol, metu gydymas Glivec buvo tęsiamas iki ligos progresavimo (žr. 5.1</w:t>
      </w:r>
      <w:r w:rsidR="00BF7B5C" w:rsidRPr="00F93FFA">
        <w:rPr>
          <w:color w:val="000000"/>
          <w:sz w:val="22"/>
          <w:szCs w:val="22"/>
        </w:rPr>
        <w:t> </w:t>
      </w:r>
      <w:r w:rsidRPr="00F93FFA">
        <w:rPr>
          <w:color w:val="000000"/>
          <w:sz w:val="22"/>
          <w:szCs w:val="22"/>
        </w:rPr>
        <w:t>skyrių). Tyrimo metu gydymo vidutinė trukmė buvo 47 mėnesiai (24 dienos – 60 mėnesių).</w:t>
      </w:r>
    </w:p>
    <w:p w14:paraId="38B34AD6" w14:textId="77777777" w:rsidR="003646A0" w:rsidRPr="00F93FFA" w:rsidRDefault="003646A0" w:rsidP="00DE16D0">
      <w:pPr>
        <w:widowControl w:val="0"/>
        <w:rPr>
          <w:color w:val="000000"/>
          <w:sz w:val="22"/>
          <w:szCs w:val="22"/>
          <w:u w:val="single"/>
        </w:rPr>
      </w:pPr>
    </w:p>
    <w:p w14:paraId="514AC796" w14:textId="77777777" w:rsidR="003646A0" w:rsidRPr="00F93FFA" w:rsidRDefault="003646A0" w:rsidP="008B45F8">
      <w:pPr>
        <w:keepNext/>
        <w:widowControl w:val="0"/>
        <w:rPr>
          <w:color w:val="000000"/>
          <w:sz w:val="22"/>
          <w:szCs w:val="22"/>
          <w:u w:val="single"/>
        </w:rPr>
      </w:pPr>
      <w:r w:rsidRPr="00F93FFA">
        <w:rPr>
          <w:color w:val="000000"/>
          <w:sz w:val="22"/>
          <w:szCs w:val="22"/>
          <w:u w:val="single"/>
        </w:rPr>
        <w:t>Dozavimas, kai yra HES/LEL</w:t>
      </w:r>
    </w:p>
    <w:p w14:paraId="3CD7A926" w14:textId="77777777" w:rsidR="003646A0" w:rsidRPr="00F93FFA" w:rsidRDefault="003646A0" w:rsidP="00DE16D0">
      <w:pPr>
        <w:widowControl w:val="0"/>
        <w:rPr>
          <w:color w:val="000000"/>
          <w:sz w:val="22"/>
          <w:szCs w:val="22"/>
        </w:rPr>
      </w:pPr>
      <w:r w:rsidRPr="00F93FFA">
        <w:rPr>
          <w:color w:val="000000"/>
          <w:sz w:val="22"/>
          <w:szCs w:val="22"/>
        </w:rPr>
        <w:t>Rekomenduojama Glivec dozė suaugusiesiems pacientams, sergantiems HES/LEL, yra 100 mg per parą.</w:t>
      </w:r>
    </w:p>
    <w:p w14:paraId="3880E09C" w14:textId="77777777" w:rsidR="003646A0" w:rsidRPr="00F93FFA" w:rsidRDefault="003646A0" w:rsidP="00DE16D0">
      <w:pPr>
        <w:widowControl w:val="0"/>
        <w:rPr>
          <w:color w:val="000000"/>
          <w:sz w:val="22"/>
          <w:szCs w:val="22"/>
        </w:rPr>
      </w:pPr>
    </w:p>
    <w:p w14:paraId="4335974A" w14:textId="77777777" w:rsidR="003646A0" w:rsidRPr="00F93FFA" w:rsidRDefault="003646A0" w:rsidP="00DE16D0">
      <w:pPr>
        <w:widowControl w:val="0"/>
        <w:rPr>
          <w:rFonts w:eastAsia="MS Mincho"/>
          <w:color w:val="000000"/>
          <w:sz w:val="22"/>
          <w:szCs w:val="22"/>
          <w:lang w:eastAsia="ja-JP"/>
        </w:rPr>
      </w:pPr>
      <w:r w:rsidRPr="00F93FFA">
        <w:rPr>
          <w:color w:val="000000"/>
          <w:sz w:val="22"/>
          <w:szCs w:val="22"/>
        </w:rPr>
        <w:t>G</w:t>
      </w:r>
      <w:r w:rsidRPr="00F93FFA">
        <w:rPr>
          <w:rFonts w:eastAsia="MS Mincho"/>
          <w:color w:val="000000"/>
          <w:sz w:val="22"/>
          <w:szCs w:val="22"/>
          <w:lang w:eastAsia="ja-JP"/>
        </w:rPr>
        <w:t>alima didinti dozę nuo 100 mg iki 400 mg, jei nėra nepageidaujamų reakcijų ir jeigu įvertinimas rodo nepakankamą atsaką į gydymą.</w:t>
      </w:r>
    </w:p>
    <w:p w14:paraId="79F9CAD2" w14:textId="77777777" w:rsidR="003646A0" w:rsidRPr="00F93FFA" w:rsidRDefault="003646A0" w:rsidP="00DE16D0">
      <w:pPr>
        <w:widowControl w:val="0"/>
        <w:rPr>
          <w:color w:val="000000"/>
          <w:sz w:val="22"/>
          <w:szCs w:val="22"/>
        </w:rPr>
      </w:pPr>
    </w:p>
    <w:p w14:paraId="7EE6CB6D" w14:textId="77777777" w:rsidR="003646A0" w:rsidRPr="00F93FFA" w:rsidRDefault="003646A0" w:rsidP="00DE16D0">
      <w:pPr>
        <w:pStyle w:val="Text"/>
        <w:widowControl w:val="0"/>
        <w:spacing w:before="0"/>
        <w:jc w:val="left"/>
        <w:rPr>
          <w:sz w:val="22"/>
          <w:szCs w:val="22"/>
          <w:lang w:val="lt-LT"/>
        </w:rPr>
      </w:pPr>
      <w:r w:rsidRPr="00F93FFA">
        <w:rPr>
          <w:sz w:val="22"/>
          <w:szCs w:val="22"/>
          <w:lang w:val="lt-LT"/>
        </w:rPr>
        <w:t>Gydymą reikia tęsti tol, kol pacientui stebimas teigiamas poveikis.</w:t>
      </w:r>
    </w:p>
    <w:p w14:paraId="77171F96" w14:textId="77777777" w:rsidR="003646A0" w:rsidRPr="00F93FFA" w:rsidRDefault="003646A0" w:rsidP="00DE16D0">
      <w:pPr>
        <w:widowControl w:val="0"/>
        <w:rPr>
          <w:color w:val="000000"/>
          <w:sz w:val="22"/>
          <w:szCs w:val="22"/>
        </w:rPr>
      </w:pPr>
    </w:p>
    <w:p w14:paraId="4D23BB99" w14:textId="77777777" w:rsidR="003646A0" w:rsidRPr="00F93FFA" w:rsidRDefault="003646A0" w:rsidP="008B45F8">
      <w:pPr>
        <w:keepNext/>
        <w:widowControl w:val="0"/>
        <w:rPr>
          <w:color w:val="000000"/>
          <w:sz w:val="22"/>
          <w:szCs w:val="22"/>
          <w:u w:val="single"/>
        </w:rPr>
      </w:pPr>
      <w:r w:rsidRPr="00F93FFA">
        <w:rPr>
          <w:color w:val="000000"/>
          <w:sz w:val="22"/>
          <w:szCs w:val="22"/>
          <w:u w:val="single"/>
        </w:rPr>
        <w:t>Dozavimas pacientams, kuriems yra VTSN</w:t>
      </w:r>
    </w:p>
    <w:p w14:paraId="6EE0AB08" w14:textId="77777777" w:rsidR="003646A0" w:rsidRPr="00F93FFA" w:rsidRDefault="003646A0" w:rsidP="00DE16D0">
      <w:pPr>
        <w:widowControl w:val="0"/>
        <w:rPr>
          <w:color w:val="000000"/>
          <w:sz w:val="22"/>
          <w:szCs w:val="22"/>
        </w:rPr>
      </w:pPr>
      <w:r w:rsidRPr="00F93FFA">
        <w:rPr>
          <w:color w:val="000000"/>
          <w:sz w:val="22"/>
          <w:szCs w:val="22"/>
        </w:rPr>
        <w:t>Rekomenduojama Glivec dozė suaugusiesiems pacientams, kuriems yra nerezekuotinas ir (ar) metastazavęs piktybinis VTSN, yra 400 mg per parą.</w:t>
      </w:r>
    </w:p>
    <w:p w14:paraId="3C0E3290" w14:textId="77777777" w:rsidR="003646A0" w:rsidRPr="00F93FFA" w:rsidRDefault="003646A0" w:rsidP="00DE16D0">
      <w:pPr>
        <w:widowControl w:val="0"/>
        <w:rPr>
          <w:color w:val="000000"/>
          <w:sz w:val="22"/>
          <w:szCs w:val="22"/>
        </w:rPr>
      </w:pPr>
    </w:p>
    <w:p w14:paraId="07B6A472" w14:textId="4AA51705" w:rsidR="003646A0" w:rsidRPr="00F93FFA" w:rsidRDefault="003646A0" w:rsidP="00DE16D0">
      <w:pPr>
        <w:widowControl w:val="0"/>
        <w:rPr>
          <w:color w:val="000000"/>
          <w:sz w:val="22"/>
          <w:szCs w:val="22"/>
        </w:rPr>
      </w:pPr>
      <w:r w:rsidRPr="00F93FFA">
        <w:rPr>
          <w:color w:val="000000"/>
          <w:sz w:val="22"/>
          <w:szCs w:val="22"/>
        </w:rPr>
        <w:t>Dar mažai duomenų apie nuo 400 mg iki 600 mg ar 800 mg padidintos dozės poveikį pacientams, kuriems liga progresavo vartojant mažesnę dozę (žr. 5.1</w:t>
      </w:r>
      <w:r w:rsidR="00BF7B5C" w:rsidRPr="00F93FFA">
        <w:rPr>
          <w:color w:val="000000"/>
          <w:sz w:val="22"/>
          <w:szCs w:val="22"/>
        </w:rPr>
        <w:t> </w:t>
      </w:r>
      <w:r w:rsidRPr="00F93FFA">
        <w:rPr>
          <w:color w:val="000000"/>
          <w:sz w:val="22"/>
          <w:szCs w:val="22"/>
        </w:rPr>
        <w:t>skyrių).</w:t>
      </w:r>
    </w:p>
    <w:p w14:paraId="04CF4CA2" w14:textId="77777777" w:rsidR="003646A0" w:rsidRPr="00F93FFA" w:rsidRDefault="003646A0" w:rsidP="00DE16D0">
      <w:pPr>
        <w:widowControl w:val="0"/>
        <w:rPr>
          <w:color w:val="000000"/>
          <w:sz w:val="22"/>
          <w:szCs w:val="22"/>
        </w:rPr>
      </w:pPr>
    </w:p>
    <w:p w14:paraId="1FBBA491" w14:textId="77777777" w:rsidR="003646A0" w:rsidRPr="00F93FFA" w:rsidRDefault="003646A0" w:rsidP="00DE16D0">
      <w:pPr>
        <w:widowControl w:val="0"/>
        <w:rPr>
          <w:color w:val="000000"/>
          <w:sz w:val="22"/>
          <w:szCs w:val="22"/>
        </w:rPr>
      </w:pPr>
      <w:r w:rsidRPr="00F93FFA">
        <w:rPr>
          <w:color w:val="000000"/>
          <w:sz w:val="22"/>
          <w:szCs w:val="22"/>
        </w:rPr>
        <w:t>Gydymo trukmė. Klinikinių tyrimų metu VTSN sergantys pacientai Glivec buvo gydomi iki ligos progresavimo. Analizės metu nustatyta, kad vidutinė gydymo trukmė buvo 7 mėnesiai (nuo 7 dienų iki 13 mėnesių). Gydymo nutraukimo poveikis po gauto atsako netirtas.</w:t>
      </w:r>
    </w:p>
    <w:p w14:paraId="7CA50D9D" w14:textId="77777777" w:rsidR="003646A0" w:rsidRPr="00F93FFA" w:rsidRDefault="003646A0" w:rsidP="00DE16D0">
      <w:pPr>
        <w:widowControl w:val="0"/>
        <w:rPr>
          <w:color w:val="000000"/>
          <w:sz w:val="22"/>
          <w:szCs w:val="22"/>
        </w:rPr>
      </w:pPr>
    </w:p>
    <w:p w14:paraId="6308300D" w14:textId="77777777" w:rsidR="003646A0" w:rsidRPr="00F93FFA" w:rsidRDefault="003646A0" w:rsidP="00DE16D0">
      <w:pPr>
        <w:widowControl w:val="0"/>
        <w:rPr>
          <w:color w:val="000000"/>
          <w:sz w:val="22"/>
          <w:szCs w:val="22"/>
        </w:rPr>
      </w:pPr>
      <w:r w:rsidRPr="00F93FFA">
        <w:rPr>
          <w:sz w:val="22"/>
          <w:szCs w:val="22"/>
        </w:rPr>
        <w:t xml:space="preserve">Rekomenduojama </w:t>
      </w:r>
      <w:r w:rsidRPr="00F93FFA">
        <w:rPr>
          <w:color w:val="000000"/>
          <w:sz w:val="22"/>
          <w:szCs w:val="22"/>
        </w:rPr>
        <w:t xml:space="preserve">Glivec dozė </w:t>
      </w:r>
      <w:r w:rsidRPr="00F93FFA">
        <w:rPr>
          <w:sz w:val="22"/>
          <w:szCs w:val="22"/>
        </w:rPr>
        <w:t xml:space="preserve">adjuvantiniam suaugusiųjų, kuriems atlikta </w:t>
      </w:r>
      <w:r w:rsidRPr="00F93FFA">
        <w:rPr>
          <w:color w:val="000000"/>
          <w:sz w:val="22"/>
          <w:szCs w:val="22"/>
        </w:rPr>
        <w:t>VTSN rezekcija, gydymui yra 400 mg per parą. Optimali gydymo trukmė kol kas nenustatyta. Klinikinių tyrimų duomenimis gydymo trukmė šiai indikacijai truko 36 mėnesius (žr. 5.1 skyrių).</w:t>
      </w:r>
    </w:p>
    <w:p w14:paraId="4C2851D7" w14:textId="77777777" w:rsidR="003646A0" w:rsidRPr="00F93FFA" w:rsidRDefault="003646A0" w:rsidP="00DE16D0">
      <w:pPr>
        <w:widowControl w:val="0"/>
        <w:rPr>
          <w:color w:val="000000"/>
          <w:sz w:val="22"/>
          <w:szCs w:val="22"/>
        </w:rPr>
      </w:pPr>
    </w:p>
    <w:p w14:paraId="41D88D42" w14:textId="77777777" w:rsidR="003646A0" w:rsidRPr="00F93FFA" w:rsidRDefault="003646A0" w:rsidP="008B45F8">
      <w:pPr>
        <w:pStyle w:val="EndnoteText"/>
        <w:keepNext/>
        <w:widowControl w:val="0"/>
        <w:tabs>
          <w:tab w:val="clear" w:pos="567"/>
        </w:tabs>
        <w:rPr>
          <w:color w:val="000000"/>
          <w:szCs w:val="22"/>
          <w:u w:val="single"/>
          <w:lang w:val="lt-LT"/>
        </w:rPr>
      </w:pPr>
      <w:r w:rsidRPr="00F93FFA">
        <w:rPr>
          <w:color w:val="000000"/>
          <w:szCs w:val="22"/>
          <w:u w:val="single"/>
          <w:lang w:val="lt-LT"/>
        </w:rPr>
        <w:t>Dozavimas, kai yra DFSP</w:t>
      </w:r>
    </w:p>
    <w:p w14:paraId="2BAFE2E3"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DFSP sergantiems </w:t>
      </w:r>
      <w:r w:rsidRPr="00F93FFA">
        <w:rPr>
          <w:color w:val="000000"/>
          <w:szCs w:val="22"/>
        </w:rPr>
        <w:t xml:space="preserve">suaugusiesiems </w:t>
      </w:r>
      <w:r w:rsidRPr="00F93FFA">
        <w:rPr>
          <w:color w:val="000000"/>
          <w:szCs w:val="22"/>
          <w:lang w:val="lt-LT"/>
        </w:rPr>
        <w:t>pacientams rekomenduojama Glivec dozė yra 800 mg per parą.</w:t>
      </w:r>
    </w:p>
    <w:p w14:paraId="159FE400" w14:textId="77777777" w:rsidR="003646A0" w:rsidRPr="00F93FFA" w:rsidRDefault="003646A0" w:rsidP="00DE16D0">
      <w:pPr>
        <w:widowControl w:val="0"/>
        <w:rPr>
          <w:color w:val="000000"/>
          <w:sz w:val="22"/>
          <w:szCs w:val="22"/>
        </w:rPr>
      </w:pPr>
    </w:p>
    <w:p w14:paraId="31FA9D0E" w14:textId="77777777" w:rsidR="003646A0" w:rsidRPr="00F93FFA" w:rsidRDefault="003646A0" w:rsidP="008B45F8">
      <w:pPr>
        <w:keepNext/>
        <w:widowControl w:val="0"/>
        <w:rPr>
          <w:color w:val="000000"/>
          <w:sz w:val="22"/>
          <w:szCs w:val="22"/>
          <w:u w:val="single"/>
        </w:rPr>
      </w:pPr>
      <w:r w:rsidRPr="00F93FFA">
        <w:rPr>
          <w:color w:val="000000"/>
          <w:sz w:val="22"/>
          <w:szCs w:val="22"/>
          <w:u w:val="single"/>
        </w:rPr>
        <w:t>Dozės korekcija dėl nepageidaujamo poveikio</w:t>
      </w:r>
    </w:p>
    <w:p w14:paraId="7667FFBE" w14:textId="77777777" w:rsidR="003646A0" w:rsidRPr="00F93FFA" w:rsidRDefault="003646A0" w:rsidP="008B45F8">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Nehematologinės nepageidaujamos reakcijos</w:t>
      </w:r>
    </w:p>
    <w:p w14:paraId="0ECB1E2D" w14:textId="77777777" w:rsidR="003646A0" w:rsidRPr="00F93FFA" w:rsidRDefault="003646A0" w:rsidP="00DE16D0">
      <w:pPr>
        <w:widowControl w:val="0"/>
        <w:rPr>
          <w:color w:val="000000"/>
          <w:sz w:val="22"/>
          <w:szCs w:val="22"/>
        </w:rPr>
      </w:pPr>
      <w:r w:rsidRPr="00F93FFA">
        <w:rPr>
          <w:color w:val="000000"/>
          <w:sz w:val="22"/>
          <w:szCs w:val="22"/>
        </w:rPr>
        <w:t>Jeigu vartojant Glivec atsiranda sunkių nehematologinių nepageidaujamų reakcijų, gydymą būtina nutraukti tol, kol šie reiškiniai išnyksta. Vėliau, jei reikia, gydymą galima atnaujinti atsižvelgiant į pradinį nepageidaujamų reiškinių sunkumą.</w:t>
      </w:r>
    </w:p>
    <w:p w14:paraId="21516B75" w14:textId="77777777" w:rsidR="003646A0" w:rsidRPr="00F93FFA" w:rsidRDefault="003646A0" w:rsidP="00DE16D0">
      <w:pPr>
        <w:widowControl w:val="0"/>
        <w:rPr>
          <w:color w:val="000000"/>
          <w:sz w:val="22"/>
          <w:szCs w:val="22"/>
        </w:rPr>
      </w:pPr>
    </w:p>
    <w:p w14:paraId="4B942971" w14:textId="77777777" w:rsidR="003646A0" w:rsidRPr="00F93FFA" w:rsidRDefault="003646A0" w:rsidP="00DE16D0">
      <w:pPr>
        <w:widowControl w:val="0"/>
        <w:rPr>
          <w:color w:val="000000"/>
          <w:sz w:val="22"/>
          <w:szCs w:val="22"/>
        </w:rPr>
      </w:pPr>
      <w:r w:rsidRPr="00F93FFA">
        <w:rPr>
          <w:color w:val="000000"/>
          <w:sz w:val="22"/>
          <w:szCs w:val="22"/>
        </w:rPr>
        <w:t>Jei bilirubino koncentracija &gt; 3 kartus yra didesnė už nustatytą viršutinę normos ribą (NVNR) ar kepenų transaminazių koncentracija &gt; 5 kartus didesnė už NVNR, Glivec nevartoti, kol bilirubino koncentracija sumažėja &lt; 1,5 karto už NVNR ir transaminazių koncentracija &lt; 2,5 karto už NVNR. Gydymą galima tęsti sumažinta Glivec paros doze. Suaugusiesiems dozę reikia sumažinti nuo 400 mg iki 300 mg arba nuo 600 mg iki 400 mg, ar nuo 800 mg iki 600 mg, o vaikams nuo 340 mg/m</w:t>
      </w:r>
      <w:r w:rsidRPr="00F93FFA">
        <w:rPr>
          <w:color w:val="000000"/>
          <w:sz w:val="22"/>
          <w:szCs w:val="22"/>
          <w:vertAlign w:val="superscript"/>
        </w:rPr>
        <w:t>2</w:t>
      </w:r>
      <w:r w:rsidRPr="00F93FFA">
        <w:rPr>
          <w:color w:val="000000"/>
          <w:sz w:val="22"/>
          <w:szCs w:val="22"/>
        </w:rPr>
        <w:t xml:space="preserve"> per parą iki 260 mg/m</w:t>
      </w:r>
      <w:r w:rsidRPr="00F93FFA">
        <w:rPr>
          <w:color w:val="000000"/>
          <w:sz w:val="22"/>
          <w:szCs w:val="22"/>
          <w:vertAlign w:val="superscript"/>
        </w:rPr>
        <w:t>2</w:t>
      </w:r>
      <w:r w:rsidRPr="00F93FFA">
        <w:rPr>
          <w:color w:val="000000"/>
          <w:sz w:val="22"/>
          <w:szCs w:val="22"/>
        </w:rPr>
        <w:t xml:space="preserve"> per parą.</w:t>
      </w:r>
    </w:p>
    <w:p w14:paraId="0E06A7E6" w14:textId="77777777" w:rsidR="003646A0" w:rsidRPr="00F93FFA" w:rsidRDefault="003646A0" w:rsidP="00DE16D0">
      <w:pPr>
        <w:widowControl w:val="0"/>
        <w:rPr>
          <w:color w:val="000000"/>
          <w:sz w:val="22"/>
          <w:szCs w:val="22"/>
        </w:rPr>
      </w:pPr>
    </w:p>
    <w:p w14:paraId="3063DFD9" w14:textId="77777777" w:rsidR="003646A0" w:rsidRPr="00F93FFA" w:rsidRDefault="003646A0" w:rsidP="00DE16D0">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Hematologinės nepageidaujamos reakcijos</w:t>
      </w:r>
    </w:p>
    <w:p w14:paraId="028F51A4" w14:textId="77777777" w:rsidR="003646A0" w:rsidRPr="00F93FFA" w:rsidRDefault="003646A0" w:rsidP="00DE16D0">
      <w:pPr>
        <w:widowControl w:val="0"/>
        <w:rPr>
          <w:color w:val="000000"/>
          <w:sz w:val="22"/>
          <w:szCs w:val="22"/>
        </w:rPr>
      </w:pPr>
      <w:r w:rsidRPr="00F93FFA">
        <w:rPr>
          <w:color w:val="000000"/>
          <w:sz w:val="22"/>
          <w:szCs w:val="22"/>
        </w:rPr>
        <w:t>Dozės mažinimo ir gydymo pertraukimo rekomendacijos, išryškėjus sunkiai neutropenijai ar trombocitopenijai, nurodytos lentelėje žemiau.</w:t>
      </w:r>
    </w:p>
    <w:p w14:paraId="4F3BB0D5" w14:textId="77777777" w:rsidR="003646A0" w:rsidRPr="00F93FFA" w:rsidRDefault="003646A0" w:rsidP="00DE16D0">
      <w:pPr>
        <w:widowControl w:val="0"/>
        <w:rPr>
          <w:color w:val="000000"/>
          <w:sz w:val="22"/>
          <w:szCs w:val="22"/>
        </w:rPr>
      </w:pPr>
    </w:p>
    <w:p w14:paraId="3FFBB452" w14:textId="77777777" w:rsidR="003646A0" w:rsidRPr="00F93FFA" w:rsidRDefault="003646A0" w:rsidP="008B45F8">
      <w:pPr>
        <w:keepNext/>
        <w:widowControl w:val="0"/>
        <w:rPr>
          <w:color w:val="000000"/>
          <w:sz w:val="22"/>
          <w:szCs w:val="22"/>
        </w:rPr>
      </w:pPr>
      <w:r w:rsidRPr="00F93FFA">
        <w:rPr>
          <w:color w:val="000000"/>
          <w:sz w:val="22"/>
          <w:szCs w:val="22"/>
        </w:rPr>
        <w:t>Dozės korekcija, kai yra neutropenija ir trombocitopenija:</w:t>
      </w:r>
    </w:p>
    <w:p w14:paraId="36418F92" w14:textId="77777777" w:rsidR="003646A0" w:rsidRPr="00F93FFA" w:rsidRDefault="003646A0" w:rsidP="008B45F8">
      <w:pPr>
        <w:keepNext/>
        <w:widowControl w:val="0"/>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3646A0" w:rsidRPr="00F93FFA" w14:paraId="34289676" w14:textId="77777777" w:rsidTr="008B45F8">
        <w:trPr>
          <w:cantSplit/>
        </w:trPr>
        <w:tc>
          <w:tcPr>
            <w:tcW w:w="2376" w:type="dxa"/>
          </w:tcPr>
          <w:p w14:paraId="0C2DAF74" w14:textId="77777777" w:rsidR="003646A0" w:rsidRPr="00F93FFA" w:rsidRDefault="003646A0" w:rsidP="008B45F8">
            <w:pPr>
              <w:pStyle w:val="EndnoteText"/>
              <w:keepNext/>
              <w:widowControl w:val="0"/>
              <w:tabs>
                <w:tab w:val="clear" w:pos="567"/>
              </w:tabs>
              <w:rPr>
                <w:color w:val="000000"/>
                <w:szCs w:val="22"/>
                <w:lang w:val="lt-LT"/>
              </w:rPr>
            </w:pPr>
            <w:r w:rsidRPr="00F93FFA">
              <w:rPr>
                <w:color w:val="000000"/>
                <w:szCs w:val="22"/>
                <w:lang w:val="lt-LT"/>
              </w:rPr>
              <w:t>HES/LEL (pradinė dozė - 100 mg)</w:t>
            </w:r>
          </w:p>
        </w:tc>
        <w:tc>
          <w:tcPr>
            <w:tcW w:w="2400" w:type="dxa"/>
          </w:tcPr>
          <w:p w14:paraId="4FB0BFB2"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4AB6DF3D"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649EFD40"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p>
        </w:tc>
        <w:tc>
          <w:tcPr>
            <w:tcW w:w="4404" w:type="dxa"/>
          </w:tcPr>
          <w:p w14:paraId="42667523" w14:textId="77777777" w:rsidR="003646A0" w:rsidRPr="00F93FFA" w:rsidRDefault="003646A0" w:rsidP="008B45F8">
            <w:pPr>
              <w:pStyle w:val="Table"/>
              <w:keepLines w:val="0"/>
              <w:widowControl w:val="0"/>
              <w:tabs>
                <w:tab w:val="clear" w:pos="284"/>
                <w:tab w:val="left" w:pos="44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6FA8A757" w14:textId="77777777" w:rsidR="003646A0" w:rsidRPr="00F93FFA" w:rsidRDefault="003646A0" w:rsidP="008B45F8">
            <w:pPr>
              <w:pStyle w:val="Table"/>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tc>
      </w:tr>
      <w:tr w:rsidR="003646A0" w:rsidRPr="00F93FFA" w14:paraId="41F04D2D" w14:textId="77777777" w:rsidTr="008B45F8">
        <w:trPr>
          <w:cantSplit/>
        </w:trPr>
        <w:tc>
          <w:tcPr>
            <w:tcW w:w="2376" w:type="dxa"/>
          </w:tcPr>
          <w:p w14:paraId="14210F67"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Lėtinė LML, MDS/ MPL ir VTSN fazė (pradinė dozė – 400 mg)</w:t>
            </w:r>
          </w:p>
          <w:p w14:paraId="5358906C" w14:textId="77777777" w:rsidR="003646A0" w:rsidRPr="00F93FFA" w:rsidRDefault="003646A0" w:rsidP="00DE16D0">
            <w:pPr>
              <w:widowControl w:val="0"/>
              <w:rPr>
                <w:color w:val="000000"/>
                <w:sz w:val="22"/>
                <w:szCs w:val="22"/>
              </w:rPr>
            </w:pPr>
            <w:r w:rsidRPr="00F93FFA">
              <w:rPr>
                <w:color w:val="000000"/>
                <w:sz w:val="22"/>
                <w:szCs w:val="22"/>
              </w:rPr>
              <w:t>HES/LEL (400 mg dozė)</w:t>
            </w:r>
          </w:p>
        </w:tc>
        <w:tc>
          <w:tcPr>
            <w:tcW w:w="2400" w:type="dxa"/>
          </w:tcPr>
          <w:p w14:paraId="07A96D4F"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09D31CA9"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02FF3246"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trombocitų &lt; 50 x 10</w:t>
            </w:r>
            <w:r w:rsidRPr="00F93FFA">
              <w:rPr>
                <w:color w:val="000000"/>
                <w:szCs w:val="22"/>
                <w:vertAlign w:val="superscript"/>
                <w:lang w:val="lt-LT"/>
              </w:rPr>
              <w:t>9</w:t>
            </w:r>
            <w:r w:rsidRPr="00F93FFA">
              <w:rPr>
                <w:color w:val="000000"/>
                <w:szCs w:val="22"/>
                <w:lang w:val="lt-LT"/>
              </w:rPr>
              <w:t>/l</w:t>
            </w:r>
          </w:p>
        </w:tc>
        <w:tc>
          <w:tcPr>
            <w:tcW w:w="4404" w:type="dxa"/>
          </w:tcPr>
          <w:p w14:paraId="133867B9"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75EFD1D6"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p w14:paraId="0C520757"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300 mg doze.</w:t>
            </w:r>
          </w:p>
        </w:tc>
      </w:tr>
      <w:tr w:rsidR="003646A0" w:rsidRPr="00F93FFA" w14:paraId="35F6BBC1" w14:textId="77777777" w:rsidTr="008B45F8">
        <w:trPr>
          <w:cantSplit/>
        </w:trPr>
        <w:tc>
          <w:tcPr>
            <w:tcW w:w="2376" w:type="dxa"/>
          </w:tcPr>
          <w:p w14:paraId="3ACD9682"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lastRenderedPageBreak/>
              <w:t>Vaikų lėtinė LML fazė (340 mg/m</w:t>
            </w:r>
            <w:r w:rsidRPr="00F93FFA">
              <w:rPr>
                <w:color w:val="000000"/>
                <w:szCs w:val="22"/>
                <w:vertAlign w:val="superscript"/>
                <w:lang w:val="lt-LT"/>
              </w:rPr>
              <w:t>2</w:t>
            </w:r>
            <w:r w:rsidRPr="00F93FFA">
              <w:rPr>
                <w:color w:val="000000"/>
                <w:szCs w:val="22"/>
                <w:lang w:val="lt-LT"/>
              </w:rPr>
              <w:t xml:space="preserve"> dozė)</w:t>
            </w:r>
          </w:p>
        </w:tc>
        <w:tc>
          <w:tcPr>
            <w:tcW w:w="2400" w:type="dxa"/>
          </w:tcPr>
          <w:p w14:paraId="7C13C6ED"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1DC359CD"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6A58CFEF"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Pr>
          <w:p w14:paraId="6C2DE215"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37472CCD"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anksčiau vartota doze (t.</w:t>
            </w:r>
            <w:r w:rsidR="00957B98"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y. ta, kuri buvo vartota prieš pasireiškiant stipriai nepageidaujamai reakcijai).</w:t>
            </w:r>
          </w:p>
          <w:p w14:paraId="408E80FA"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260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doze.</w:t>
            </w:r>
          </w:p>
        </w:tc>
      </w:tr>
      <w:tr w:rsidR="003646A0" w:rsidRPr="00F93FFA" w14:paraId="15FDB68F" w14:textId="77777777" w:rsidTr="008B45F8">
        <w:trPr>
          <w:cantSplit/>
        </w:trPr>
        <w:tc>
          <w:tcPr>
            <w:tcW w:w="2376" w:type="dxa"/>
            <w:tcBorders>
              <w:bottom w:val="nil"/>
            </w:tcBorders>
          </w:tcPr>
          <w:p w14:paraId="558DB926"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LML akceleracijos fazė ir blastinė krizė ir Ph+ ŪLL (pradinė dozė 600 mg)</w:t>
            </w:r>
          </w:p>
        </w:tc>
        <w:tc>
          <w:tcPr>
            <w:tcW w:w="2400" w:type="dxa"/>
            <w:tcBorders>
              <w:bottom w:val="nil"/>
            </w:tcBorders>
          </w:tcPr>
          <w:p w14:paraId="3904BF12"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vertAlign w:val="superscript"/>
                <w:lang w:val="lt-LT"/>
              </w:rPr>
              <w:t>a</w:t>
            </w:r>
            <w:r w:rsidRPr="00F93FFA">
              <w:rPr>
                <w:rFonts w:ascii="Times New Roman" w:hAnsi="Times New Roman"/>
                <w:color w:val="000000"/>
                <w:sz w:val="22"/>
                <w:szCs w:val="22"/>
                <w:lang w:val="lt-LT"/>
              </w:rPr>
              <w:t>ANS &lt; 0,5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0622EE55"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051DEFB9"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trombocitų &lt; 10 x 10</w:t>
            </w:r>
            <w:r w:rsidRPr="00F93FFA">
              <w:rPr>
                <w:color w:val="000000"/>
                <w:szCs w:val="22"/>
                <w:vertAlign w:val="superscript"/>
                <w:lang w:val="lt-LT"/>
              </w:rPr>
              <w:t>9</w:t>
            </w:r>
            <w:r w:rsidRPr="00F93FFA">
              <w:rPr>
                <w:color w:val="000000"/>
                <w:szCs w:val="22"/>
                <w:lang w:val="lt-LT"/>
              </w:rPr>
              <w:t>/l</w:t>
            </w:r>
          </w:p>
        </w:tc>
        <w:tc>
          <w:tcPr>
            <w:tcW w:w="4404" w:type="dxa"/>
            <w:tcBorders>
              <w:bottom w:val="nil"/>
            </w:tcBorders>
          </w:tcPr>
          <w:p w14:paraId="68825290"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Ištirti, ar citopenija nesusijusi su leukemija (kaulų čiulpų aspiratas ar biopsija).</w:t>
            </w:r>
          </w:p>
          <w:p w14:paraId="6AA64DA7"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Jei citopenija nesusijusi su leukemija, Glivec dozę sumažinti iki 400 mg.</w:t>
            </w:r>
          </w:p>
          <w:p w14:paraId="08FDFCBA"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Jei citopenija trunka 2 savaites, dozę dar sumažinti iki 300 mg.</w:t>
            </w:r>
          </w:p>
          <w:p w14:paraId="12D5251E" w14:textId="77777777" w:rsidR="003646A0" w:rsidRPr="00F93FFA" w:rsidRDefault="003646A0" w:rsidP="00DE16D0">
            <w:pPr>
              <w:pStyle w:val="EndnoteText"/>
              <w:widowControl w:val="0"/>
              <w:tabs>
                <w:tab w:val="clear" w:pos="567"/>
              </w:tabs>
              <w:ind w:left="444" w:hanging="444"/>
              <w:rPr>
                <w:color w:val="000000"/>
                <w:szCs w:val="22"/>
                <w:lang w:val="lt-LT"/>
              </w:rPr>
            </w:pPr>
            <w:r w:rsidRPr="00F93FFA">
              <w:rPr>
                <w:color w:val="000000"/>
                <w:szCs w:val="22"/>
                <w:lang w:val="lt-LT"/>
              </w:rPr>
              <w:t>4.</w:t>
            </w:r>
            <w:r w:rsidRPr="00F93FFA">
              <w:rPr>
                <w:color w:val="000000"/>
                <w:szCs w:val="22"/>
                <w:lang w:val="lt-LT"/>
              </w:rPr>
              <w:tab/>
              <w:t xml:space="preserve">Jei citopenija trunka 4 savaites ir yra nesusijusi su leukemija, Glivec nevartoti tol, kol ANS bus </w:t>
            </w:r>
            <w:r w:rsidRPr="00F93FFA">
              <w:rPr>
                <w:color w:val="000000"/>
                <w:szCs w:val="22"/>
                <w:lang w:val="lt-LT"/>
              </w:rPr>
              <w:sym w:font="Symbol" w:char="F0B3"/>
            </w:r>
            <w:r w:rsidRPr="00F93FFA">
              <w:rPr>
                <w:color w:val="000000"/>
                <w:szCs w:val="22"/>
                <w:lang w:val="lt-LT"/>
              </w:rPr>
              <w:t> 1 x 10</w:t>
            </w:r>
            <w:r w:rsidRPr="00F93FFA">
              <w:rPr>
                <w:color w:val="000000"/>
                <w:szCs w:val="22"/>
                <w:vertAlign w:val="superscript"/>
                <w:lang w:val="lt-LT"/>
              </w:rPr>
              <w:t>9</w:t>
            </w:r>
            <w:r w:rsidRPr="00F93FFA">
              <w:rPr>
                <w:color w:val="000000"/>
                <w:szCs w:val="22"/>
                <w:lang w:val="lt-LT"/>
              </w:rPr>
              <w:t xml:space="preserve">/l ir trombocitų </w:t>
            </w:r>
            <w:r w:rsidRPr="00F93FFA">
              <w:rPr>
                <w:color w:val="000000"/>
                <w:szCs w:val="22"/>
                <w:lang w:val="lt-LT"/>
              </w:rPr>
              <w:sym w:font="Symbol" w:char="F0B3"/>
            </w:r>
            <w:r w:rsidRPr="00F93FFA">
              <w:rPr>
                <w:color w:val="000000"/>
                <w:szCs w:val="22"/>
                <w:lang w:val="lt-LT"/>
              </w:rPr>
              <w:t> 20 x 10</w:t>
            </w:r>
            <w:r w:rsidRPr="00F93FFA">
              <w:rPr>
                <w:color w:val="000000"/>
                <w:szCs w:val="22"/>
                <w:vertAlign w:val="superscript"/>
                <w:lang w:val="lt-LT"/>
              </w:rPr>
              <w:t>9</w:t>
            </w:r>
            <w:r w:rsidRPr="00F93FFA">
              <w:rPr>
                <w:color w:val="000000"/>
                <w:szCs w:val="22"/>
                <w:lang w:val="lt-LT"/>
              </w:rPr>
              <w:t>/l, paskui gydymą atnaujinti 300 mg doze.</w:t>
            </w:r>
          </w:p>
        </w:tc>
      </w:tr>
      <w:tr w:rsidR="003646A0" w:rsidRPr="00F93FFA" w14:paraId="4CE49441" w14:textId="77777777" w:rsidTr="008B45F8">
        <w:trPr>
          <w:cantSplit/>
        </w:trPr>
        <w:tc>
          <w:tcPr>
            <w:tcW w:w="2376" w:type="dxa"/>
            <w:tcBorders>
              <w:bottom w:val="nil"/>
            </w:tcBorders>
          </w:tcPr>
          <w:p w14:paraId="41514A71"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LML akceleracijos fazė ir blastinė krizė (pradinė dozė 340 mg/m</w:t>
            </w:r>
            <w:r w:rsidRPr="00F93FFA">
              <w:rPr>
                <w:color w:val="000000"/>
                <w:szCs w:val="22"/>
                <w:vertAlign w:val="superscript"/>
                <w:lang w:val="lt-LT"/>
              </w:rPr>
              <w:t>2</w:t>
            </w:r>
            <w:r w:rsidRPr="00F93FFA">
              <w:rPr>
                <w:color w:val="000000"/>
                <w:szCs w:val="22"/>
                <w:lang w:val="lt-LT"/>
              </w:rPr>
              <w:t>)</w:t>
            </w:r>
          </w:p>
        </w:tc>
        <w:tc>
          <w:tcPr>
            <w:tcW w:w="2400" w:type="dxa"/>
            <w:tcBorders>
              <w:bottom w:val="nil"/>
            </w:tcBorders>
          </w:tcPr>
          <w:p w14:paraId="66A19742"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vertAlign w:val="superscript"/>
                <w:lang w:val="lt-LT"/>
              </w:rPr>
              <w:t>a</w:t>
            </w:r>
            <w:r w:rsidRPr="00F93FFA">
              <w:rPr>
                <w:rFonts w:ascii="Times New Roman" w:hAnsi="Times New Roman"/>
                <w:color w:val="000000"/>
                <w:sz w:val="22"/>
                <w:szCs w:val="22"/>
                <w:lang w:val="lt-LT"/>
              </w:rPr>
              <w:t>ANS &lt; 0,5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6034A062"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5DF9AE89" w14:textId="77777777" w:rsidR="003646A0" w:rsidRPr="00F93FFA" w:rsidRDefault="003646A0" w:rsidP="00DE16D0">
            <w:pPr>
              <w:pStyle w:val="Table"/>
              <w:keepNext w:val="0"/>
              <w:keepLines w:val="0"/>
              <w:widowControl w:val="0"/>
              <w:spacing w:before="0" w:after="0"/>
              <w:rPr>
                <w:rFonts w:ascii="Times New Roman" w:hAnsi="Times New Roman"/>
                <w:color w:val="000000"/>
                <w:sz w:val="22"/>
                <w:szCs w:val="22"/>
                <w:vertAlign w:val="superscript"/>
                <w:lang w:val="lt-LT"/>
              </w:rPr>
            </w:pPr>
            <w:r w:rsidRPr="00F93FFA">
              <w:rPr>
                <w:rFonts w:ascii="Times New Roman" w:hAnsi="Times New Roman"/>
                <w:color w:val="000000"/>
                <w:sz w:val="22"/>
                <w:szCs w:val="22"/>
                <w:lang w:val="lt-LT"/>
              </w:rPr>
              <w:t>trombocitų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Borders>
              <w:bottom w:val="nil"/>
            </w:tcBorders>
          </w:tcPr>
          <w:p w14:paraId="4EA99CEE"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Ištirti, ar citopenija nesusijusi su leukemija (kaulų čiulpų aspiratas ar biopsija).</w:t>
            </w:r>
          </w:p>
          <w:p w14:paraId="5BF62429"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Jei citopenija nesusijusi su leukemija, Glivec dozę sumažinti iki 260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w:t>
            </w:r>
          </w:p>
          <w:p w14:paraId="0CD62099"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Jei citopenija trunka 2 savaites, dozę dar sumažinti iki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w:t>
            </w:r>
          </w:p>
          <w:p w14:paraId="0DAD500C" w14:textId="77777777" w:rsidR="003646A0" w:rsidRPr="00F93FFA" w:rsidRDefault="003646A0" w:rsidP="00DE16D0">
            <w:pPr>
              <w:pStyle w:val="Table"/>
              <w:keepNext w:val="0"/>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4.</w:t>
            </w:r>
            <w:r w:rsidRPr="00F93FFA">
              <w:rPr>
                <w:rFonts w:ascii="Times New Roman" w:hAnsi="Times New Roman"/>
                <w:color w:val="000000"/>
                <w:sz w:val="22"/>
                <w:szCs w:val="22"/>
                <w:lang w:val="lt-LT"/>
              </w:rPr>
              <w:tab/>
              <w:t xml:space="preserve">Jei citopenija trunka 4 savaites ir yra nesusijusi su leukemija, Glivec nevartoti tol,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20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paskui gydymą atnaujinti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doze.</w:t>
            </w:r>
          </w:p>
        </w:tc>
      </w:tr>
      <w:tr w:rsidR="003646A0" w:rsidRPr="00F93FFA" w14:paraId="6779D738" w14:textId="77777777" w:rsidTr="008B45F8">
        <w:trPr>
          <w:cantSplit/>
        </w:trPr>
        <w:tc>
          <w:tcPr>
            <w:tcW w:w="2376" w:type="dxa"/>
            <w:tcBorders>
              <w:bottom w:val="nil"/>
            </w:tcBorders>
          </w:tcPr>
          <w:p w14:paraId="78186EC8"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DFSP</w:t>
            </w:r>
          </w:p>
          <w:p w14:paraId="5C5EE172" w14:textId="77777777" w:rsidR="003646A0" w:rsidRPr="00F93FFA" w:rsidRDefault="003646A0" w:rsidP="008B45F8">
            <w:pPr>
              <w:pStyle w:val="EndnoteText"/>
              <w:keepNext/>
              <w:widowControl w:val="0"/>
              <w:tabs>
                <w:tab w:val="clear" w:pos="567"/>
              </w:tabs>
              <w:rPr>
                <w:color w:val="000000"/>
                <w:szCs w:val="22"/>
                <w:lang w:val="lt-LT"/>
              </w:rPr>
            </w:pPr>
            <w:r w:rsidRPr="00F93FFA">
              <w:rPr>
                <w:color w:val="000000"/>
                <w:szCs w:val="22"/>
                <w:lang w:val="lt-LT"/>
              </w:rPr>
              <w:t>(kai dozė - 800 mg)</w:t>
            </w:r>
          </w:p>
        </w:tc>
        <w:tc>
          <w:tcPr>
            <w:tcW w:w="2400" w:type="dxa"/>
            <w:tcBorders>
              <w:bottom w:val="nil"/>
            </w:tcBorders>
          </w:tcPr>
          <w:p w14:paraId="3EFBB6BE"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599E792E" w14:textId="77777777" w:rsidR="003646A0" w:rsidRPr="00F93FFA" w:rsidRDefault="003646A0" w:rsidP="008B45F8">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ir (ar)</w:t>
            </w:r>
          </w:p>
          <w:p w14:paraId="2F9BB19A" w14:textId="77777777" w:rsidR="003646A0" w:rsidRPr="00F93FFA" w:rsidRDefault="003646A0" w:rsidP="008B45F8">
            <w:pPr>
              <w:pStyle w:val="Table"/>
              <w:keepLines w:val="0"/>
              <w:widowControl w:val="0"/>
              <w:spacing w:before="0" w:after="0"/>
              <w:rPr>
                <w:rFonts w:ascii="Times New Roman" w:hAnsi="Times New Roman"/>
                <w:color w:val="000000"/>
                <w:sz w:val="22"/>
                <w:szCs w:val="22"/>
                <w:vertAlign w:val="superscript"/>
                <w:lang w:val="lt-LT"/>
              </w:rPr>
            </w:pPr>
            <w:r w:rsidRPr="00F93FFA">
              <w:rPr>
                <w:rFonts w:ascii="Times New Roman" w:hAnsi="Times New Roman"/>
                <w:color w:val="000000"/>
                <w:sz w:val="22"/>
                <w:szCs w:val="22"/>
                <w:lang w:val="lt-LT"/>
              </w:rPr>
              <w:t>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tc>
        <w:tc>
          <w:tcPr>
            <w:tcW w:w="4404" w:type="dxa"/>
            <w:tcBorders>
              <w:bottom w:val="nil"/>
            </w:tcBorders>
          </w:tcPr>
          <w:p w14:paraId="02F93D43" w14:textId="77777777" w:rsidR="003646A0" w:rsidRPr="00F93FFA" w:rsidRDefault="003646A0" w:rsidP="008B45F8">
            <w:pPr>
              <w:pStyle w:val="Table"/>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1.</w:t>
            </w:r>
            <w:r w:rsidRPr="00F93FFA">
              <w:rPr>
                <w:rFonts w:ascii="Times New Roman" w:hAnsi="Times New Roman"/>
                <w:color w:val="000000"/>
                <w:sz w:val="22"/>
                <w:szCs w:val="22"/>
                <w:lang w:val="lt-LT"/>
              </w:rPr>
              <w:tab/>
              <w:t xml:space="preserve">Glivec vartojimą nutraukti, kol ANS bus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75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w:t>
            </w:r>
          </w:p>
          <w:p w14:paraId="2EAFDE6D" w14:textId="77777777" w:rsidR="003646A0" w:rsidRPr="00F93FFA" w:rsidRDefault="003646A0" w:rsidP="008B45F8">
            <w:pPr>
              <w:pStyle w:val="Table"/>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2.</w:t>
            </w:r>
            <w:r w:rsidRPr="00F93FFA">
              <w:rPr>
                <w:rFonts w:ascii="Times New Roman" w:hAnsi="Times New Roman"/>
                <w:color w:val="000000"/>
                <w:sz w:val="22"/>
                <w:szCs w:val="22"/>
                <w:lang w:val="lt-LT"/>
              </w:rPr>
              <w:tab/>
              <w:t>Gydymą Glivec atnaujinti 600 mg doze.</w:t>
            </w:r>
          </w:p>
          <w:p w14:paraId="2BF4C016" w14:textId="77777777" w:rsidR="003646A0" w:rsidRPr="00F93FFA" w:rsidRDefault="003646A0" w:rsidP="008B45F8">
            <w:pPr>
              <w:pStyle w:val="Table"/>
              <w:keepLines w:val="0"/>
              <w:widowControl w:val="0"/>
              <w:tabs>
                <w:tab w:val="clear" w:pos="284"/>
              </w:tabs>
              <w:spacing w:before="0" w:after="0"/>
              <w:ind w:left="444" w:hanging="444"/>
              <w:rPr>
                <w:rFonts w:ascii="Times New Roman" w:hAnsi="Times New Roman"/>
                <w:color w:val="000000"/>
                <w:sz w:val="22"/>
                <w:szCs w:val="22"/>
                <w:lang w:val="lt-LT"/>
              </w:rPr>
            </w:pPr>
            <w:r w:rsidRPr="00F93FFA">
              <w:rPr>
                <w:rFonts w:ascii="Times New Roman" w:hAnsi="Times New Roman"/>
                <w:color w:val="000000"/>
                <w:sz w:val="22"/>
                <w:szCs w:val="22"/>
                <w:lang w:val="lt-LT"/>
              </w:rPr>
              <w:t>3.</w:t>
            </w:r>
            <w:r w:rsidRPr="00F93FFA">
              <w:rPr>
                <w:rFonts w:ascii="Times New Roman" w:hAnsi="Times New Roman"/>
                <w:color w:val="000000"/>
                <w:sz w:val="22"/>
                <w:szCs w:val="22"/>
                <w:lang w:val="lt-LT"/>
              </w:rPr>
              <w:tab/>
              <w:t>Kartotinai sumažėjus ANS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ir (ar) trombocitų &lt; 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kartoti nuo 1</w:t>
            </w:r>
            <w:r w:rsidRPr="00F93FFA">
              <w:rPr>
                <w:rFonts w:ascii="Times New Roman" w:hAnsi="Times New Roman"/>
                <w:color w:val="000000"/>
                <w:sz w:val="22"/>
                <w:szCs w:val="22"/>
                <w:lang w:val="lt-LT"/>
              </w:rPr>
              <w:noBreakHyphen/>
              <w:t>ojo punkto ir gydymą Glivec atnaujinti sumažinta 400 mg doze.</w:t>
            </w:r>
          </w:p>
        </w:tc>
      </w:tr>
      <w:tr w:rsidR="003646A0" w:rsidRPr="00F93FFA" w14:paraId="3680996F" w14:textId="77777777" w:rsidTr="008B45F8">
        <w:trPr>
          <w:cantSplit/>
        </w:trPr>
        <w:tc>
          <w:tcPr>
            <w:tcW w:w="9180" w:type="dxa"/>
            <w:gridSpan w:val="3"/>
            <w:tcBorders>
              <w:bottom w:val="nil"/>
            </w:tcBorders>
          </w:tcPr>
          <w:p w14:paraId="48426745" w14:textId="1924B131" w:rsidR="003646A0" w:rsidRPr="00F93FFA" w:rsidRDefault="003646A0" w:rsidP="00B37342">
            <w:pPr>
              <w:pStyle w:val="EndnoteText"/>
              <w:keepNext/>
              <w:widowControl w:val="0"/>
              <w:tabs>
                <w:tab w:val="clear" w:pos="567"/>
              </w:tabs>
              <w:rPr>
                <w:color w:val="000000"/>
                <w:szCs w:val="22"/>
                <w:lang w:val="lt-LT"/>
              </w:rPr>
            </w:pPr>
            <w:r w:rsidRPr="00F93FFA">
              <w:rPr>
                <w:color w:val="000000"/>
                <w:szCs w:val="22"/>
                <w:lang w:val="lt-LT"/>
              </w:rPr>
              <w:t>ANS</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absoliutus neutrofilų skaičius</w:t>
            </w:r>
          </w:p>
        </w:tc>
      </w:tr>
      <w:tr w:rsidR="003646A0" w:rsidRPr="00F93FFA" w14:paraId="36ED97A4" w14:textId="77777777" w:rsidTr="008B45F8">
        <w:trPr>
          <w:cantSplit/>
        </w:trPr>
        <w:tc>
          <w:tcPr>
            <w:tcW w:w="9180" w:type="dxa"/>
            <w:gridSpan w:val="3"/>
            <w:tcBorders>
              <w:top w:val="nil"/>
            </w:tcBorders>
          </w:tcPr>
          <w:p w14:paraId="7E8B0938" w14:textId="77777777" w:rsidR="003646A0" w:rsidRPr="00F93FFA" w:rsidRDefault="003646A0" w:rsidP="008B45F8">
            <w:pPr>
              <w:pStyle w:val="EndnoteText"/>
              <w:keepNext/>
              <w:widowControl w:val="0"/>
              <w:tabs>
                <w:tab w:val="clear" w:pos="567"/>
              </w:tabs>
              <w:rPr>
                <w:color w:val="000000"/>
                <w:szCs w:val="22"/>
                <w:lang w:val="lt-LT"/>
              </w:rPr>
            </w:pPr>
            <w:r w:rsidRPr="00F93FFA">
              <w:rPr>
                <w:color w:val="000000"/>
                <w:szCs w:val="22"/>
                <w:vertAlign w:val="superscript"/>
                <w:lang w:val="lt-LT"/>
              </w:rPr>
              <w:t xml:space="preserve">a </w:t>
            </w:r>
            <w:r w:rsidRPr="00F93FFA">
              <w:rPr>
                <w:color w:val="000000"/>
                <w:szCs w:val="22"/>
                <w:lang w:val="lt-LT"/>
              </w:rPr>
              <w:t>atsiranda mažiausiai po 1 gydymo mėnesio</w:t>
            </w:r>
          </w:p>
        </w:tc>
      </w:tr>
    </w:tbl>
    <w:p w14:paraId="53DF3070" w14:textId="77777777" w:rsidR="003646A0" w:rsidRPr="00F93FFA" w:rsidRDefault="003646A0" w:rsidP="00DE16D0">
      <w:pPr>
        <w:widowControl w:val="0"/>
        <w:rPr>
          <w:color w:val="000000"/>
          <w:sz w:val="22"/>
          <w:szCs w:val="22"/>
        </w:rPr>
      </w:pPr>
    </w:p>
    <w:p w14:paraId="34522BEE" w14:textId="77777777" w:rsidR="003646A0" w:rsidRPr="00F93FFA" w:rsidRDefault="003646A0" w:rsidP="008B45F8">
      <w:pPr>
        <w:keepNext/>
        <w:widowControl w:val="0"/>
        <w:rPr>
          <w:color w:val="000000"/>
          <w:sz w:val="22"/>
          <w:szCs w:val="22"/>
        </w:rPr>
      </w:pPr>
      <w:r w:rsidRPr="00F93FFA">
        <w:rPr>
          <w:color w:val="000000"/>
          <w:sz w:val="22"/>
          <w:szCs w:val="22"/>
          <w:u w:val="single"/>
        </w:rPr>
        <w:t>Specialios populiacijos</w:t>
      </w:r>
    </w:p>
    <w:p w14:paraId="4F6C0ADF" w14:textId="2FAE5907" w:rsidR="003646A0" w:rsidRPr="00F93FFA" w:rsidRDefault="003646A0" w:rsidP="00DE16D0">
      <w:pPr>
        <w:widowControl w:val="0"/>
        <w:rPr>
          <w:color w:val="000000"/>
          <w:sz w:val="22"/>
          <w:szCs w:val="22"/>
        </w:rPr>
      </w:pPr>
      <w:r w:rsidRPr="00F93FFA">
        <w:rPr>
          <w:i/>
          <w:color w:val="000000"/>
          <w:sz w:val="22"/>
          <w:szCs w:val="22"/>
        </w:rPr>
        <w:t>Vaikams.</w:t>
      </w:r>
      <w:r w:rsidRPr="00F93FFA">
        <w:rPr>
          <w:color w:val="000000"/>
          <w:sz w:val="22"/>
          <w:szCs w:val="22"/>
        </w:rPr>
        <w:t xml:space="preserve"> Vartojimo vaikams, jaunesniems kaip 2 metų ir sergantiems LML bei jaunesniems kaip 1 metų ir sergantiems Ph+ ŪLL, patirties nėra (žr. 5.1</w:t>
      </w:r>
      <w:r w:rsidR="00BF7B5C" w:rsidRPr="00F93FFA">
        <w:rPr>
          <w:color w:val="000000"/>
          <w:sz w:val="22"/>
          <w:szCs w:val="22"/>
        </w:rPr>
        <w:t> </w:t>
      </w:r>
      <w:r w:rsidRPr="00F93FFA">
        <w:rPr>
          <w:color w:val="000000"/>
          <w:sz w:val="22"/>
          <w:szCs w:val="22"/>
        </w:rPr>
        <w:t>skyrių). Vartojimo patirtis vaikams, sergantiems MDS/MPL, DFSP, VTSN ir HES/LEL, labai ribota.</w:t>
      </w:r>
    </w:p>
    <w:p w14:paraId="7EE9FCCD" w14:textId="77777777" w:rsidR="003646A0" w:rsidRPr="00F93FFA" w:rsidRDefault="003646A0" w:rsidP="00DE16D0">
      <w:pPr>
        <w:widowControl w:val="0"/>
        <w:rPr>
          <w:color w:val="000000"/>
          <w:sz w:val="22"/>
          <w:szCs w:val="22"/>
        </w:rPr>
      </w:pPr>
    </w:p>
    <w:p w14:paraId="719444F9" w14:textId="4E9A2C2C" w:rsidR="003646A0" w:rsidRPr="00F93FFA" w:rsidRDefault="003646A0" w:rsidP="00DE16D0">
      <w:pPr>
        <w:widowControl w:val="0"/>
        <w:rPr>
          <w:color w:val="000000"/>
          <w:sz w:val="22"/>
          <w:szCs w:val="22"/>
        </w:rPr>
      </w:pPr>
      <w:r w:rsidRPr="00F93FFA">
        <w:rPr>
          <w:color w:val="000000"/>
          <w:sz w:val="22"/>
          <w:szCs w:val="22"/>
        </w:rPr>
        <w:t xml:space="preserve">Klinikinių tyrimų metu imatinibo saugumas ir veiksmingumas jaunesniems kaip 18 metų vaikams, sergantiems MDS/MPL, DFSP, VTSN ir HES/LEL, neištirti. </w:t>
      </w:r>
      <w:r w:rsidRPr="00F93FFA">
        <w:rPr>
          <w:sz w:val="22"/>
          <w:szCs w:val="22"/>
        </w:rPr>
        <w:t>Turimi literatūros duomenys pateikiami 5.1</w:t>
      </w:r>
      <w:r w:rsidR="00BF7B5C" w:rsidRPr="00F93FFA">
        <w:rPr>
          <w:sz w:val="22"/>
          <w:szCs w:val="22"/>
        </w:rPr>
        <w:t> </w:t>
      </w:r>
      <w:r w:rsidRPr="00F93FFA">
        <w:rPr>
          <w:sz w:val="22"/>
          <w:szCs w:val="22"/>
        </w:rPr>
        <w:t>skyriuje, tačiau dozavimo rekomendacijų pateikti negalima</w:t>
      </w:r>
      <w:r w:rsidRPr="00F93FFA">
        <w:rPr>
          <w:color w:val="000000"/>
          <w:sz w:val="22"/>
          <w:szCs w:val="22"/>
        </w:rPr>
        <w:t>.</w:t>
      </w:r>
    </w:p>
    <w:p w14:paraId="6026F213" w14:textId="77777777" w:rsidR="003646A0" w:rsidRPr="00F93FFA" w:rsidRDefault="003646A0" w:rsidP="00DE16D0">
      <w:pPr>
        <w:widowControl w:val="0"/>
        <w:rPr>
          <w:color w:val="000000"/>
          <w:sz w:val="22"/>
          <w:szCs w:val="22"/>
        </w:rPr>
      </w:pPr>
    </w:p>
    <w:p w14:paraId="5121B937" w14:textId="0B9D6A88" w:rsidR="003646A0" w:rsidRPr="00F93FFA" w:rsidRDefault="003646A0" w:rsidP="00DE16D0">
      <w:pPr>
        <w:widowControl w:val="0"/>
        <w:rPr>
          <w:color w:val="000000"/>
          <w:sz w:val="22"/>
          <w:szCs w:val="22"/>
        </w:rPr>
      </w:pPr>
      <w:r w:rsidRPr="00F93FFA">
        <w:rPr>
          <w:i/>
          <w:color w:val="000000"/>
          <w:sz w:val="22"/>
          <w:szCs w:val="22"/>
        </w:rPr>
        <w:t>Kepenų nepakankamumas.</w:t>
      </w:r>
      <w:r w:rsidRPr="00F93FFA">
        <w:rPr>
          <w:color w:val="000000"/>
          <w:sz w:val="22"/>
          <w:szCs w:val="22"/>
        </w:rPr>
        <w:t xml:space="preserve"> Daugiausia imatinibo metabolizuojama kepenyse. Pacientams, kuriems yra nedidelis, vidutinis ar didelis kepenų funkcijos sutrikimas, skirti mažiausią rekomenduojamą 400 mg paros dozę. Dozę galima mažinti, jeigu netoleruojama (žr. 4.4, 4.8 ir 5.2</w:t>
      </w:r>
      <w:r w:rsidR="00BF7B5C" w:rsidRPr="00F93FFA">
        <w:rPr>
          <w:color w:val="000000"/>
          <w:sz w:val="22"/>
          <w:szCs w:val="22"/>
        </w:rPr>
        <w:t> </w:t>
      </w:r>
      <w:r w:rsidRPr="00F93FFA">
        <w:rPr>
          <w:color w:val="000000"/>
          <w:sz w:val="22"/>
          <w:szCs w:val="22"/>
        </w:rPr>
        <w:t>skyrius).</w:t>
      </w:r>
    </w:p>
    <w:p w14:paraId="15CB458E" w14:textId="77777777" w:rsidR="003646A0" w:rsidRPr="00F93FFA" w:rsidRDefault="003646A0" w:rsidP="00DE16D0">
      <w:pPr>
        <w:pStyle w:val="EndnoteText"/>
        <w:widowControl w:val="0"/>
        <w:tabs>
          <w:tab w:val="clear" w:pos="567"/>
        </w:tabs>
        <w:rPr>
          <w:color w:val="000000"/>
          <w:szCs w:val="22"/>
          <w:lang w:val="lt-LT"/>
        </w:rPr>
      </w:pPr>
    </w:p>
    <w:p w14:paraId="32381282"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Kepenų funkcijos sutrikimų klasifikacija:</w:t>
      </w:r>
    </w:p>
    <w:p w14:paraId="2C2AC85D" w14:textId="77777777" w:rsidR="003646A0" w:rsidRPr="00F93FFA" w:rsidRDefault="003646A0" w:rsidP="008B45F8">
      <w:pPr>
        <w:pStyle w:val="Text"/>
        <w:keepNext/>
        <w:widowControl w:val="0"/>
        <w:spacing w:before="0"/>
        <w:jc w:val="left"/>
        <w:rPr>
          <w:color w:val="000000"/>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5777"/>
      </w:tblGrid>
      <w:tr w:rsidR="003646A0" w:rsidRPr="00F93FFA" w14:paraId="70F8F17E" w14:textId="77777777" w:rsidTr="008B45F8">
        <w:trPr>
          <w:cantSplit/>
        </w:trPr>
        <w:tc>
          <w:tcPr>
            <w:tcW w:w="3369" w:type="dxa"/>
          </w:tcPr>
          <w:p w14:paraId="0055680A"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Kepenų funkcijos sutrikimas</w:t>
            </w:r>
          </w:p>
        </w:tc>
        <w:tc>
          <w:tcPr>
            <w:tcW w:w="5918" w:type="dxa"/>
          </w:tcPr>
          <w:p w14:paraId="6784E959"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Kepenų funkcijos tyrimai</w:t>
            </w:r>
          </w:p>
        </w:tc>
      </w:tr>
      <w:tr w:rsidR="003646A0" w:rsidRPr="00F93FFA" w14:paraId="1779342F" w14:textId="77777777" w:rsidTr="008B45F8">
        <w:trPr>
          <w:cantSplit/>
        </w:trPr>
        <w:tc>
          <w:tcPr>
            <w:tcW w:w="3369" w:type="dxa"/>
          </w:tcPr>
          <w:p w14:paraId="19556829"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Nedidelis</w:t>
            </w:r>
          </w:p>
        </w:tc>
        <w:tc>
          <w:tcPr>
            <w:tcW w:w="5918" w:type="dxa"/>
          </w:tcPr>
          <w:p w14:paraId="7C89AA42" w14:textId="49D75B5A" w:rsidR="003646A0" w:rsidRPr="00F93FFA" w:rsidRDefault="003646A0" w:rsidP="008B45F8">
            <w:pPr>
              <w:keepNext/>
              <w:widowControl w:val="0"/>
              <w:rPr>
                <w:snapToGrid w:val="0"/>
                <w:color w:val="000000"/>
                <w:sz w:val="22"/>
                <w:szCs w:val="22"/>
              </w:rPr>
            </w:pPr>
            <w:r w:rsidRPr="00F93FFA">
              <w:rPr>
                <w:snapToGrid w:val="0"/>
                <w:color w:val="000000"/>
                <w:sz w:val="22"/>
                <w:szCs w:val="22"/>
              </w:rPr>
              <w:t>Bendras bilirubinas:</w:t>
            </w:r>
            <w:r w:rsidR="00B37342" w:rsidRPr="00F93FFA">
              <w:rPr>
                <w:snapToGrid w:val="0"/>
                <w:color w:val="000000"/>
                <w:sz w:val="22"/>
                <w:szCs w:val="22"/>
              </w:rPr>
              <w:t> </w:t>
            </w:r>
            <w:r w:rsidRPr="00F93FFA">
              <w:rPr>
                <w:snapToGrid w:val="0"/>
                <w:color w:val="000000"/>
                <w:sz w:val="22"/>
                <w:szCs w:val="22"/>
              </w:rPr>
              <w:t>=</w:t>
            </w:r>
            <w:r w:rsidR="00B37342" w:rsidRPr="00F93FFA">
              <w:rPr>
                <w:snapToGrid w:val="0"/>
                <w:color w:val="000000"/>
                <w:sz w:val="22"/>
                <w:szCs w:val="22"/>
              </w:rPr>
              <w:t> </w:t>
            </w:r>
            <w:r w:rsidRPr="00F93FFA">
              <w:rPr>
                <w:snapToGrid w:val="0"/>
                <w:color w:val="000000"/>
                <w:sz w:val="22"/>
                <w:szCs w:val="22"/>
              </w:rPr>
              <w:t>1,5 VNR</w:t>
            </w:r>
          </w:p>
          <w:p w14:paraId="48559D1D" w14:textId="77777777" w:rsidR="003646A0" w:rsidRPr="00F93FFA" w:rsidRDefault="003646A0" w:rsidP="008B45F8">
            <w:pPr>
              <w:pStyle w:val="Text"/>
              <w:keepNext/>
              <w:widowControl w:val="0"/>
              <w:spacing w:before="0"/>
              <w:jc w:val="left"/>
              <w:rPr>
                <w:color w:val="000000"/>
                <w:sz w:val="22"/>
                <w:szCs w:val="22"/>
                <w:lang w:val="lt-LT"/>
              </w:rPr>
            </w:pPr>
            <w:r w:rsidRPr="00F93FFA">
              <w:rPr>
                <w:snapToGrid w:val="0"/>
                <w:color w:val="000000"/>
                <w:sz w:val="22"/>
                <w:szCs w:val="22"/>
                <w:lang w:val="lt-LT"/>
              </w:rPr>
              <w:t>AST: &gt; VNR (gali būti normali ar &lt; VNR, jei bendras bilirubinas &gt; VNR)</w:t>
            </w:r>
          </w:p>
        </w:tc>
      </w:tr>
      <w:tr w:rsidR="003646A0" w:rsidRPr="00F93FFA" w14:paraId="30E0A4A7" w14:textId="77777777" w:rsidTr="008B45F8">
        <w:trPr>
          <w:cantSplit/>
        </w:trPr>
        <w:tc>
          <w:tcPr>
            <w:tcW w:w="3369" w:type="dxa"/>
          </w:tcPr>
          <w:p w14:paraId="1FD3AFF7"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Vidutinis</w:t>
            </w:r>
          </w:p>
        </w:tc>
        <w:tc>
          <w:tcPr>
            <w:tcW w:w="5918" w:type="dxa"/>
          </w:tcPr>
          <w:p w14:paraId="171255BF" w14:textId="77777777" w:rsidR="003646A0" w:rsidRPr="00F93FFA" w:rsidRDefault="003646A0" w:rsidP="008B45F8">
            <w:pPr>
              <w:keepNext/>
              <w:widowControl w:val="0"/>
              <w:rPr>
                <w:snapToGrid w:val="0"/>
                <w:color w:val="000000"/>
                <w:sz w:val="22"/>
                <w:szCs w:val="22"/>
              </w:rPr>
            </w:pPr>
            <w:r w:rsidRPr="00F93FFA">
              <w:rPr>
                <w:snapToGrid w:val="0"/>
                <w:color w:val="000000"/>
                <w:sz w:val="22"/>
                <w:szCs w:val="22"/>
              </w:rPr>
              <w:t>Bendras bilirubinas: &gt; 1,5</w:t>
            </w:r>
            <w:r w:rsidRPr="00F93FFA">
              <w:rPr>
                <w:color w:val="000000"/>
                <w:sz w:val="22"/>
                <w:szCs w:val="22"/>
              </w:rPr>
              <w:t>–</w:t>
            </w:r>
            <w:r w:rsidRPr="00F93FFA">
              <w:rPr>
                <w:snapToGrid w:val="0"/>
                <w:color w:val="000000"/>
                <w:sz w:val="22"/>
                <w:szCs w:val="22"/>
              </w:rPr>
              <w:t>3,0 VNR</w:t>
            </w:r>
          </w:p>
          <w:p w14:paraId="35705103" w14:textId="77777777" w:rsidR="003646A0" w:rsidRPr="00F93FFA" w:rsidRDefault="003646A0" w:rsidP="008B45F8">
            <w:pPr>
              <w:pStyle w:val="Text"/>
              <w:keepNext/>
              <w:widowControl w:val="0"/>
              <w:spacing w:before="0"/>
              <w:jc w:val="left"/>
              <w:rPr>
                <w:color w:val="000000"/>
                <w:sz w:val="22"/>
                <w:szCs w:val="22"/>
                <w:lang w:val="lt-LT"/>
              </w:rPr>
            </w:pPr>
            <w:r w:rsidRPr="00F93FFA">
              <w:rPr>
                <w:snapToGrid w:val="0"/>
                <w:color w:val="000000"/>
                <w:sz w:val="22"/>
                <w:szCs w:val="22"/>
                <w:lang w:val="lt-LT"/>
              </w:rPr>
              <w:t xml:space="preserve">AST: bet kokia </w:t>
            </w:r>
          </w:p>
        </w:tc>
      </w:tr>
      <w:tr w:rsidR="003646A0" w:rsidRPr="00F93FFA" w14:paraId="1CEBEF36" w14:textId="77777777" w:rsidTr="008B45F8">
        <w:trPr>
          <w:cantSplit/>
        </w:trPr>
        <w:tc>
          <w:tcPr>
            <w:tcW w:w="3369" w:type="dxa"/>
          </w:tcPr>
          <w:p w14:paraId="351955DD" w14:textId="77777777"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Sunkus</w:t>
            </w:r>
          </w:p>
        </w:tc>
        <w:tc>
          <w:tcPr>
            <w:tcW w:w="5918" w:type="dxa"/>
          </w:tcPr>
          <w:p w14:paraId="27FFC5CB" w14:textId="77777777" w:rsidR="003646A0" w:rsidRPr="00F93FFA" w:rsidRDefault="003646A0" w:rsidP="008B45F8">
            <w:pPr>
              <w:keepNext/>
              <w:widowControl w:val="0"/>
              <w:rPr>
                <w:snapToGrid w:val="0"/>
                <w:color w:val="000000"/>
                <w:sz w:val="22"/>
                <w:szCs w:val="22"/>
              </w:rPr>
            </w:pPr>
            <w:r w:rsidRPr="00F93FFA">
              <w:rPr>
                <w:snapToGrid w:val="0"/>
                <w:color w:val="000000"/>
                <w:sz w:val="22"/>
                <w:szCs w:val="22"/>
              </w:rPr>
              <w:t>Bendras bilirubinas: &gt; 3</w:t>
            </w:r>
            <w:r w:rsidRPr="00F93FFA">
              <w:rPr>
                <w:color w:val="000000"/>
                <w:sz w:val="22"/>
                <w:szCs w:val="22"/>
              </w:rPr>
              <w:t>–</w:t>
            </w:r>
            <w:r w:rsidRPr="00F93FFA">
              <w:rPr>
                <w:snapToGrid w:val="0"/>
                <w:color w:val="000000"/>
                <w:sz w:val="22"/>
                <w:szCs w:val="22"/>
              </w:rPr>
              <w:t>10 VNR</w:t>
            </w:r>
          </w:p>
          <w:p w14:paraId="1A53D3AA" w14:textId="77777777" w:rsidR="003646A0" w:rsidRPr="00F93FFA" w:rsidRDefault="003646A0" w:rsidP="008B45F8">
            <w:pPr>
              <w:pStyle w:val="Text"/>
              <w:keepNext/>
              <w:widowControl w:val="0"/>
              <w:spacing w:before="0"/>
              <w:jc w:val="left"/>
              <w:rPr>
                <w:color w:val="000000"/>
                <w:sz w:val="22"/>
                <w:szCs w:val="22"/>
                <w:lang w:val="lt-LT"/>
              </w:rPr>
            </w:pPr>
            <w:r w:rsidRPr="00F93FFA">
              <w:rPr>
                <w:snapToGrid w:val="0"/>
                <w:color w:val="000000"/>
                <w:sz w:val="22"/>
                <w:szCs w:val="22"/>
                <w:lang w:val="lt-LT"/>
              </w:rPr>
              <w:t>AST: bet kokia</w:t>
            </w:r>
          </w:p>
        </w:tc>
      </w:tr>
    </w:tbl>
    <w:p w14:paraId="2244A4EA" w14:textId="3B45D8B9" w:rsidR="003646A0" w:rsidRPr="00F93FFA" w:rsidRDefault="003646A0" w:rsidP="008B45F8">
      <w:pPr>
        <w:pStyle w:val="Text"/>
        <w:keepNext/>
        <w:widowControl w:val="0"/>
        <w:spacing w:before="0"/>
        <w:jc w:val="left"/>
        <w:rPr>
          <w:color w:val="000000"/>
          <w:sz w:val="22"/>
          <w:szCs w:val="22"/>
          <w:lang w:val="lt-LT"/>
        </w:rPr>
      </w:pPr>
      <w:r w:rsidRPr="00F93FFA">
        <w:rPr>
          <w:color w:val="000000"/>
          <w:sz w:val="22"/>
          <w:szCs w:val="22"/>
          <w:lang w:val="lt-LT"/>
        </w:rPr>
        <w:t>VNR</w:t>
      </w:r>
      <w:r w:rsidR="00B37342" w:rsidRPr="00F93FFA">
        <w:rPr>
          <w:color w:val="000000"/>
          <w:sz w:val="22"/>
          <w:szCs w:val="22"/>
          <w:lang w:val="lt-LT"/>
        </w:rPr>
        <w:t> </w:t>
      </w:r>
      <w:r w:rsidRPr="00F93FFA">
        <w:rPr>
          <w:color w:val="000000"/>
          <w:sz w:val="22"/>
          <w:szCs w:val="22"/>
          <w:lang w:val="lt-LT"/>
        </w:rPr>
        <w:t>=</w:t>
      </w:r>
      <w:r w:rsidR="00B37342" w:rsidRPr="00F93FFA">
        <w:rPr>
          <w:color w:val="000000"/>
          <w:sz w:val="22"/>
          <w:szCs w:val="22"/>
          <w:lang w:val="lt-LT"/>
        </w:rPr>
        <w:t> </w:t>
      </w:r>
      <w:r w:rsidRPr="00F93FFA">
        <w:rPr>
          <w:color w:val="000000"/>
          <w:sz w:val="22"/>
          <w:szCs w:val="22"/>
          <w:lang w:val="lt-LT"/>
        </w:rPr>
        <w:t>viršutinė normos riba institucijoje</w:t>
      </w:r>
    </w:p>
    <w:p w14:paraId="3E77649F" w14:textId="427C2B0E" w:rsidR="003646A0" w:rsidRPr="00F93FFA" w:rsidRDefault="003646A0" w:rsidP="008B45F8">
      <w:pPr>
        <w:keepNext/>
        <w:widowControl w:val="0"/>
        <w:autoSpaceDE w:val="0"/>
        <w:autoSpaceDN w:val="0"/>
        <w:adjustRightInd w:val="0"/>
        <w:ind w:left="993" w:hanging="993"/>
        <w:rPr>
          <w:rFonts w:eastAsia="MS Mincho"/>
          <w:bCs/>
          <w:color w:val="000000"/>
          <w:sz w:val="22"/>
          <w:szCs w:val="22"/>
          <w:lang w:eastAsia="ja-JP"/>
        </w:rPr>
      </w:pPr>
      <w:r w:rsidRPr="00F93FFA">
        <w:rPr>
          <w:rFonts w:eastAsia="MS Mincho"/>
          <w:bCs/>
          <w:color w:val="000000"/>
          <w:sz w:val="22"/>
          <w:szCs w:val="22"/>
          <w:lang w:eastAsia="ja-JP"/>
        </w:rPr>
        <w:t>AST</w:t>
      </w:r>
      <w:r w:rsidR="00B37342" w:rsidRPr="00F93FFA">
        <w:rPr>
          <w:rFonts w:eastAsia="MS Mincho"/>
          <w:bCs/>
          <w:color w:val="000000"/>
          <w:sz w:val="22"/>
          <w:szCs w:val="22"/>
          <w:lang w:eastAsia="ja-JP"/>
        </w:rPr>
        <w:t> </w:t>
      </w:r>
      <w:r w:rsidRPr="00F93FFA">
        <w:rPr>
          <w:rFonts w:eastAsia="MS Mincho"/>
          <w:bCs/>
          <w:color w:val="000000"/>
          <w:sz w:val="22"/>
          <w:szCs w:val="22"/>
          <w:lang w:eastAsia="ja-JP"/>
        </w:rPr>
        <w:t>=</w:t>
      </w:r>
      <w:r w:rsidR="00B37342" w:rsidRPr="00F93FFA">
        <w:rPr>
          <w:rFonts w:eastAsia="MS Mincho"/>
          <w:bCs/>
          <w:color w:val="000000"/>
          <w:sz w:val="22"/>
          <w:szCs w:val="22"/>
          <w:lang w:eastAsia="ja-JP"/>
        </w:rPr>
        <w:t> </w:t>
      </w:r>
      <w:r w:rsidRPr="00F93FFA">
        <w:rPr>
          <w:color w:val="000000"/>
          <w:sz w:val="22"/>
          <w:szCs w:val="22"/>
        </w:rPr>
        <w:t>aspartataminotransferazė</w:t>
      </w:r>
    </w:p>
    <w:p w14:paraId="055C09C6" w14:textId="77777777" w:rsidR="003646A0" w:rsidRPr="00F93FFA" w:rsidRDefault="003646A0" w:rsidP="00DE16D0">
      <w:pPr>
        <w:widowControl w:val="0"/>
        <w:rPr>
          <w:color w:val="000000"/>
          <w:sz w:val="22"/>
          <w:szCs w:val="22"/>
        </w:rPr>
      </w:pPr>
    </w:p>
    <w:p w14:paraId="36EF9486" w14:textId="308C941A" w:rsidR="003646A0" w:rsidRPr="00F93FFA" w:rsidRDefault="003646A0" w:rsidP="00DE16D0">
      <w:pPr>
        <w:widowControl w:val="0"/>
        <w:rPr>
          <w:color w:val="000000"/>
          <w:sz w:val="22"/>
          <w:szCs w:val="22"/>
        </w:rPr>
      </w:pPr>
      <w:r w:rsidRPr="00F93FFA">
        <w:rPr>
          <w:i/>
          <w:color w:val="000000"/>
          <w:sz w:val="22"/>
          <w:szCs w:val="22"/>
        </w:rPr>
        <w:t>Inkstų nepakankamumas.</w:t>
      </w:r>
      <w:r w:rsidRPr="00F93FFA">
        <w:rPr>
          <w:color w:val="000000"/>
          <w:sz w:val="22"/>
          <w:szCs w:val="22"/>
        </w:rPr>
        <w:t xml:space="preserve"> Pacientams, kuriems yra inkstų funkcijos sutrikimas</w:t>
      </w:r>
      <w:r w:rsidRPr="00F93FFA">
        <w:rPr>
          <w:snapToGrid w:val="0"/>
          <w:color w:val="000000"/>
          <w:sz w:val="22"/>
          <w:szCs w:val="22"/>
        </w:rPr>
        <w:t xml:space="preserve"> ar atliekamos dializės</w:t>
      </w:r>
      <w:r w:rsidRPr="00F93FFA">
        <w:rPr>
          <w:color w:val="000000"/>
          <w:sz w:val="22"/>
          <w:szCs w:val="22"/>
        </w:rPr>
        <w:t>, iš pradžių turi būti skiriama mažiausia rekomenduojama 400 mg paros dozė. Tačiau rekomenduojama imtis atsargumo priemonių. Netoleruojamą dozę galima mažinti, Jei dozė yra neveiksminga – didinti (žr. 4.4 ir 5.2</w:t>
      </w:r>
      <w:r w:rsidR="00BF7B5C" w:rsidRPr="00F93FFA">
        <w:rPr>
          <w:color w:val="000000"/>
          <w:sz w:val="22"/>
          <w:szCs w:val="22"/>
        </w:rPr>
        <w:t> </w:t>
      </w:r>
      <w:r w:rsidRPr="00F93FFA">
        <w:rPr>
          <w:color w:val="000000"/>
          <w:sz w:val="22"/>
          <w:szCs w:val="22"/>
        </w:rPr>
        <w:t>skyrius).</w:t>
      </w:r>
    </w:p>
    <w:p w14:paraId="202196DF" w14:textId="77777777" w:rsidR="003646A0" w:rsidRPr="00F93FFA" w:rsidRDefault="003646A0" w:rsidP="00DE16D0">
      <w:pPr>
        <w:pStyle w:val="EndnoteText"/>
        <w:widowControl w:val="0"/>
        <w:tabs>
          <w:tab w:val="clear" w:pos="567"/>
        </w:tabs>
        <w:rPr>
          <w:color w:val="000000"/>
          <w:szCs w:val="22"/>
          <w:lang w:val="lt-LT"/>
        </w:rPr>
      </w:pPr>
    </w:p>
    <w:p w14:paraId="43A5B9B6" w14:textId="77777777" w:rsidR="003646A0" w:rsidRPr="00F93FFA" w:rsidRDefault="003646A0" w:rsidP="00DE16D0">
      <w:pPr>
        <w:widowControl w:val="0"/>
        <w:rPr>
          <w:color w:val="000000"/>
          <w:sz w:val="22"/>
          <w:szCs w:val="22"/>
        </w:rPr>
      </w:pPr>
      <w:r w:rsidRPr="00F93FFA">
        <w:rPr>
          <w:i/>
          <w:color w:val="000000"/>
          <w:sz w:val="22"/>
          <w:szCs w:val="22"/>
        </w:rPr>
        <w:t xml:space="preserve">Senyvi </w:t>
      </w:r>
      <w:r w:rsidR="00C80989" w:rsidRPr="00F93FFA">
        <w:rPr>
          <w:i/>
          <w:color w:val="000000"/>
          <w:sz w:val="22"/>
          <w:szCs w:val="22"/>
        </w:rPr>
        <w:t>žmonės</w:t>
      </w:r>
      <w:r w:rsidRPr="00F93FFA">
        <w:rPr>
          <w:i/>
          <w:color w:val="000000"/>
          <w:sz w:val="22"/>
          <w:szCs w:val="22"/>
        </w:rPr>
        <w:t>.</w:t>
      </w:r>
      <w:r w:rsidRPr="00F93FFA">
        <w:rPr>
          <w:color w:val="000000"/>
          <w:sz w:val="22"/>
          <w:szCs w:val="22"/>
        </w:rPr>
        <w:t xml:space="preserve"> Senyvų žmonių imatinibo farmakokinetika nebuvo specialiai tirta. Klinikinių tyrimų, kuriuose dalyvavo daugiau kaip 20 % 65 metų ir vyresnių pacientų, metu reikšmingų, su amžiumi susijusių farmakokinetikos pokyčių nestebėta. </w:t>
      </w:r>
      <w:r w:rsidR="00C80989" w:rsidRPr="00F93FFA">
        <w:rPr>
          <w:color w:val="000000"/>
          <w:sz w:val="22"/>
          <w:szCs w:val="22"/>
        </w:rPr>
        <w:t>Specifinės dozavimo rekomendacijos s</w:t>
      </w:r>
      <w:r w:rsidRPr="00F93FFA">
        <w:rPr>
          <w:color w:val="000000"/>
          <w:sz w:val="22"/>
          <w:szCs w:val="22"/>
        </w:rPr>
        <w:t xml:space="preserve">enyviems </w:t>
      </w:r>
      <w:r w:rsidR="00C80989" w:rsidRPr="00F93FFA">
        <w:rPr>
          <w:color w:val="000000"/>
          <w:sz w:val="22"/>
          <w:szCs w:val="22"/>
        </w:rPr>
        <w:t>žmonėms</w:t>
      </w:r>
      <w:r w:rsidRPr="00F93FFA">
        <w:rPr>
          <w:color w:val="000000"/>
          <w:sz w:val="22"/>
          <w:szCs w:val="22"/>
        </w:rPr>
        <w:t xml:space="preserve"> </w:t>
      </w:r>
      <w:r w:rsidR="00C80989" w:rsidRPr="00F93FFA">
        <w:rPr>
          <w:color w:val="000000"/>
          <w:sz w:val="22"/>
          <w:szCs w:val="22"/>
        </w:rPr>
        <w:t>yra nebūtinos</w:t>
      </w:r>
      <w:r w:rsidRPr="00F93FFA">
        <w:rPr>
          <w:color w:val="000000"/>
          <w:sz w:val="22"/>
          <w:szCs w:val="22"/>
        </w:rPr>
        <w:t>.</w:t>
      </w:r>
    </w:p>
    <w:p w14:paraId="47D246A5" w14:textId="77777777" w:rsidR="003646A0" w:rsidRPr="00F93FFA" w:rsidRDefault="003646A0" w:rsidP="00DE16D0">
      <w:pPr>
        <w:widowControl w:val="0"/>
        <w:ind w:left="567" w:hanging="567"/>
        <w:rPr>
          <w:color w:val="000000"/>
          <w:sz w:val="22"/>
          <w:szCs w:val="22"/>
        </w:rPr>
      </w:pPr>
    </w:p>
    <w:p w14:paraId="68ED0560"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4.3</w:t>
      </w:r>
      <w:r w:rsidRPr="00F93FFA">
        <w:rPr>
          <w:b/>
          <w:color w:val="000000"/>
          <w:sz w:val="22"/>
          <w:szCs w:val="22"/>
        </w:rPr>
        <w:tab/>
        <w:t>Kontraindikacijos</w:t>
      </w:r>
    </w:p>
    <w:p w14:paraId="67F4211E" w14:textId="77777777" w:rsidR="00314B70" w:rsidRPr="00F93FFA" w:rsidRDefault="00314B70" w:rsidP="008B45F8">
      <w:pPr>
        <w:keepNext/>
        <w:widowControl w:val="0"/>
        <w:ind w:left="567" w:hanging="567"/>
        <w:rPr>
          <w:color w:val="000000"/>
          <w:sz w:val="22"/>
          <w:szCs w:val="22"/>
        </w:rPr>
      </w:pPr>
    </w:p>
    <w:p w14:paraId="1BA775A9" w14:textId="77777777" w:rsidR="00314B70" w:rsidRPr="00F93FFA" w:rsidRDefault="00314B70" w:rsidP="00DE16D0">
      <w:pPr>
        <w:widowControl w:val="0"/>
        <w:rPr>
          <w:color w:val="000000"/>
          <w:sz w:val="22"/>
          <w:szCs w:val="22"/>
        </w:rPr>
      </w:pPr>
      <w:r w:rsidRPr="00F93FFA">
        <w:rPr>
          <w:color w:val="000000"/>
          <w:sz w:val="22"/>
          <w:szCs w:val="22"/>
        </w:rPr>
        <w:t>Padidėjęs jautrumas veikliajai arba bet kuriai 6.1</w:t>
      </w:r>
      <w:r w:rsidR="00BB5232" w:rsidRPr="00F93FFA">
        <w:rPr>
          <w:color w:val="000000"/>
          <w:sz w:val="22"/>
          <w:szCs w:val="22"/>
        </w:rPr>
        <w:t> </w:t>
      </w:r>
      <w:r w:rsidRPr="00F93FFA">
        <w:rPr>
          <w:color w:val="000000"/>
          <w:sz w:val="22"/>
          <w:szCs w:val="22"/>
        </w:rPr>
        <w:t>skyriuje nurodytai pagalbinei medžiagai.</w:t>
      </w:r>
    </w:p>
    <w:p w14:paraId="02598E3E" w14:textId="77777777" w:rsidR="00314B70" w:rsidRPr="00F93FFA" w:rsidRDefault="00314B70" w:rsidP="00DE16D0">
      <w:pPr>
        <w:widowControl w:val="0"/>
        <w:ind w:left="567" w:hanging="567"/>
        <w:rPr>
          <w:color w:val="000000"/>
          <w:sz w:val="22"/>
          <w:szCs w:val="22"/>
        </w:rPr>
      </w:pPr>
    </w:p>
    <w:p w14:paraId="40B29CB1"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4.4</w:t>
      </w:r>
      <w:r w:rsidRPr="00F93FFA">
        <w:rPr>
          <w:b/>
          <w:color w:val="000000"/>
          <w:sz w:val="22"/>
          <w:szCs w:val="22"/>
        </w:rPr>
        <w:tab/>
        <w:t>Specialūs įspėjimai ir atsargumo priemonės</w:t>
      </w:r>
    </w:p>
    <w:p w14:paraId="1F3206AD" w14:textId="77777777" w:rsidR="00314B70" w:rsidRPr="00F93FFA" w:rsidRDefault="00314B70" w:rsidP="008B45F8">
      <w:pPr>
        <w:keepNext/>
        <w:widowControl w:val="0"/>
        <w:ind w:left="567" w:hanging="567"/>
        <w:rPr>
          <w:color w:val="000000"/>
          <w:sz w:val="22"/>
          <w:szCs w:val="22"/>
        </w:rPr>
      </w:pPr>
    </w:p>
    <w:p w14:paraId="5D36D331" w14:textId="3C73E400" w:rsidR="00314B70" w:rsidRPr="00F93FFA" w:rsidRDefault="00314B70" w:rsidP="00DE16D0">
      <w:pPr>
        <w:widowControl w:val="0"/>
        <w:rPr>
          <w:color w:val="000000"/>
          <w:sz w:val="22"/>
          <w:szCs w:val="22"/>
        </w:rPr>
      </w:pPr>
      <w:r w:rsidRPr="00F93FFA">
        <w:rPr>
          <w:color w:val="000000"/>
          <w:sz w:val="22"/>
          <w:szCs w:val="22"/>
        </w:rPr>
        <w:t xml:space="preserve">Kai Glivec vartojama kartu su kitais vaistiniais preparatais, yra </w:t>
      </w:r>
      <w:r w:rsidR="00D62405" w:rsidRPr="00F93FFA">
        <w:rPr>
          <w:color w:val="000000"/>
          <w:sz w:val="22"/>
          <w:szCs w:val="22"/>
        </w:rPr>
        <w:t xml:space="preserve">vaistinių preparatų </w:t>
      </w:r>
      <w:r w:rsidRPr="00F93FFA">
        <w:rPr>
          <w:color w:val="000000"/>
          <w:sz w:val="22"/>
          <w:szCs w:val="22"/>
        </w:rPr>
        <w:t>sąveikos galimybė. Būtina laikytis atsargumo priemonių, kai Glivec vartojama kartu su proteazės inhibitoriais, priešgrybeliniais azolo dariniais, tam tikrais makrolidais (žr. 4.5</w:t>
      </w:r>
      <w:r w:rsidR="00BF7B5C" w:rsidRPr="00F93FFA">
        <w:rPr>
          <w:color w:val="000000"/>
          <w:sz w:val="22"/>
          <w:szCs w:val="22"/>
        </w:rPr>
        <w:t> </w:t>
      </w:r>
      <w:r w:rsidRPr="00F93FFA">
        <w:rPr>
          <w:color w:val="000000"/>
          <w:sz w:val="22"/>
          <w:szCs w:val="22"/>
        </w:rPr>
        <w:t>skyrių), CYP3A4 substratais, kurių yra siaura terapinė platuma (pvz., ciklosporinas, pimozidas, takrolimuzas, sirolimuzas, ergotaminas, diergotaminas, fentanilis, alfetanilis, terfenadinas, bortezomibas, docetakselis, chinidinas) ar varfarinu ir kitais kumarino junginiais (žr. 4.5</w:t>
      </w:r>
      <w:r w:rsidR="00BF7B5C" w:rsidRPr="00F93FFA">
        <w:rPr>
          <w:color w:val="000000"/>
          <w:sz w:val="22"/>
          <w:szCs w:val="22"/>
        </w:rPr>
        <w:t> </w:t>
      </w:r>
      <w:r w:rsidRPr="00F93FFA">
        <w:rPr>
          <w:color w:val="000000"/>
          <w:sz w:val="22"/>
          <w:szCs w:val="22"/>
        </w:rPr>
        <w:t>skyrių).</w:t>
      </w:r>
    </w:p>
    <w:p w14:paraId="1B50EF6C" w14:textId="77777777" w:rsidR="00314B70" w:rsidRPr="00F93FFA" w:rsidRDefault="00314B70" w:rsidP="00DE16D0">
      <w:pPr>
        <w:widowControl w:val="0"/>
        <w:rPr>
          <w:color w:val="000000"/>
          <w:sz w:val="22"/>
          <w:szCs w:val="22"/>
        </w:rPr>
      </w:pPr>
    </w:p>
    <w:p w14:paraId="0AFDB5F0" w14:textId="44FE9C61" w:rsidR="00314B70" w:rsidRPr="00F93FFA" w:rsidRDefault="00314B70" w:rsidP="00DE16D0">
      <w:pPr>
        <w:widowControl w:val="0"/>
        <w:rPr>
          <w:color w:val="000000"/>
          <w:sz w:val="22"/>
          <w:szCs w:val="22"/>
        </w:rPr>
      </w:pPr>
      <w:r w:rsidRPr="00F93FFA">
        <w:rPr>
          <w:color w:val="000000"/>
          <w:sz w:val="22"/>
          <w:szCs w:val="22"/>
        </w:rPr>
        <w:t xml:space="preserve">Imatinibą vartojant kartu su medicininiais produktais, indukuojančiais CYP3A4 (pvz., deksametazonu, fenitoinu, karbamazepinu, rifampicinu, fenobarbitaliu ar </w:t>
      </w:r>
      <w:r w:rsidRPr="00F93FFA">
        <w:rPr>
          <w:i/>
          <w:color w:val="000000"/>
          <w:sz w:val="22"/>
          <w:szCs w:val="22"/>
        </w:rPr>
        <w:t>Hypericum perforatum</w:t>
      </w:r>
      <w:r w:rsidRPr="00F93FFA">
        <w:rPr>
          <w:color w:val="000000"/>
          <w:sz w:val="22"/>
          <w:szCs w:val="22"/>
        </w:rPr>
        <w:t>, t.</w:t>
      </w:r>
      <w:r w:rsidR="00957B98" w:rsidRPr="00F93FFA">
        <w:rPr>
          <w:color w:val="000000"/>
          <w:sz w:val="22"/>
          <w:szCs w:val="22"/>
        </w:rPr>
        <w:t> </w:t>
      </w:r>
      <w:r w:rsidRPr="00F93FFA">
        <w:rPr>
          <w:color w:val="000000"/>
          <w:sz w:val="22"/>
          <w:szCs w:val="22"/>
        </w:rPr>
        <w:t>y. jonažole), gali reikšmingai sumažėti Glivec ekspozicija ir padidėti nesėkmingo gydymo tikimybė. Todėl reikia vengti imatinibą vartoti kartu su stipriais CYP3A4 induktoriais (žr. 4.5</w:t>
      </w:r>
      <w:r w:rsidR="00BF7B5C" w:rsidRPr="00F93FFA">
        <w:rPr>
          <w:color w:val="000000"/>
          <w:sz w:val="22"/>
          <w:szCs w:val="22"/>
        </w:rPr>
        <w:t> </w:t>
      </w:r>
      <w:r w:rsidRPr="00F93FFA">
        <w:rPr>
          <w:color w:val="000000"/>
          <w:sz w:val="22"/>
          <w:szCs w:val="22"/>
        </w:rPr>
        <w:t>skyrių).</w:t>
      </w:r>
    </w:p>
    <w:p w14:paraId="42397867" w14:textId="77777777" w:rsidR="00314B70" w:rsidRPr="00F93FFA" w:rsidRDefault="00314B70" w:rsidP="00DE16D0">
      <w:pPr>
        <w:widowControl w:val="0"/>
        <w:rPr>
          <w:color w:val="000000"/>
          <w:sz w:val="22"/>
          <w:szCs w:val="22"/>
          <w:u w:val="single"/>
        </w:rPr>
      </w:pPr>
    </w:p>
    <w:p w14:paraId="31CCD472" w14:textId="77777777" w:rsidR="00314B70" w:rsidRPr="00F93FFA" w:rsidRDefault="00314B70" w:rsidP="008B45F8">
      <w:pPr>
        <w:keepNext/>
        <w:widowControl w:val="0"/>
        <w:rPr>
          <w:color w:val="000000"/>
          <w:sz w:val="22"/>
          <w:szCs w:val="22"/>
        </w:rPr>
      </w:pPr>
      <w:r w:rsidRPr="00F93FFA">
        <w:rPr>
          <w:color w:val="000000"/>
          <w:sz w:val="22"/>
          <w:szCs w:val="22"/>
          <w:u w:val="single"/>
        </w:rPr>
        <w:t>Hipotiroidizmas</w:t>
      </w:r>
    </w:p>
    <w:p w14:paraId="19FEE8C4" w14:textId="76C220E8" w:rsidR="00314B70" w:rsidRPr="00F93FFA" w:rsidRDefault="00314B70" w:rsidP="00DE16D0">
      <w:pPr>
        <w:widowControl w:val="0"/>
        <w:rPr>
          <w:color w:val="000000"/>
          <w:sz w:val="22"/>
          <w:szCs w:val="22"/>
        </w:rPr>
      </w:pPr>
      <w:r w:rsidRPr="00F93FFA">
        <w:rPr>
          <w:color w:val="000000"/>
          <w:sz w:val="22"/>
          <w:szCs w:val="22"/>
        </w:rPr>
        <w:t>Pastebėta klinikinių hipotireozės atvejų pacientams, kuriems pašalinta skydliaukė ir kuriems gydymo Glivec metu buvo taikomas pakeičiamasis gydymas levotiroksinu (žr. 4.5</w:t>
      </w:r>
      <w:r w:rsidR="00BF7B5C" w:rsidRPr="00F93FFA">
        <w:rPr>
          <w:color w:val="000000"/>
          <w:sz w:val="22"/>
          <w:szCs w:val="22"/>
        </w:rPr>
        <w:t> </w:t>
      </w:r>
      <w:r w:rsidRPr="00F93FFA">
        <w:rPr>
          <w:color w:val="000000"/>
          <w:sz w:val="22"/>
          <w:szCs w:val="22"/>
        </w:rPr>
        <w:t>skyrių). Būtina stebėti tokių pacientų skydliaukės veiklą</w:t>
      </w:r>
      <w:r w:rsidRPr="00F93FFA">
        <w:rPr>
          <w:color w:val="000000"/>
          <w:sz w:val="22"/>
          <w:szCs w:val="22"/>
          <w:rtl/>
        </w:rPr>
        <w:t xml:space="preserve"> </w:t>
      </w:r>
      <w:r w:rsidRPr="00F93FFA">
        <w:rPr>
          <w:color w:val="000000"/>
          <w:sz w:val="22"/>
          <w:szCs w:val="22"/>
        </w:rPr>
        <w:t>skatinančio hormono (TSH) koncentraciją.</w:t>
      </w:r>
    </w:p>
    <w:p w14:paraId="63346864" w14:textId="77777777" w:rsidR="00314B70" w:rsidRPr="00F93FFA" w:rsidRDefault="00314B70" w:rsidP="00DE16D0">
      <w:pPr>
        <w:widowControl w:val="0"/>
        <w:rPr>
          <w:color w:val="000000"/>
          <w:sz w:val="22"/>
          <w:szCs w:val="22"/>
          <w:u w:val="single"/>
        </w:rPr>
      </w:pPr>
    </w:p>
    <w:p w14:paraId="6C959F37" w14:textId="77777777" w:rsidR="00314B70" w:rsidRPr="00F93FFA" w:rsidRDefault="00314B70" w:rsidP="008B45F8">
      <w:pPr>
        <w:keepNext/>
        <w:widowControl w:val="0"/>
        <w:rPr>
          <w:color w:val="000000"/>
          <w:sz w:val="22"/>
          <w:szCs w:val="22"/>
        </w:rPr>
      </w:pPr>
      <w:r w:rsidRPr="00F93FFA">
        <w:rPr>
          <w:color w:val="000000"/>
          <w:sz w:val="22"/>
          <w:szCs w:val="22"/>
          <w:u w:val="single"/>
        </w:rPr>
        <w:t>Toksinis poveikis kepenims</w:t>
      </w:r>
    </w:p>
    <w:p w14:paraId="4309E77C" w14:textId="10756529" w:rsidR="00314B70" w:rsidRPr="00F93FFA" w:rsidRDefault="00314B70" w:rsidP="00DE16D0">
      <w:pPr>
        <w:widowControl w:val="0"/>
        <w:rPr>
          <w:color w:val="000000"/>
          <w:sz w:val="22"/>
          <w:szCs w:val="22"/>
        </w:rPr>
      </w:pPr>
      <w:r w:rsidRPr="00F93FFA">
        <w:rPr>
          <w:color w:val="000000"/>
          <w:sz w:val="22"/>
          <w:szCs w:val="22"/>
        </w:rPr>
        <w:t>Glivec daugiausia metabolizuojamas kepenyse ir tik 13 % jo išsiskiria pro inkstus. Pacientams, kuriems yra kepenų funkcijos sutrikimas (nedidelis, vidutinis ar sunkus) būtina atidžiai stebėti periferinio kraujo vaizdą ir kepenų fermentų koncentraciją (žr. 4.2, 4.8 ir 5.2</w:t>
      </w:r>
      <w:r w:rsidR="00957B98" w:rsidRPr="00F93FFA">
        <w:rPr>
          <w:color w:val="000000"/>
          <w:sz w:val="22"/>
          <w:szCs w:val="22"/>
        </w:rPr>
        <w:t> </w:t>
      </w:r>
      <w:r w:rsidRPr="00F93FFA">
        <w:rPr>
          <w:color w:val="000000"/>
          <w:sz w:val="22"/>
          <w:szCs w:val="22"/>
        </w:rPr>
        <w:t>skyrius). Reikia pažymėti, kad pacientams, kuriems diagnozuotas VTSN, gali būti metastazių kepenyse, kurios gali sąlygoti kepenų nepakankamumą.</w:t>
      </w:r>
    </w:p>
    <w:p w14:paraId="6E02461A" w14:textId="77777777" w:rsidR="00314B70" w:rsidRPr="00F93FFA" w:rsidRDefault="00314B70" w:rsidP="00DE16D0">
      <w:pPr>
        <w:pStyle w:val="EndnoteText"/>
        <w:widowControl w:val="0"/>
        <w:tabs>
          <w:tab w:val="clear" w:pos="567"/>
        </w:tabs>
        <w:rPr>
          <w:color w:val="000000"/>
          <w:szCs w:val="22"/>
          <w:lang w:val="lt-LT"/>
        </w:rPr>
      </w:pPr>
    </w:p>
    <w:p w14:paraId="68484D47" w14:textId="02B6998F" w:rsidR="00314B70" w:rsidRPr="00F93FFA" w:rsidRDefault="00314B70" w:rsidP="00DE16D0">
      <w:pPr>
        <w:pStyle w:val="EndnoteText"/>
        <w:widowControl w:val="0"/>
        <w:tabs>
          <w:tab w:val="clear" w:pos="567"/>
        </w:tabs>
        <w:rPr>
          <w:color w:val="000000"/>
          <w:szCs w:val="22"/>
          <w:lang w:val="lt-LT"/>
        </w:rPr>
      </w:pPr>
      <w:r w:rsidRPr="00F93FFA">
        <w:rPr>
          <w:color w:val="000000"/>
          <w:szCs w:val="22"/>
          <w:lang w:val="lt-LT"/>
        </w:rPr>
        <w:t xml:space="preserve">Vartojant imatinibą, kepenų pažeidimo atvejai, tame tarpe kepenų nepakankamumas ir kepenų nekrozė, yra registruoti. Imatinibą skiriant kartu su didelėmis chemoterapinių </w:t>
      </w:r>
      <w:r w:rsidR="00C42121" w:rsidRPr="00F93FFA">
        <w:rPr>
          <w:color w:val="000000"/>
          <w:szCs w:val="22"/>
          <w:lang w:val="lt-LT"/>
        </w:rPr>
        <w:t xml:space="preserve">vaistinių </w:t>
      </w:r>
      <w:r w:rsidRPr="00F93FFA">
        <w:rPr>
          <w:color w:val="000000"/>
          <w:szCs w:val="22"/>
          <w:lang w:val="lt-LT"/>
        </w:rPr>
        <w:t xml:space="preserve">preparatų dozėmis, nustatytas sunkių kepenų reakcijų padažnėjimas. Imatinibą skiriant kartu su kepenų funkciją </w:t>
      </w:r>
      <w:r w:rsidRPr="00F93FFA">
        <w:rPr>
          <w:color w:val="000000"/>
          <w:szCs w:val="22"/>
          <w:lang w:val="lt-LT"/>
        </w:rPr>
        <w:lastRenderedPageBreak/>
        <w:t>galinčiais bloginti chemoterapiniais</w:t>
      </w:r>
      <w:r w:rsidR="00C42121" w:rsidRPr="00F93FFA">
        <w:rPr>
          <w:color w:val="000000"/>
          <w:szCs w:val="22"/>
          <w:lang w:val="lt-LT"/>
        </w:rPr>
        <w:t xml:space="preserve"> vaistiniais</w:t>
      </w:r>
      <w:r w:rsidRPr="00F93FFA">
        <w:rPr>
          <w:color w:val="000000"/>
          <w:szCs w:val="22"/>
          <w:lang w:val="lt-LT"/>
        </w:rPr>
        <w:t xml:space="preserve"> preparatais, reikia atidžiai stebėti kepenų funkciją (žr. 4.5 ir 4.8</w:t>
      </w:r>
      <w:r w:rsidR="00957B98" w:rsidRPr="00F93FFA">
        <w:rPr>
          <w:color w:val="000000"/>
          <w:szCs w:val="22"/>
          <w:lang w:val="lt-LT"/>
        </w:rPr>
        <w:t> </w:t>
      </w:r>
      <w:r w:rsidRPr="00F93FFA">
        <w:rPr>
          <w:color w:val="000000"/>
          <w:szCs w:val="22"/>
          <w:lang w:val="lt-LT"/>
        </w:rPr>
        <w:t>skyrius).</w:t>
      </w:r>
    </w:p>
    <w:p w14:paraId="38C9841F" w14:textId="77777777" w:rsidR="00314B70" w:rsidRPr="00F93FFA" w:rsidRDefault="00314B70" w:rsidP="00DE16D0">
      <w:pPr>
        <w:widowControl w:val="0"/>
        <w:rPr>
          <w:color w:val="000000"/>
          <w:sz w:val="22"/>
          <w:szCs w:val="22"/>
          <w:u w:val="single"/>
        </w:rPr>
      </w:pPr>
    </w:p>
    <w:p w14:paraId="25DE5F3F" w14:textId="77777777" w:rsidR="00314B70" w:rsidRPr="00F93FFA" w:rsidRDefault="00314B70" w:rsidP="008B45F8">
      <w:pPr>
        <w:keepNext/>
        <w:widowControl w:val="0"/>
        <w:rPr>
          <w:color w:val="000000"/>
          <w:sz w:val="22"/>
          <w:szCs w:val="22"/>
        </w:rPr>
      </w:pPr>
      <w:r w:rsidRPr="00F93FFA">
        <w:rPr>
          <w:color w:val="000000"/>
          <w:sz w:val="22"/>
          <w:szCs w:val="22"/>
          <w:u w:val="single"/>
        </w:rPr>
        <w:t>Skysčių susilaikymas</w:t>
      </w:r>
    </w:p>
    <w:p w14:paraId="5EF8C063" w14:textId="77777777" w:rsidR="00314B70" w:rsidRPr="00F93FFA" w:rsidRDefault="00314B70" w:rsidP="00DE16D0">
      <w:pPr>
        <w:widowControl w:val="0"/>
        <w:rPr>
          <w:color w:val="000000"/>
          <w:sz w:val="22"/>
          <w:szCs w:val="22"/>
        </w:rPr>
      </w:pPr>
      <w:r w:rsidRPr="00F93FFA">
        <w:rPr>
          <w:color w:val="000000"/>
          <w:sz w:val="22"/>
          <w:szCs w:val="22"/>
        </w:rPr>
        <w:t xml:space="preserve">Maždaug 2,5 % Glivec vartojusių pacientų, sergančių naujai diagnozuota LML, susilaikė daug skysčių organizme (skystis pleuros ertmėje, edema, plaučių edema, ascitas, paviršinė edema). Todėl privalu pacientus reguliariai sverti. Pacientą, kuriam kūno svoris neįtikėtinai greitai didėja, reikia atidžiai ištirti ir prireikus taikyti atitinkamas pagalbos ir gydymo priemones. Klinikinių tyrimų metu šių reiškinių dažniau buvo senyviems žmonėms ir sergantiems širdies ligomis pacientams. Todėl </w:t>
      </w:r>
      <w:r w:rsidR="00D62405" w:rsidRPr="00F93FFA">
        <w:rPr>
          <w:color w:val="000000"/>
          <w:sz w:val="22"/>
          <w:szCs w:val="22"/>
        </w:rPr>
        <w:t xml:space="preserve">vaistinį preparatą </w:t>
      </w:r>
      <w:r w:rsidRPr="00F93FFA">
        <w:rPr>
          <w:color w:val="000000"/>
          <w:sz w:val="22"/>
          <w:szCs w:val="22"/>
        </w:rPr>
        <w:t>atsargiai skirti pacientams, kurių sutrikusi širdies funkcija.</w:t>
      </w:r>
    </w:p>
    <w:p w14:paraId="07F98144" w14:textId="77777777" w:rsidR="00314B70" w:rsidRPr="00F93FFA" w:rsidRDefault="00314B70" w:rsidP="00DE16D0">
      <w:pPr>
        <w:widowControl w:val="0"/>
        <w:rPr>
          <w:color w:val="000000"/>
          <w:sz w:val="22"/>
          <w:szCs w:val="22"/>
          <w:u w:val="single"/>
        </w:rPr>
      </w:pPr>
    </w:p>
    <w:p w14:paraId="09E0C561" w14:textId="77777777" w:rsidR="00314B70" w:rsidRPr="00F93FFA" w:rsidRDefault="00314B70" w:rsidP="008B45F8">
      <w:pPr>
        <w:keepNext/>
        <w:widowControl w:val="0"/>
        <w:rPr>
          <w:color w:val="000000"/>
          <w:sz w:val="22"/>
          <w:szCs w:val="22"/>
        </w:rPr>
      </w:pPr>
      <w:r w:rsidRPr="00F93FFA">
        <w:rPr>
          <w:color w:val="000000"/>
          <w:sz w:val="22"/>
          <w:szCs w:val="22"/>
          <w:u w:val="single"/>
        </w:rPr>
        <w:t>Pacientai, sergantys širdies ligomis</w:t>
      </w:r>
    </w:p>
    <w:p w14:paraId="0F00CC25" w14:textId="77777777" w:rsidR="00314B70" w:rsidRPr="00F93FFA" w:rsidRDefault="00314B70" w:rsidP="00DE16D0">
      <w:pPr>
        <w:widowControl w:val="0"/>
        <w:rPr>
          <w:color w:val="000000"/>
          <w:sz w:val="22"/>
          <w:szCs w:val="22"/>
        </w:rPr>
      </w:pPr>
      <w:r w:rsidRPr="00F93FFA">
        <w:rPr>
          <w:color w:val="000000"/>
          <w:sz w:val="22"/>
          <w:szCs w:val="22"/>
        </w:rPr>
        <w:t>Pacientai su širdies ligomis, širdies nepakankamumo rizikos faktoriais ar sirgę inkstų nepakankamumu turi būti atidžiai stebimi, o bet kuris pacientas su širdies ar inkstų nepakankamumo požymiais arba simptomais turi būti įvertintas ir gydomas.</w:t>
      </w:r>
    </w:p>
    <w:p w14:paraId="2CA459DF" w14:textId="77777777" w:rsidR="00314B70" w:rsidRPr="00F93FFA" w:rsidRDefault="00314B70" w:rsidP="00DE16D0">
      <w:pPr>
        <w:pStyle w:val="Text"/>
        <w:widowControl w:val="0"/>
        <w:spacing w:before="0"/>
        <w:jc w:val="left"/>
        <w:rPr>
          <w:color w:val="000000"/>
          <w:sz w:val="22"/>
          <w:szCs w:val="22"/>
          <w:lang w:val="lt-LT"/>
        </w:rPr>
      </w:pPr>
    </w:p>
    <w:p w14:paraId="38187CDB"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Hi</w:t>
      </w:r>
      <w:r w:rsidRPr="00F93FFA">
        <w:rPr>
          <w:snapToGrid w:val="0"/>
          <w:color w:val="000000"/>
          <w:sz w:val="22"/>
          <w:szCs w:val="22"/>
          <w:lang w:val="lt-LT" w:eastAsia="de-DE"/>
        </w:rPr>
        <w:t xml:space="preserve">pereozinofiliniu sindromu (HES) sergantiems pacientams su slapta HES ląstelių infiltracija miokarde, registruoti pavieniai kardiogeninio šoko </w:t>
      </w:r>
      <w:r w:rsidRPr="00F93FFA">
        <w:rPr>
          <w:color w:val="000000"/>
          <w:sz w:val="22"/>
          <w:szCs w:val="22"/>
          <w:lang w:val="lt-LT"/>
        </w:rPr>
        <w:t>ar kairiojo skilvelio disfunkcijos atvejai, siejami su HES ląstelių degranuliacija po gydymo imatinibu pradžios. Būklė gerėjo gydant sisteminio veikimo steroidiniais hormonais, palaikant kraujotaką ir laikinai nutraukiant imatinibo vartojimą. Kadangi nedažnai buvo pranešama apie nepageidaujamus poveikius širdžiai, vartojant imatinibą, prieš pradedant gydyti imatinibu pacientus, sergančius HES/LEL, turi būti atidžiai įvertintas gydymo imatinibu naudos ir rizikos santykis.</w:t>
      </w:r>
    </w:p>
    <w:p w14:paraId="1E7AA3EB" w14:textId="77777777" w:rsidR="00314B70" w:rsidRPr="00F93FFA" w:rsidRDefault="00314B70" w:rsidP="00DE16D0">
      <w:pPr>
        <w:pStyle w:val="Text"/>
        <w:widowControl w:val="0"/>
        <w:spacing w:before="0"/>
        <w:jc w:val="left"/>
        <w:rPr>
          <w:color w:val="000000"/>
          <w:sz w:val="22"/>
          <w:szCs w:val="22"/>
          <w:lang w:val="lt-LT"/>
        </w:rPr>
      </w:pPr>
    </w:p>
    <w:p w14:paraId="61EF3759"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Sergant </w:t>
      </w:r>
      <w:r w:rsidRPr="00F93FFA">
        <w:rPr>
          <w:snapToGrid w:val="0"/>
          <w:color w:val="000000"/>
          <w:sz w:val="22"/>
          <w:szCs w:val="22"/>
          <w:lang w:val="lt-LT" w:eastAsia="de-DE"/>
        </w:rPr>
        <w:t xml:space="preserve">mielodisplazinėmis ar mieloproliferacinėmis ligomis </w:t>
      </w:r>
      <w:r w:rsidRPr="00F93FFA">
        <w:rPr>
          <w:color w:val="000000"/>
          <w:sz w:val="22"/>
          <w:szCs w:val="22"/>
          <w:lang w:val="lt-LT"/>
        </w:rPr>
        <w:t>su PDGFR genų pakitimais</w:t>
      </w:r>
      <w:r w:rsidRPr="00F93FFA">
        <w:rPr>
          <w:snapToGrid w:val="0"/>
          <w:color w:val="000000"/>
          <w:sz w:val="22"/>
          <w:szCs w:val="22"/>
          <w:lang w:val="lt-LT" w:eastAsia="de-DE"/>
        </w:rPr>
        <w:t xml:space="preserve"> gali būti padidėjęs eozinofilų kiekis</w:t>
      </w:r>
      <w:r w:rsidRPr="00F93FFA">
        <w:rPr>
          <w:color w:val="000000"/>
          <w:sz w:val="22"/>
          <w:szCs w:val="22"/>
          <w:lang w:val="lt-LT"/>
        </w:rPr>
        <w:t>. Prieš skiriant imatinibą pacientams, sergantiems HES ar LEL ir pacientams, sergantiems MDS/MDL, kuriems yra padidėjęs eozinofilų kiekis, reikalinga kardiologo konsultacija, taip pat reikia atlikti echokardiogramą ir nustatyti troponino koncentraciją serume. Jei bent vieno šių tyrimų rezultatai neatitinka normos, pirmąsias vieną ar dvi gydymo savaites, stebint kardiologui, kartu su imatinibu profilaktiškai galima skirti sisteminio veikimo steroidų (1</w:t>
      </w:r>
      <w:r w:rsidRPr="00F93FFA">
        <w:rPr>
          <w:color w:val="000000"/>
          <w:sz w:val="22"/>
          <w:szCs w:val="22"/>
          <w:lang w:val="lt-LT"/>
        </w:rPr>
        <w:noBreakHyphen/>
        <w:t>2 mg/kg dozę).</w:t>
      </w:r>
    </w:p>
    <w:p w14:paraId="312B4E63" w14:textId="77777777" w:rsidR="00314B70" w:rsidRPr="00F93FFA" w:rsidRDefault="00314B70" w:rsidP="00DE16D0">
      <w:pPr>
        <w:widowControl w:val="0"/>
        <w:rPr>
          <w:color w:val="000000"/>
          <w:sz w:val="22"/>
          <w:szCs w:val="22"/>
          <w:u w:val="single"/>
        </w:rPr>
      </w:pPr>
    </w:p>
    <w:p w14:paraId="656B0BDF" w14:textId="77777777" w:rsidR="00314B70" w:rsidRPr="00F93FFA" w:rsidRDefault="00314B70" w:rsidP="008B45F8">
      <w:pPr>
        <w:keepNext/>
        <w:widowControl w:val="0"/>
        <w:rPr>
          <w:color w:val="000000"/>
          <w:sz w:val="22"/>
          <w:szCs w:val="22"/>
        </w:rPr>
      </w:pPr>
      <w:r w:rsidRPr="00F93FFA">
        <w:rPr>
          <w:color w:val="000000"/>
          <w:sz w:val="22"/>
          <w:szCs w:val="22"/>
          <w:u w:val="single"/>
        </w:rPr>
        <w:t>Kraujavimas iš virškinimo trakto</w:t>
      </w:r>
    </w:p>
    <w:p w14:paraId="56B35708" w14:textId="322DB740" w:rsidR="00314B70" w:rsidRPr="00F93FFA" w:rsidRDefault="00314B70" w:rsidP="00DE16D0">
      <w:pPr>
        <w:widowControl w:val="0"/>
        <w:rPr>
          <w:color w:val="000000"/>
          <w:sz w:val="22"/>
          <w:szCs w:val="22"/>
        </w:rPr>
      </w:pPr>
      <w:r w:rsidRPr="00F93FFA">
        <w:rPr>
          <w:color w:val="000000"/>
          <w:sz w:val="22"/>
          <w:szCs w:val="22"/>
        </w:rPr>
        <w:t>Atlikto klinikinio tyrimo duomenimis, jame dalyvavusiems pacientams, kuriems buvo nerezekuotinas ir (ar) metastazavęs VTSN, pasitaikė ir virškinimo trakto bei vidunavikinių kraujavimų (žr. 4.8</w:t>
      </w:r>
      <w:r w:rsidR="00957B98" w:rsidRPr="00F93FFA">
        <w:rPr>
          <w:color w:val="000000"/>
          <w:sz w:val="22"/>
          <w:szCs w:val="22"/>
        </w:rPr>
        <w:t> </w:t>
      </w:r>
      <w:r w:rsidRPr="00F93FFA">
        <w:rPr>
          <w:color w:val="000000"/>
          <w:sz w:val="22"/>
          <w:szCs w:val="22"/>
        </w:rPr>
        <w:t>skyrių). Turimi duomenys neatskleidė predisponuojančių veiksnių (pvz., naviko dydžio, naviko lokalizacijos, krešėjimo sutrikimų), dėl kurių padidėtų pacientų, sergančių VTSN, bet kokio kraujavimo rizika. Padidėjęs kraujagyslinis tinklas bei polinkis į kraujavimą iš dalies yra prigimtiniai ir būdingi klinikinei VTSN eigai, todėl visiems pacientams būtina taikyti įprastines priemones ir procedūras kraujavimui stebėti ir gydyti.</w:t>
      </w:r>
    </w:p>
    <w:p w14:paraId="391EB2C3" w14:textId="77777777" w:rsidR="00314B70" w:rsidRPr="00F93FFA" w:rsidRDefault="00314B70" w:rsidP="00DE16D0">
      <w:pPr>
        <w:widowControl w:val="0"/>
        <w:rPr>
          <w:color w:val="000000"/>
          <w:sz w:val="22"/>
          <w:szCs w:val="22"/>
          <w:u w:val="single"/>
        </w:rPr>
      </w:pPr>
    </w:p>
    <w:p w14:paraId="69BCA90C" w14:textId="77777777" w:rsidR="00314B70" w:rsidRPr="00F93FFA" w:rsidRDefault="00314B70" w:rsidP="008B45F8">
      <w:pPr>
        <w:keepNext/>
        <w:widowControl w:val="0"/>
        <w:rPr>
          <w:color w:val="000000"/>
          <w:sz w:val="22"/>
          <w:szCs w:val="22"/>
        </w:rPr>
      </w:pPr>
      <w:r w:rsidRPr="00F93FFA">
        <w:rPr>
          <w:color w:val="000000"/>
          <w:sz w:val="22"/>
          <w:szCs w:val="22"/>
          <w:u w:val="single"/>
        </w:rPr>
        <w:t>Auglio irimo sindromas</w:t>
      </w:r>
    </w:p>
    <w:p w14:paraId="05AE12C5" w14:textId="1EDBE3DA" w:rsidR="00314B70" w:rsidRPr="00F93FFA" w:rsidRDefault="00314B70" w:rsidP="00DE16D0">
      <w:pPr>
        <w:widowControl w:val="0"/>
        <w:rPr>
          <w:color w:val="000000"/>
          <w:sz w:val="22"/>
          <w:szCs w:val="22"/>
        </w:rPr>
      </w:pPr>
      <w:r w:rsidRPr="00F93FFA">
        <w:rPr>
          <w:color w:val="000000"/>
          <w:sz w:val="22"/>
          <w:szCs w:val="22"/>
        </w:rPr>
        <w:t>Dėl galimų auglio irimo sindromo (AIS) atvejų, pradedant vartoti Glivec pirmiausia rekomenduojamas kliniškai reikšmingos dehidracijos lygio atstatymas ir didelio šlapimo rūgšties kiekio gydymas (žr. 4.8</w:t>
      </w:r>
      <w:r w:rsidR="00957B98" w:rsidRPr="00F93FFA">
        <w:rPr>
          <w:color w:val="000000"/>
          <w:sz w:val="22"/>
          <w:szCs w:val="22"/>
        </w:rPr>
        <w:t> </w:t>
      </w:r>
      <w:r w:rsidRPr="00F93FFA">
        <w:rPr>
          <w:color w:val="000000"/>
          <w:sz w:val="22"/>
          <w:szCs w:val="22"/>
        </w:rPr>
        <w:t>skyrių).</w:t>
      </w:r>
    </w:p>
    <w:p w14:paraId="0212C824" w14:textId="77777777" w:rsidR="00DD0A16" w:rsidRPr="00F93FFA" w:rsidRDefault="00DD0A16" w:rsidP="00DE16D0">
      <w:pPr>
        <w:widowControl w:val="0"/>
        <w:rPr>
          <w:color w:val="000000"/>
          <w:sz w:val="22"/>
          <w:szCs w:val="22"/>
        </w:rPr>
      </w:pPr>
    </w:p>
    <w:p w14:paraId="2594C5E0" w14:textId="77777777" w:rsidR="00DD0A16" w:rsidRPr="00F93FFA" w:rsidRDefault="00DD0A16" w:rsidP="00DE16D0">
      <w:pPr>
        <w:widowControl w:val="0"/>
        <w:rPr>
          <w:color w:val="000000"/>
          <w:sz w:val="22"/>
          <w:szCs w:val="22"/>
        </w:rPr>
      </w:pPr>
      <w:r w:rsidRPr="00F93FFA">
        <w:rPr>
          <w:color w:val="000000"/>
          <w:sz w:val="22"/>
          <w:szCs w:val="22"/>
        </w:rPr>
        <w:t>Be to, vaistiniam preparatui patekus į rinką, buvo gauta pranešimų apie prievarčio kraujagyslių išsiplėtimą (</w:t>
      </w:r>
      <w:r w:rsidRPr="00F93FFA">
        <w:rPr>
          <w:i/>
          <w:color w:val="000000"/>
          <w:sz w:val="22"/>
          <w:szCs w:val="22"/>
        </w:rPr>
        <w:t>angl.</w:t>
      </w:r>
      <w:r w:rsidRPr="00F93FFA">
        <w:rPr>
          <w:color w:val="000000"/>
          <w:sz w:val="22"/>
          <w:szCs w:val="22"/>
        </w:rPr>
        <w:t xml:space="preserve"> </w:t>
      </w:r>
      <w:r w:rsidRPr="00F93FFA">
        <w:rPr>
          <w:sz w:val="22"/>
          <w:szCs w:val="22"/>
        </w:rPr>
        <w:t>gastric antral vascular ectasia [GAVE])</w:t>
      </w:r>
      <w:r w:rsidRPr="00F93FFA">
        <w:rPr>
          <w:color w:val="000000"/>
          <w:sz w:val="22"/>
          <w:szCs w:val="22"/>
        </w:rPr>
        <w:t xml:space="preserve"> </w:t>
      </w:r>
      <w:r w:rsidRPr="00F93FFA">
        <w:rPr>
          <w:color w:val="000000"/>
          <w:sz w:val="22"/>
          <w:szCs w:val="22"/>
        </w:rPr>
        <w:sym w:font="Symbol" w:char="F02D"/>
      </w:r>
      <w:r w:rsidRPr="00F93FFA">
        <w:rPr>
          <w:color w:val="000000"/>
          <w:sz w:val="22"/>
          <w:szCs w:val="22"/>
        </w:rPr>
        <w:t xml:space="preserve"> retą kraujavimo iš virškinimo priežastį </w:t>
      </w:r>
      <w:r w:rsidRPr="00F93FFA">
        <w:rPr>
          <w:color w:val="000000"/>
          <w:sz w:val="22"/>
          <w:szCs w:val="22"/>
        </w:rPr>
        <w:sym w:font="Symbol" w:char="F02D"/>
      </w:r>
      <w:r w:rsidRPr="00F93FFA">
        <w:rPr>
          <w:color w:val="000000"/>
          <w:sz w:val="22"/>
          <w:szCs w:val="22"/>
        </w:rPr>
        <w:t xml:space="preserve"> pacientams, sergantiems LML, ŪLL ir kitomis ligomis (žr 4.8 skyrių). Jei reikia, turi būti apsvarstytas gydymo Glivec nutraukimas.</w:t>
      </w:r>
    </w:p>
    <w:p w14:paraId="5777F014" w14:textId="77777777" w:rsidR="00F35959" w:rsidRPr="00F93FFA" w:rsidRDefault="00F35959" w:rsidP="00DE16D0">
      <w:pPr>
        <w:widowControl w:val="0"/>
        <w:tabs>
          <w:tab w:val="left" w:pos="567"/>
        </w:tabs>
        <w:rPr>
          <w:color w:val="000000"/>
          <w:sz w:val="22"/>
          <w:szCs w:val="22"/>
        </w:rPr>
      </w:pPr>
    </w:p>
    <w:p w14:paraId="2F42079C" w14:textId="77777777" w:rsidR="00F35959" w:rsidRPr="00F93FFA" w:rsidRDefault="00F35959" w:rsidP="008B45F8">
      <w:pPr>
        <w:keepNext/>
        <w:widowControl w:val="0"/>
        <w:tabs>
          <w:tab w:val="left" w:pos="567"/>
        </w:tabs>
        <w:rPr>
          <w:color w:val="000000"/>
          <w:sz w:val="22"/>
          <w:szCs w:val="22"/>
          <w:u w:val="single"/>
        </w:rPr>
      </w:pPr>
      <w:r w:rsidRPr="00F93FFA">
        <w:rPr>
          <w:color w:val="000000"/>
          <w:sz w:val="22"/>
          <w:szCs w:val="22"/>
          <w:u w:val="single"/>
        </w:rPr>
        <w:t>Hepatito B reaktyvacija</w:t>
      </w:r>
    </w:p>
    <w:p w14:paraId="132AA512" w14:textId="77777777" w:rsidR="00F35959" w:rsidRPr="00F93FFA" w:rsidRDefault="00F35959" w:rsidP="00DE16D0">
      <w:pPr>
        <w:widowControl w:val="0"/>
        <w:tabs>
          <w:tab w:val="left" w:pos="567"/>
        </w:tabs>
        <w:rPr>
          <w:color w:val="000000"/>
          <w:sz w:val="22"/>
          <w:szCs w:val="22"/>
        </w:rPr>
      </w:pPr>
      <w:r w:rsidRPr="00F93FFA">
        <w:rPr>
          <w:color w:val="000000"/>
          <w:sz w:val="22"/>
          <w:szCs w:val="22"/>
        </w:rPr>
        <w:t>Hepatito B reaktyvacijos atvejų nustatyta pacientams, kurie yra ilgalaikiai šio viruso nešiotojai, po to, kai šie pacientai pavartojo BCR-ABL tirozinkinazės inhibitorių. Kai kuriais atvejais tai sukėlė ūminį kepenų nepakankamumą arba žaibinį hepatitą, dėl kurio pacientui teko persodinti kepenis arba pacientas mirė.</w:t>
      </w:r>
    </w:p>
    <w:p w14:paraId="660B5C42" w14:textId="77777777" w:rsidR="00F35959" w:rsidRPr="00F93FFA" w:rsidRDefault="00F35959" w:rsidP="00DE16D0">
      <w:pPr>
        <w:widowControl w:val="0"/>
        <w:tabs>
          <w:tab w:val="left" w:pos="567"/>
        </w:tabs>
        <w:rPr>
          <w:color w:val="000000"/>
          <w:sz w:val="22"/>
          <w:szCs w:val="22"/>
        </w:rPr>
      </w:pPr>
    </w:p>
    <w:p w14:paraId="5CDF3D12" w14:textId="77777777" w:rsidR="00F35959" w:rsidRPr="00F93FFA" w:rsidRDefault="00F35959" w:rsidP="00DE16D0">
      <w:pPr>
        <w:widowControl w:val="0"/>
        <w:tabs>
          <w:tab w:val="left" w:pos="567"/>
        </w:tabs>
        <w:rPr>
          <w:color w:val="000000"/>
          <w:sz w:val="22"/>
          <w:szCs w:val="22"/>
        </w:rPr>
      </w:pPr>
      <w:r w:rsidRPr="00F93FFA">
        <w:rPr>
          <w:color w:val="000000"/>
          <w:sz w:val="22"/>
          <w:szCs w:val="22"/>
        </w:rPr>
        <w:lastRenderedPageBreak/>
        <w:t xml:space="preserve">Prieš pradedant gydymą </w:t>
      </w:r>
      <w:r w:rsidR="00EE25B9" w:rsidRPr="00F93FFA">
        <w:rPr>
          <w:color w:val="000000"/>
          <w:sz w:val="22"/>
          <w:szCs w:val="22"/>
        </w:rPr>
        <w:t>Glivec</w:t>
      </w:r>
      <w:r w:rsidRPr="00F93FFA">
        <w:rPr>
          <w:color w:val="000000"/>
          <w:sz w:val="22"/>
          <w:szCs w:val="22"/>
        </w:rPr>
        <w:t xml:space="preserve">, reikia ištirti, ar pacientas neužsikrėtęs HBV. Prieš pradedant gydyti pacientus, kuriems nustatytas serologiškai teigiamas hepatitas B (įskaitant aktyvia liga sergančius pacientus), ir dėl pacientų, kuriems gydymo laikotarpiu nustatyta HBV infekcija, reikia pasitarti su kepenų ligų ekspertais ir hepatitą B gydančiais gydytojais specialistais. Terapijos laikotarpiu ir kelis mėnesius po terapijos pabaigos reikia atidžiai stebėti, ar HBV nešiotojams, kuriems būtinas gydymas </w:t>
      </w:r>
      <w:r w:rsidR="00EE25B9" w:rsidRPr="00F93FFA">
        <w:rPr>
          <w:color w:val="000000"/>
          <w:sz w:val="22"/>
          <w:szCs w:val="22"/>
        </w:rPr>
        <w:t>Glivec</w:t>
      </w:r>
      <w:r w:rsidRPr="00F93FFA">
        <w:rPr>
          <w:color w:val="000000"/>
          <w:sz w:val="22"/>
          <w:szCs w:val="22"/>
        </w:rPr>
        <w:t>, nepasireiškia aktyvios HBV infekcijos požymiai ir simptomai (žr. 4.8 skyrių).</w:t>
      </w:r>
    </w:p>
    <w:p w14:paraId="7B36C75C" w14:textId="77777777" w:rsidR="00DE093F" w:rsidRPr="00F93FFA" w:rsidRDefault="00DE093F" w:rsidP="00DE16D0">
      <w:pPr>
        <w:widowControl w:val="0"/>
        <w:rPr>
          <w:snapToGrid w:val="0"/>
          <w:color w:val="000000"/>
          <w:sz w:val="22"/>
          <w:szCs w:val="22"/>
        </w:rPr>
      </w:pPr>
    </w:p>
    <w:p w14:paraId="7F8AFCDE" w14:textId="77777777" w:rsidR="00DE093F" w:rsidRPr="00F93FFA" w:rsidRDefault="00DE093F" w:rsidP="008B45F8">
      <w:pPr>
        <w:keepNext/>
        <w:widowControl w:val="0"/>
        <w:rPr>
          <w:snapToGrid w:val="0"/>
          <w:color w:val="000000"/>
          <w:sz w:val="22"/>
          <w:szCs w:val="22"/>
          <w:u w:val="single"/>
        </w:rPr>
      </w:pPr>
      <w:r w:rsidRPr="00F93FFA">
        <w:rPr>
          <w:snapToGrid w:val="0"/>
          <w:color w:val="000000"/>
          <w:sz w:val="22"/>
          <w:szCs w:val="22"/>
          <w:u w:val="single"/>
        </w:rPr>
        <w:t>Fototoksiškumas</w:t>
      </w:r>
    </w:p>
    <w:p w14:paraId="1213D8F2" w14:textId="77777777" w:rsidR="00DE093F" w:rsidRPr="00F93FFA" w:rsidRDefault="00B44EBA" w:rsidP="00DE16D0">
      <w:pPr>
        <w:widowControl w:val="0"/>
        <w:rPr>
          <w:snapToGrid w:val="0"/>
          <w:color w:val="000000"/>
          <w:sz w:val="22"/>
          <w:szCs w:val="22"/>
        </w:rPr>
      </w:pPr>
      <w:r w:rsidRPr="00F93FFA">
        <w:rPr>
          <w:snapToGrid w:val="0"/>
          <w:color w:val="000000"/>
          <w:sz w:val="22"/>
          <w:szCs w:val="22"/>
        </w:rPr>
        <w:t>Reikia vengti tiesioginių saulės spindulių ekspozicijos arba ją sumažinti iki minimumo dėl fototoksinio poveikio rizikos, susijusios su gydymu imatinibu.</w:t>
      </w:r>
      <w:r w:rsidRPr="00F93FFA">
        <w:rPr>
          <w:rFonts w:ascii="Arial" w:hAnsi="Arial" w:cs="Arial"/>
          <w:color w:val="222222"/>
        </w:rPr>
        <w:t xml:space="preserve"> </w:t>
      </w:r>
      <w:r w:rsidRPr="00F93FFA">
        <w:rPr>
          <w:snapToGrid w:val="0"/>
          <w:color w:val="000000"/>
          <w:sz w:val="22"/>
          <w:szCs w:val="22"/>
        </w:rPr>
        <w:t xml:space="preserve">Pacientams reikia nurodyti naudoti apsauginius drabužius ir </w:t>
      </w:r>
      <w:r w:rsidR="00C42121" w:rsidRPr="00F93FFA">
        <w:rPr>
          <w:snapToGrid w:val="0"/>
          <w:color w:val="000000"/>
          <w:sz w:val="22"/>
          <w:szCs w:val="22"/>
        </w:rPr>
        <w:t xml:space="preserve">vaistinį </w:t>
      </w:r>
      <w:r w:rsidRPr="00F93FFA">
        <w:rPr>
          <w:snapToGrid w:val="0"/>
          <w:color w:val="000000"/>
          <w:sz w:val="22"/>
          <w:szCs w:val="22"/>
        </w:rPr>
        <w:t>preparatą nuo saulės nudegimo, kurio aukštas apsaugos faktorius (SPF).</w:t>
      </w:r>
    </w:p>
    <w:p w14:paraId="1E767EFA" w14:textId="77777777" w:rsidR="002F02E0" w:rsidRPr="00F93FFA" w:rsidRDefault="002F02E0" w:rsidP="00DE16D0">
      <w:pPr>
        <w:widowControl w:val="0"/>
        <w:rPr>
          <w:color w:val="000000"/>
          <w:sz w:val="22"/>
          <w:szCs w:val="22"/>
        </w:rPr>
      </w:pPr>
    </w:p>
    <w:p w14:paraId="42F2061A" w14:textId="77777777" w:rsidR="002F02E0" w:rsidRPr="00F93FFA" w:rsidRDefault="002F02E0" w:rsidP="008B45F8">
      <w:pPr>
        <w:pStyle w:val="EndnoteText"/>
        <w:keepNext/>
        <w:widowControl w:val="0"/>
        <w:tabs>
          <w:tab w:val="clear" w:pos="567"/>
        </w:tabs>
        <w:rPr>
          <w:snapToGrid w:val="0"/>
          <w:color w:val="000000"/>
          <w:szCs w:val="22"/>
          <w:u w:val="single"/>
          <w:lang w:val="lt-LT"/>
        </w:rPr>
      </w:pPr>
      <w:r w:rsidRPr="00F93FFA">
        <w:rPr>
          <w:snapToGrid w:val="0"/>
          <w:color w:val="000000"/>
          <w:szCs w:val="22"/>
          <w:u w:val="single"/>
          <w:lang w:val="lt-LT"/>
        </w:rPr>
        <w:t>Trombinė mikroangiopatija</w:t>
      </w:r>
    </w:p>
    <w:p w14:paraId="59E0DFA5" w14:textId="77777777" w:rsidR="002F02E0" w:rsidRPr="00F93FFA" w:rsidRDefault="002F02E0" w:rsidP="00DE16D0">
      <w:pPr>
        <w:pStyle w:val="EndnoteText"/>
        <w:widowControl w:val="0"/>
        <w:tabs>
          <w:tab w:val="clear" w:pos="567"/>
        </w:tabs>
        <w:rPr>
          <w:color w:val="000000"/>
          <w:szCs w:val="22"/>
          <w:lang w:val="lt-LT"/>
        </w:rPr>
      </w:pPr>
      <w:r w:rsidRPr="00F93FFA">
        <w:rPr>
          <w:color w:val="000000"/>
          <w:szCs w:val="22"/>
          <w:lang w:val="lt-LT"/>
        </w:rPr>
        <w:t>BCR-ABL tirozinkinazės inhibitorių (TKI) vartojimas buvo susijęs su trombinės mikroangiopatijos (TMA) pasireiškimu, įskaitant pranešimus apie atskirus jos atvejus vartojant Glivec (žr. 4.8 skyrių). Jeigu Glivec vartojančiam pacientui nustatoma laboratorinių ar klinikinių duomenų, susijusių su TMA požymiais, gydymą reikia nutraukti, o paciento būklę išsamiai ištirti dėl TMA tikimybės, įskaitant ADAMTS13 aktyvumo vertinimą ir anti-ADAMTS13 antikūnų nustatymą. Jeigu nustatomas padidėjęs anti-ADAMTS13 antikūnų kiekis kartu su sumažėjusiu ADAMTS13 aktyvumu, gydymo Glivec atnaujinti negalima.</w:t>
      </w:r>
    </w:p>
    <w:p w14:paraId="22F0B2BB" w14:textId="77777777" w:rsidR="00314B70" w:rsidRPr="00F93FFA" w:rsidRDefault="00314B70" w:rsidP="00DE16D0">
      <w:pPr>
        <w:widowControl w:val="0"/>
        <w:rPr>
          <w:color w:val="000000"/>
          <w:sz w:val="22"/>
          <w:szCs w:val="22"/>
        </w:rPr>
      </w:pPr>
    </w:p>
    <w:p w14:paraId="07057818" w14:textId="77777777" w:rsidR="00314B70" w:rsidRPr="00F93FFA" w:rsidRDefault="00314B70" w:rsidP="008B45F8">
      <w:pPr>
        <w:keepNext/>
        <w:widowControl w:val="0"/>
        <w:rPr>
          <w:color w:val="000000"/>
          <w:sz w:val="22"/>
          <w:szCs w:val="22"/>
          <w:u w:val="single"/>
        </w:rPr>
      </w:pPr>
      <w:r w:rsidRPr="00F93FFA">
        <w:rPr>
          <w:color w:val="000000"/>
          <w:sz w:val="22"/>
          <w:szCs w:val="22"/>
          <w:u w:val="single"/>
        </w:rPr>
        <w:t>Laboratoriniai tyrimai</w:t>
      </w:r>
    </w:p>
    <w:p w14:paraId="77DCE11F" w14:textId="74C0E541" w:rsidR="00314B70" w:rsidRPr="00F93FFA" w:rsidRDefault="00314B70" w:rsidP="00DE16D0">
      <w:pPr>
        <w:widowControl w:val="0"/>
        <w:rPr>
          <w:color w:val="000000"/>
          <w:sz w:val="22"/>
          <w:szCs w:val="22"/>
        </w:rPr>
      </w:pPr>
      <w:r w:rsidRPr="00F93FFA">
        <w:rPr>
          <w:color w:val="000000"/>
          <w:sz w:val="22"/>
          <w:szCs w:val="22"/>
        </w:rPr>
        <w:t xml:space="preserve">Gydant Glivec, reikia reguliariai atlikti išsamų kraujo tyrimą. Kai yra LML, gydymas Glivec yra susijęs su neutropenija ir trombocitopenija. Tačiau šios citopenijos gali priklausyti nuo gydomos ligos stadijos ir dažniau būna pacientams, kuriems yra LML akceleracijos fazė ar blastinė krizė, negu tiems, kuriems yra lėtinė LML fazė. Gydymas Glivec gali būti pertrauktas arba gali būti sumažinta </w:t>
      </w:r>
      <w:r w:rsidR="00D62405" w:rsidRPr="00F93FFA">
        <w:rPr>
          <w:color w:val="000000"/>
          <w:sz w:val="22"/>
          <w:szCs w:val="22"/>
        </w:rPr>
        <w:t xml:space="preserve">vaistinio preparato </w:t>
      </w:r>
      <w:r w:rsidRPr="00F93FFA">
        <w:rPr>
          <w:color w:val="000000"/>
          <w:sz w:val="22"/>
          <w:szCs w:val="22"/>
        </w:rPr>
        <w:t>dozė kaip rekomenduojama 4.2</w:t>
      </w:r>
      <w:r w:rsidR="00957B98" w:rsidRPr="00F93FFA">
        <w:rPr>
          <w:color w:val="000000"/>
          <w:sz w:val="22"/>
          <w:szCs w:val="22"/>
        </w:rPr>
        <w:t> </w:t>
      </w:r>
      <w:r w:rsidRPr="00F93FFA">
        <w:rPr>
          <w:color w:val="000000"/>
          <w:sz w:val="22"/>
          <w:szCs w:val="22"/>
        </w:rPr>
        <w:t>skyriuje.</w:t>
      </w:r>
    </w:p>
    <w:p w14:paraId="6FB54923" w14:textId="77777777" w:rsidR="00314B70" w:rsidRPr="00F93FFA" w:rsidRDefault="00314B70" w:rsidP="00DE16D0">
      <w:pPr>
        <w:widowControl w:val="0"/>
        <w:rPr>
          <w:color w:val="000000"/>
          <w:sz w:val="22"/>
          <w:szCs w:val="22"/>
        </w:rPr>
      </w:pPr>
    </w:p>
    <w:p w14:paraId="18C3ACB1" w14:textId="77777777" w:rsidR="00314B70" w:rsidRPr="00F93FFA" w:rsidRDefault="00314B70" w:rsidP="00DE16D0">
      <w:pPr>
        <w:widowControl w:val="0"/>
        <w:rPr>
          <w:color w:val="000000"/>
          <w:sz w:val="22"/>
          <w:szCs w:val="22"/>
        </w:rPr>
      </w:pPr>
      <w:r w:rsidRPr="00F93FFA">
        <w:rPr>
          <w:color w:val="000000"/>
          <w:sz w:val="22"/>
          <w:szCs w:val="22"/>
        </w:rPr>
        <w:t>Būtina reguliariai tirti Glivec vartojančių pacientų kepenų funkciją (transaminazių, bilirubino, šarminės fosfatazės koncentraciją).</w:t>
      </w:r>
    </w:p>
    <w:p w14:paraId="25C4C836" w14:textId="77777777" w:rsidR="00314B70" w:rsidRPr="00F93FFA" w:rsidRDefault="00314B70" w:rsidP="00DE16D0">
      <w:pPr>
        <w:widowControl w:val="0"/>
        <w:rPr>
          <w:color w:val="000000"/>
          <w:sz w:val="22"/>
          <w:szCs w:val="22"/>
        </w:rPr>
      </w:pPr>
    </w:p>
    <w:p w14:paraId="09418528" w14:textId="2727DE42" w:rsidR="00314B70" w:rsidRPr="00F93FFA" w:rsidRDefault="00314B70" w:rsidP="00DE16D0">
      <w:pPr>
        <w:widowControl w:val="0"/>
        <w:rPr>
          <w:color w:val="000000"/>
          <w:sz w:val="22"/>
          <w:szCs w:val="22"/>
        </w:rPr>
      </w:pPr>
      <w:r w:rsidRPr="00F93FFA">
        <w:rPr>
          <w:color w:val="000000"/>
          <w:sz w:val="22"/>
          <w:szCs w:val="22"/>
        </w:rPr>
        <w:t>Atrodo, kad pacientų, kurių inkstų funkcija susilpnėjusi, imatinibo ekspozicija plazmoje yra didesnė nei pacientų, kurių inkstų funkcija normali. Tikriausiai tai lemia imatinibą surišančio baltymo alfarūgščiojo glikoproteino (AGP) kiekis plazmoje, kuris yra didesnis pacientams, kurių inkstų funkcija sutrikusi. Pacientams, sergantiems inkstų funkcijos nepakankamumu, turi būti skiriama mažiausia pradinė dozė. Pacientus, sergančius sunkiu inkstų funkcijos nepakankamumu, reikia gydyti ypač atsargiai. Dozė gali būti mažinama, jei blogai toleruojama (žr. 4.2 ir 5.2</w:t>
      </w:r>
      <w:r w:rsidR="00957B98" w:rsidRPr="00F93FFA">
        <w:rPr>
          <w:color w:val="000000"/>
          <w:sz w:val="22"/>
          <w:szCs w:val="22"/>
        </w:rPr>
        <w:t> </w:t>
      </w:r>
      <w:r w:rsidRPr="00F93FFA">
        <w:rPr>
          <w:color w:val="000000"/>
          <w:sz w:val="22"/>
          <w:szCs w:val="22"/>
        </w:rPr>
        <w:t>skyrius).</w:t>
      </w:r>
    </w:p>
    <w:p w14:paraId="319DF239" w14:textId="77777777" w:rsidR="009D26B7" w:rsidRPr="00F93FFA" w:rsidRDefault="009D26B7" w:rsidP="00DE16D0">
      <w:pPr>
        <w:widowControl w:val="0"/>
        <w:rPr>
          <w:color w:val="000000"/>
          <w:sz w:val="22"/>
          <w:szCs w:val="22"/>
        </w:rPr>
      </w:pPr>
    </w:p>
    <w:p w14:paraId="1362525F" w14:textId="77777777" w:rsidR="009D26B7" w:rsidRPr="00F93FFA" w:rsidRDefault="009D26B7" w:rsidP="00DE16D0">
      <w:pPr>
        <w:widowControl w:val="0"/>
        <w:rPr>
          <w:color w:val="000000"/>
          <w:sz w:val="22"/>
          <w:szCs w:val="22"/>
        </w:rPr>
      </w:pPr>
      <w:r w:rsidRPr="00F93FFA">
        <w:rPr>
          <w:color w:val="000000"/>
          <w:sz w:val="22"/>
          <w:szCs w:val="22"/>
        </w:rPr>
        <w:t>Ilgalaikis gydymas imatinibu gali būti susijęs su kliniškai reikšmingai pablogėjusia inkstų funkcija. Prieš pradedant gydymą imatinibu, inkstų funkcija turėtų būti įvertinta ir atidžiai stebima gydymo metu, ypač tų pacientų, kuriems yra rizikos veiksnių dėl inkstų funkcijos sutrikimo. Jei nustatytas inkstų funkcijos sutrikimas, turi būti skiriamas reikiamas gydymas laikantis standartinių gydymo rekomendacijų.</w:t>
      </w:r>
    </w:p>
    <w:p w14:paraId="3DFEBBF0" w14:textId="77777777" w:rsidR="00314B70" w:rsidRPr="00F93FFA" w:rsidRDefault="00314B70" w:rsidP="00DE16D0">
      <w:pPr>
        <w:widowControl w:val="0"/>
        <w:rPr>
          <w:color w:val="000000"/>
          <w:sz w:val="22"/>
          <w:szCs w:val="22"/>
        </w:rPr>
      </w:pPr>
    </w:p>
    <w:p w14:paraId="707CAD38" w14:textId="77777777" w:rsidR="00314B70" w:rsidRPr="00F93FFA" w:rsidRDefault="00314B70" w:rsidP="008B45F8">
      <w:pPr>
        <w:keepNext/>
        <w:widowControl w:val="0"/>
        <w:rPr>
          <w:color w:val="000000"/>
          <w:sz w:val="22"/>
          <w:szCs w:val="22"/>
          <w:u w:val="single"/>
        </w:rPr>
      </w:pPr>
      <w:r w:rsidRPr="00F93FFA">
        <w:rPr>
          <w:color w:val="000000"/>
          <w:sz w:val="22"/>
          <w:szCs w:val="22"/>
          <w:u w:val="single"/>
        </w:rPr>
        <w:t>Vaikų populiacija</w:t>
      </w:r>
    </w:p>
    <w:p w14:paraId="7A0E1EAC" w14:textId="3F865654" w:rsidR="00314B70" w:rsidRPr="00F93FFA" w:rsidRDefault="00314B70" w:rsidP="00DE16D0">
      <w:pPr>
        <w:widowControl w:val="0"/>
        <w:rPr>
          <w:color w:val="000000"/>
          <w:sz w:val="22"/>
          <w:szCs w:val="22"/>
        </w:rPr>
      </w:pPr>
      <w:r w:rsidRPr="00F93FFA">
        <w:rPr>
          <w:color w:val="000000"/>
          <w:sz w:val="22"/>
          <w:szCs w:val="22"/>
        </w:rPr>
        <w:t xml:space="preserve">Gauta pranešimų apie </w:t>
      </w:r>
      <w:r w:rsidR="007202C8" w:rsidRPr="00F93FFA">
        <w:rPr>
          <w:color w:val="000000"/>
          <w:sz w:val="22"/>
          <w:szCs w:val="22"/>
        </w:rPr>
        <w:t>augimo sulėtėjimą jaunesniems kaip 12</w:t>
      </w:r>
      <w:r w:rsidR="0071207D" w:rsidRPr="00F93FFA">
        <w:rPr>
          <w:color w:val="000000"/>
          <w:sz w:val="22"/>
          <w:szCs w:val="22"/>
        </w:rPr>
        <w:t> </w:t>
      </w:r>
      <w:r w:rsidR="007202C8" w:rsidRPr="00F93FFA">
        <w:rPr>
          <w:color w:val="000000"/>
          <w:sz w:val="22"/>
          <w:szCs w:val="22"/>
        </w:rPr>
        <w:t xml:space="preserve">metų </w:t>
      </w:r>
      <w:r w:rsidRPr="00F93FFA">
        <w:rPr>
          <w:color w:val="000000"/>
          <w:sz w:val="22"/>
          <w:szCs w:val="22"/>
        </w:rPr>
        <w:t xml:space="preserve">vaikams, vartojusiems imatinibą. </w:t>
      </w:r>
      <w:r w:rsidR="00BB3EC0" w:rsidRPr="00F93FFA">
        <w:rPr>
          <w:sz w:val="22"/>
          <w:szCs w:val="22"/>
        </w:rPr>
        <w:t xml:space="preserve">LML sergančių vaikų populiacijoje, atlikto stebėjimo tyrimo duomenimis, buvo pastebėta statistiškai reikšmingos (bet neaiškios klinikinės reikšmės) </w:t>
      </w:r>
      <w:r w:rsidR="007F1F0A" w:rsidRPr="00F93FFA">
        <w:rPr>
          <w:sz w:val="22"/>
          <w:szCs w:val="22"/>
        </w:rPr>
        <w:t>ūgio</w:t>
      </w:r>
      <w:r w:rsidR="00BB3EC0" w:rsidRPr="00F93FFA">
        <w:rPr>
          <w:sz w:val="22"/>
          <w:szCs w:val="22"/>
        </w:rPr>
        <w:t xml:space="preserve"> standartini</w:t>
      </w:r>
      <w:r w:rsidR="007F1F0A" w:rsidRPr="00F93FFA">
        <w:rPr>
          <w:sz w:val="22"/>
          <w:szCs w:val="22"/>
        </w:rPr>
        <w:t>o</w:t>
      </w:r>
      <w:r w:rsidR="00BB3EC0" w:rsidRPr="00F93FFA">
        <w:rPr>
          <w:sz w:val="22"/>
          <w:szCs w:val="22"/>
        </w:rPr>
        <w:t xml:space="preserve"> nuokrypio balų medianos sumažėjimas po 12 ir 24 gydymo mėnesių dviejuose mažuose pogrupiuose, nepriklausomai nuo lytinio brendimo ar lyties.</w:t>
      </w:r>
      <w:r w:rsidR="00013A4F" w:rsidRPr="00F93FFA">
        <w:rPr>
          <w:color w:val="000000"/>
          <w:sz w:val="22"/>
          <w:szCs w:val="22"/>
        </w:rPr>
        <w:t xml:space="preserve"> R</w:t>
      </w:r>
      <w:r w:rsidRPr="00F93FFA">
        <w:rPr>
          <w:color w:val="000000"/>
          <w:sz w:val="22"/>
          <w:szCs w:val="22"/>
        </w:rPr>
        <w:t>ekomenduojama atidžiai stebėti vaikų augimą gydant imatinibu (žr.</w:t>
      </w:r>
      <w:r w:rsidR="00696C3E" w:rsidRPr="00F93FFA">
        <w:rPr>
          <w:color w:val="000000"/>
          <w:sz w:val="22"/>
          <w:szCs w:val="22"/>
        </w:rPr>
        <w:t> </w:t>
      </w:r>
      <w:r w:rsidRPr="00F93FFA">
        <w:rPr>
          <w:color w:val="000000"/>
          <w:sz w:val="22"/>
          <w:szCs w:val="22"/>
        </w:rPr>
        <w:t>4.8</w:t>
      </w:r>
      <w:r w:rsidR="00957B98" w:rsidRPr="00F93FFA">
        <w:rPr>
          <w:color w:val="000000"/>
          <w:sz w:val="22"/>
          <w:szCs w:val="22"/>
        </w:rPr>
        <w:t> </w:t>
      </w:r>
      <w:r w:rsidRPr="00F93FFA">
        <w:rPr>
          <w:color w:val="000000"/>
          <w:sz w:val="22"/>
          <w:szCs w:val="22"/>
        </w:rPr>
        <w:t>skyrių).</w:t>
      </w:r>
    </w:p>
    <w:p w14:paraId="0ABBAAE4" w14:textId="77777777" w:rsidR="00314B70" w:rsidRPr="00F93FFA" w:rsidRDefault="00314B70" w:rsidP="00DE16D0">
      <w:pPr>
        <w:widowControl w:val="0"/>
        <w:rPr>
          <w:color w:val="000000"/>
          <w:sz w:val="22"/>
          <w:szCs w:val="22"/>
        </w:rPr>
      </w:pPr>
    </w:p>
    <w:p w14:paraId="5C97B0C9"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4.5</w:t>
      </w:r>
      <w:r w:rsidRPr="00F93FFA">
        <w:rPr>
          <w:b/>
          <w:color w:val="000000"/>
          <w:sz w:val="22"/>
          <w:szCs w:val="22"/>
        </w:rPr>
        <w:tab/>
        <w:t>Sąveika su kitais vaistiniais preparatais ir kitokia sąveika</w:t>
      </w:r>
    </w:p>
    <w:p w14:paraId="4266058E" w14:textId="77777777" w:rsidR="00314B70" w:rsidRPr="00F93FFA" w:rsidRDefault="00314B70" w:rsidP="008B45F8">
      <w:pPr>
        <w:keepNext/>
        <w:widowControl w:val="0"/>
        <w:ind w:left="567" w:hanging="567"/>
        <w:rPr>
          <w:color w:val="000000"/>
          <w:sz w:val="22"/>
          <w:szCs w:val="22"/>
        </w:rPr>
      </w:pPr>
    </w:p>
    <w:p w14:paraId="5EF0000F" w14:textId="77777777" w:rsidR="00314B70" w:rsidRPr="00F93FFA" w:rsidRDefault="00314B70" w:rsidP="008B45F8">
      <w:pPr>
        <w:keepNext/>
        <w:widowControl w:val="0"/>
        <w:ind w:left="567" w:hanging="567"/>
        <w:rPr>
          <w:color w:val="000000"/>
          <w:sz w:val="22"/>
          <w:szCs w:val="22"/>
          <w:u w:val="single"/>
        </w:rPr>
      </w:pPr>
      <w:r w:rsidRPr="00F93FFA">
        <w:rPr>
          <w:color w:val="000000"/>
          <w:sz w:val="22"/>
          <w:szCs w:val="22"/>
          <w:u w:val="single"/>
        </w:rPr>
        <w:t xml:space="preserve">Veikliosios medžiagos, kurios gali </w:t>
      </w:r>
      <w:r w:rsidRPr="00F93FFA">
        <w:rPr>
          <w:b/>
          <w:color w:val="000000"/>
          <w:sz w:val="22"/>
          <w:szCs w:val="22"/>
          <w:u w:val="single"/>
        </w:rPr>
        <w:t>didinti</w:t>
      </w:r>
      <w:r w:rsidRPr="00F93FFA">
        <w:rPr>
          <w:color w:val="000000"/>
          <w:sz w:val="22"/>
          <w:szCs w:val="22"/>
          <w:u w:val="single"/>
        </w:rPr>
        <w:t xml:space="preserve"> imatinibo koncentraciją plazmoje:</w:t>
      </w:r>
    </w:p>
    <w:p w14:paraId="383F39BC" w14:textId="77777777" w:rsidR="00314B70" w:rsidRPr="00F93FFA" w:rsidRDefault="00314B70" w:rsidP="00DE16D0">
      <w:pPr>
        <w:widowControl w:val="0"/>
        <w:rPr>
          <w:color w:val="000000"/>
          <w:sz w:val="22"/>
          <w:szCs w:val="22"/>
        </w:rPr>
      </w:pPr>
      <w:r w:rsidRPr="00F93FFA">
        <w:rPr>
          <w:color w:val="000000"/>
          <w:sz w:val="22"/>
          <w:szCs w:val="22"/>
        </w:rPr>
        <w:t xml:space="preserve">Medžiagos, kurios slopina citochromo P450 izofermento CYP3A4 aktyvumą (pvz., proteazės inhibitoriai, tokie kaip indinaviras, lopinaviras/ritonaviras, ritonaviras, sakvinaviras, telapreviras, </w:t>
      </w:r>
      <w:r w:rsidRPr="00F93FFA">
        <w:rPr>
          <w:color w:val="000000"/>
          <w:sz w:val="22"/>
          <w:szCs w:val="22"/>
        </w:rPr>
        <w:lastRenderedPageBreak/>
        <w:t>nelfinaviras, bocepreviras; priešgrybeliniai azolo dariniai, įskaitant ketokonazolą, itrakonazolą, posakonazolą, vorikonazolą; tam tikri makrolidai, tokie kaip eritromicinas, klaritromicinas ir telitromicinas), gali slopinti imatinibo metabolizmą ir padidinti jo koncentraciją. Nustatyta reikšmingai padidėjusi imatinibo ekspozicija (vidutinė imatinibo C</w:t>
      </w:r>
      <w:r w:rsidRPr="00F93FFA">
        <w:rPr>
          <w:color w:val="000000"/>
          <w:sz w:val="22"/>
          <w:szCs w:val="22"/>
          <w:vertAlign w:val="subscript"/>
        </w:rPr>
        <w:t>max</w:t>
      </w:r>
      <w:r w:rsidRPr="00F93FFA">
        <w:rPr>
          <w:color w:val="000000"/>
          <w:sz w:val="22"/>
          <w:szCs w:val="22"/>
        </w:rPr>
        <w:t xml:space="preserve"> ir AUC padidėjo atitinkamai 26 % ir 40 %) sveikiems savanoriams, kurie kartu vartojo vienkartinę ketokonazolio (CYP3A4 inhibitoriaus) dozę. Būtina laikytis atsargumo priemonių, kai Glivec skiriama kartu su CYP3A4 šeimos inhibitoriais.</w:t>
      </w:r>
    </w:p>
    <w:p w14:paraId="6C96A58E" w14:textId="77777777" w:rsidR="00314B70" w:rsidRPr="00F93FFA" w:rsidRDefault="00314B70" w:rsidP="00DE16D0">
      <w:pPr>
        <w:widowControl w:val="0"/>
        <w:rPr>
          <w:color w:val="000000"/>
          <w:sz w:val="22"/>
          <w:szCs w:val="22"/>
        </w:rPr>
      </w:pPr>
    </w:p>
    <w:p w14:paraId="6A5A24A1" w14:textId="77777777" w:rsidR="00314B70" w:rsidRPr="00F93FFA" w:rsidRDefault="00314B70" w:rsidP="008B45F8">
      <w:pPr>
        <w:keepNext/>
        <w:widowControl w:val="0"/>
        <w:rPr>
          <w:color w:val="000000"/>
          <w:sz w:val="22"/>
          <w:szCs w:val="22"/>
          <w:u w:val="single"/>
        </w:rPr>
      </w:pPr>
      <w:r w:rsidRPr="00F93FFA">
        <w:rPr>
          <w:color w:val="000000"/>
          <w:sz w:val="22"/>
          <w:szCs w:val="22"/>
          <w:u w:val="single"/>
        </w:rPr>
        <w:t xml:space="preserve">Veikliosios medžiagos, kurios gali </w:t>
      </w:r>
      <w:r w:rsidRPr="00F93FFA">
        <w:rPr>
          <w:b/>
          <w:color w:val="000000"/>
          <w:sz w:val="22"/>
          <w:szCs w:val="22"/>
          <w:u w:val="single"/>
        </w:rPr>
        <w:t xml:space="preserve">mažinti </w:t>
      </w:r>
      <w:r w:rsidRPr="00F93FFA">
        <w:rPr>
          <w:color w:val="000000"/>
          <w:sz w:val="22"/>
          <w:szCs w:val="22"/>
          <w:u w:val="single"/>
        </w:rPr>
        <w:t>imatinibo koncentraciją plazmoje:</w:t>
      </w:r>
    </w:p>
    <w:p w14:paraId="1F3C31FF" w14:textId="77777777" w:rsidR="00314B70" w:rsidRPr="00F93FFA" w:rsidRDefault="00314B70" w:rsidP="00DE16D0">
      <w:pPr>
        <w:widowControl w:val="0"/>
        <w:rPr>
          <w:color w:val="000000"/>
          <w:sz w:val="22"/>
          <w:szCs w:val="22"/>
        </w:rPr>
      </w:pPr>
      <w:r w:rsidRPr="00F93FFA">
        <w:rPr>
          <w:color w:val="000000"/>
          <w:sz w:val="22"/>
          <w:szCs w:val="22"/>
        </w:rPr>
        <w:t xml:space="preserve">Medžiagos, kurios indukuoja CYP3A4 aktyvumą (pvz., deksametazonas, fenitoinas, karbamazepinas, rifampicinas, fenobarbitalis, fosfenitoinas, primidonas ar </w:t>
      </w:r>
      <w:r w:rsidRPr="00F93FFA">
        <w:rPr>
          <w:i/>
          <w:color w:val="000000"/>
          <w:sz w:val="22"/>
          <w:szCs w:val="22"/>
        </w:rPr>
        <w:t>Hypericum perforatum</w:t>
      </w:r>
      <w:r w:rsidRPr="00F93FFA">
        <w:rPr>
          <w:color w:val="000000"/>
          <w:sz w:val="22"/>
          <w:szCs w:val="22"/>
        </w:rPr>
        <w:t>, t.</w:t>
      </w:r>
      <w:r w:rsidR="00957B98" w:rsidRPr="00F93FFA">
        <w:rPr>
          <w:color w:val="000000"/>
          <w:sz w:val="22"/>
          <w:szCs w:val="22"/>
        </w:rPr>
        <w:t> </w:t>
      </w:r>
      <w:r w:rsidRPr="00F93FFA">
        <w:rPr>
          <w:color w:val="000000"/>
          <w:sz w:val="22"/>
          <w:szCs w:val="22"/>
        </w:rPr>
        <w:t>y. jonažolė), gali reikšmingai sumažinti Glivec ekspoziciją ir padidinti nesėkmingo gydymo tikimybę. Po iš pradžių skirto gydymo daugkartinėmis rifampicino 600 mg dozėmis, suvartojus vienkartinę 400 mg Glivec dozę, imatinibo C</w:t>
      </w:r>
      <w:r w:rsidRPr="00F93FFA">
        <w:rPr>
          <w:color w:val="000000"/>
          <w:sz w:val="22"/>
          <w:szCs w:val="22"/>
          <w:vertAlign w:val="subscript"/>
        </w:rPr>
        <w:t>max</w:t>
      </w:r>
      <w:r w:rsidRPr="00F93FFA">
        <w:rPr>
          <w:color w:val="000000"/>
          <w:sz w:val="22"/>
          <w:szCs w:val="22"/>
        </w:rPr>
        <w:t xml:space="preserve"> ir AUC</w:t>
      </w:r>
      <w:r w:rsidRPr="00F93FFA">
        <w:rPr>
          <w:color w:val="000000"/>
          <w:sz w:val="22"/>
          <w:szCs w:val="22"/>
          <w:vertAlign w:val="subscript"/>
        </w:rPr>
        <w:t>(0-∞)</w:t>
      </w:r>
      <w:r w:rsidRPr="00F93FFA">
        <w:rPr>
          <w:color w:val="000000"/>
          <w:sz w:val="22"/>
          <w:szCs w:val="22"/>
        </w:rPr>
        <w:t xml:space="preserve"> sumažėjo atitinkamai 54 % ir 74 % lyginant su atitinkamais duomenimis be rifampicino vartojimo. Panašūs rezultatai pastebėti Glivec skyrus piktybinėmis gliomomis sergantiems pacientams, vartojusiems fermentus indukuojančius </w:t>
      </w:r>
      <w:r w:rsidR="00D62405" w:rsidRPr="00F93FFA">
        <w:rPr>
          <w:color w:val="000000"/>
          <w:sz w:val="22"/>
          <w:szCs w:val="22"/>
        </w:rPr>
        <w:t xml:space="preserve">vaistinius preparatus </w:t>
      </w:r>
      <w:r w:rsidRPr="00F93FFA">
        <w:rPr>
          <w:color w:val="000000"/>
          <w:sz w:val="22"/>
          <w:szCs w:val="22"/>
        </w:rPr>
        <w:t>nuo epilepsijos (FIVNE), pavyzdžiui, karbamazepiną, oksakarbazepiną ir fenitoiną. Lyginant su FIVNE nevartojusiais pacientais, vartojant FIVNE, plotas po imatinibo koncentracijos plazmoje kreive AUC sumažėjo 73 %. Reikia vengti imatinibą vartoti kartu su rifampicinu ar kitais stipriais CYP3A4 induktoriais.</w:t>
      </w:r>
    </w:p>
    <w:p w14:paraId="6356C0A0" w14:textId="77777777" w:rsidR="00314B70" w:rsidRPr="00F93FFA" w:rsidRDefault="00314B70" w:rsidP="00DE16D0">
      <w:pPr>
        <w:widowControl w:val="0"/>
        <w:rPr>
          <w:color w:val="000000"/>
          <w:sz w:val="22"/>
          <w:szCs w:val="22"/>
        </w:rPr>
      </w:pPr>
    </w:p>
    <w:p w14:paraId="1228B4C9" w14:textId="77777777" w:rsidR="00314B70" w:rsidRPr="00F93FFA" w:rsidRDefault="00314B70" w:rsidP="008B45F8">
      <w:pPr>
        <w:keepNext/>
        <w:widowControl w:val="0"/>
        <w:rPr>
          <w:b/>
          <w:color w:val="000000"/>
          <w:sz w:val="22"/>
          <w:szCs w:val="22"/>
        </w:rPr>
      </w:pPr>
      <w:r w:rsidRPr="00F93FFA">
        <w:rPr>
          <w:b/>
          <w:color w:val="000000"/>
          <w:sz w:val="22"/>
          <w:szCs w:val="22"/>
        </w:rPr>
        <w:t>Veikliosios medžiagos, kurių koncentraciją plazmoje gali keisti Glivec</w:t>
      </w:r>
    </w:p>
    <w:p w14:paraId="3EAC43C2" w14:textId="77777777" w:rsidR="00314B70" w:rsidRPr="00F93FFA" w:rsidRDefault="00314B70" w:rsidP="00DE16D0">
      <w:pPr>
        <w:widowControl w:val="0"/>
        <w:rPr>
          <w:color w:val="000000"/>
          <w:sz w:val="22"/>
          <w:szCs w:val="22"/>
        </w:rPr>
      </w:pPr>
      <w:r w:rsidRPr="00F93FFA">
        <w:rPr>
          <w:color w:val="000000"/>
          <w:sz w:val="22"/>
          <w:szCs w:val="22"/>
        </w:rPr>
        <w:t>Imatinibas padidina simvastatino (CYP3A4 substrato) C</w:t>
      </w:r>
      <w:r w:rsidRPr="00F93FFA">
        <w:rPr>
          <w:color w:val="000000"/>
          <w:sz w:val="22"/>
          <w:szCs w:val="22"/>
          <w:vertAlign w:val="subscript"/>
        </w:rPr>
        <w:t>max</w:t>
      </w:r>
      <w:r w:rsidRPr="00F93FFA">
        <w:rPr>
          <w:color w:val="000000"/>
          <w:sz w:val="22"/>
          <w:szCs w:val="22"/>
        </w:rPr>
        <w:t xml:space="preserve"> ir AUC atitinkamai 2 kartus ir 3,5 karto. Tai rodo, kad imatinibas slopina CYP3A4. Todėl būtina laikytis atsargumo priemonių, kai Glivec vartojama kartu su CYP3A4 substratais, kurių yra siaura terapinė platuma (pvz., ciklosporinu, pimozidu, takrolimuzu, sirolimuzu, ergotaminu, diergotaminu, fentaniliu, alfetaniliu, terfenadinu, bortezomibu, docetakseliu ir chinidinu). Glivec gali padidinti kitų CYP3A4 metabolizuojamų </w:t>
      </w:r>
      <w:r w:rsidR="00D62405" w:rsidRPr="00F93FFA">
        <w:rPr>
          <w:color w:val="000000"/>
          <w:sz w:val="22"/>
          <w:szCs w:val="22"/>
        </w:rPr>
        <w:t xml:space="preserve">vaistinių preparatų </w:t>
      </w:r>
      <w:r w:rsidRPr="00F93FFA">
        <w:rPr>
          <w:color w:val="000000"/>
          <w:sz w:val="22"/>
          <w:szCs w:val="22"/>
        </w:rPr>
        <w:t>(pvz., triazolo grupės benzodiazepinų, dihidropiridino grupės kalcio kanalų blokatorių, tam tikrų HMG</w:t>
      </w:r>
      <w:r w:rsidRPr="00F93FFA">
        <w:rPr>
          <w:color w:val="000000"/>
          <w:sz w:val="22"/>
          <w:szCs w:val="22"/>
        </w:rPr>
        <w:noBreakHyphen/>
        <w:t>KoA reduktazės inhibitorių, t.</w:t>
      </w:r>
      <w:r w:rsidR="00957B98" w:rsidRPr="00F93FFA">
        <w:rPr>
          <w:color w:val="000000"/>
          <w:sz w:val="22"/>
          <w:szCs w:val="22"/>
        </w:rPr>
        <w:t> </w:t>
      </w:r>
      <w:r w:rsidRPr="00F93FFA">
        <w:rPr>
          <w:color w:val="000000"/>
          <w:sz w:val="22"/>
          <w:szCs w:val="22"/>
        </w:rPr>
        <w:t>y. statinų, ir kt.) koncentraciją plazmoje.</w:t>
      </w:r>
    </w:p>
    <w:p w14:paraId="71B040EA" w14:textId="77777777" w:rsidR="00314B70" w:rsidRPr="00F93FFA" w:rsidRDefault="00314B70" w:rsidP="00DE16D0">
      <w:pPr>
        <w:widowControl w:val="0"/>
        <w:rPr>
          <w:color w:val="000000"/>
          <w:sz w:val="22"/>
          <w:szCs w:val="22"/>
        </w:rPr>
      </w:pPr>
    </w:p>
    <w:p w14:paraId="11B7503D" w14:textId="77777777" w:rsidR="00314B70" w:rsidRPr="00F93FFA" w:rsidRDefault="00314B70" w:rsidP="00DE16D0">
      <w:pPr>
        <w:widowControl w:val="0"/>
        <w:rPr>
          <w:color w:val="000000"/>
          <w:sz w:val="22"/>
          <w:szCs w:val="22"/>
        </w:rPr>
      </w:pPr>
      <w:r w:rsidRPr="00F93FFA">
        <w:rPr>
          <w:color w:val="000000"/>
          <w:sz w:val="22"/>
          <w:szCs w:val="22"/>
        </w:rPr>
        <w:t>Dėl žinomos padidėjusios kraujavimo rizikos, siejamos su imatinibo vartojimu (t.</w:t>
      </w:r>
      <w:r w:rsidR="00957B98" w:rsidRPr="00F93FFA">
        <w:rPr>
          <w:color w:val="000000"/>
          <w:sz w:val="22"/>
          <w:szCs w:val="22"/>
        </w:rPr>
        <w:t> </w:t>
      </w:r>
      <w:r w:rsidRPr="00F93FFA">
        <w:rPr>
          <w:color w:val="000000"/>
          <w:sz w:val="22"/>
          <w:szCs w:val="22"/>
        </w:rPr>
        <w:t>y., hemoragijos), pacientams, kuriuos reikia gydyti antikoaguliantais, vietoj kumarino darinių, tokių kaip varfarinas, reikėtų skirti mažos molekulinės masės ar standartinio heparino.</w:t>
      </w:r>
    </w:p>
    <w:p w14:paraId="408DF81F" w14:textId="77777777" w:rsidR="00314B70" w:rsidRPr="00F93FFA" w:rsidRDefault="00314B70" w:rsidP="00DE16D0">
      <w:pPr>
        <w:widowControl w:val="0"/>
        <w:rPr>
          <w:color w:val="000000"/>
          <w:sz w:val="22"/>
          <w:szCs w:val="22"/>
        </w:rPr>
      </w:pPr>
    </w:p>
    <w:p w14:paraId="21748D70" w14:textId="77777777" w:rsidR="00314B70" w:rsidRPr="00F93FFA" w:rsidRDefault="00314B70" w:rsidP="00DE16D0">
      <w:pPr>
        <w:widowControl w:val="0"/>
        <w:rPr>
          <w:color w:val="000000"/>
          <w:sz w:val="22"/>
          <w:szCs w:val="22"/>
        </w:rPr>
      </w:pPr>
      <w:r w:rsidRPr="00F93FFA">
        <w:rPr>
          <w:i/>
          <w:color w:val="000000"/>
          <w:sz w:val="22"/>
          <w:szCs w:val="22"/>
        </w:rPr>
        <w:t>In vitro</w:t>
      </w:r>
      <w:r w:rsidRPr="00F93FFA">
        <w:rPr>
          <w:color w:val="000000"/>
          <w:sz w:val="22"/>
          <w:szCs w:val="22"/>
        </w:rPr>
        <w:t xml:space="preserve"> Glivec slopina citochromo P450 izofermento CYP2D6 aktyvumą, kai jo koncentracija yra panaši į tą, kuri veikia CYP3A4 aktyvumą. Imatinibas, vartojant jį 400 mg dozėje du kartus per parą, slopina metaprololio metabolizmą CYP2D6 fermentų sistemoje, kai metaprololio C</w:t>
      </w:r>
      <w:r w:rsidRPr="00F93FFA">
        <w:rPr>
          <w:color w:val="000000"/>
          <w:sz w:val="22"/>
          <w:szCs w:val="22"/>
          <w:vertAlign w:val="subscript"/>
        </w:rPr>
        <w:t>max</w:t>
      </w:r>
      <w:r w:rsidRPr="00F93FFA">
        <w:rPr>
          <w:color w:val="000000"/>
          <w:sz w:val="22"/>
          <w:szCs w:val="22"/>
        </w:rPr>
        <w:t xml:space="preserve"> ir AUC padidėjo maždaug 23 % (90 % PI [1,16</w:t>
      </w:r>
      <w:r w:rsidRPr="00F93FFA">
        <w:rPr>
          <w:color w:val="000000"/>
          <w:sz w:val="22"/>
          <w:szCs w:val="22"/>
        </w:rPr>
        <w:noBreakHyphen/>
        <w:t>1,30]). Kai imatinibas yra vartojamas kartu su CYP2D6 substratais, dozės koreguoti nereikėtų, tačiau būtina laikytis atsargumo priemonių, kai skiriami siaurio terapeutinio lango CYP2D6 substratai, tokie kaip metoprololis. Metoprololiu gydomus pacientus patariama atidžiai stebėti.</w:t>
      </w:r>
    </w:p>
    <w:p w14:paraId="0F62C2CE" w14:textId="77777777" w:rsidR="00314B70" w:rsidRPr="00F93FFA" w:rsidRDefault="00314B70" w:rsidP="00DE16D0">
      <w:pPr>
        <w:pStyle w:val="Text"/>
        <w:widowControl w:val="0"/>
        <w:spacing w:before="0"/>
        <w:jc w:val="left"/>
        <w:rPr>
          <w:color w:val="000000"/>
          <w:sz w:val="22"/>
          <w:szCs w:val="22"/>
          <w:lang w:val="lt-LT"/>
        </w:rPr>
      </w:pPr>
    </w:p>
    <w:p w14:paraId="5AD80664" w14:textId="77777777" w:rsidR="00314B70" w:rsidRPr="00F93FFA" w:rsidRDefault="00314B70" w:rsidP="00DE16D0">
      <w:pPr>
        <w:pStyle w:val="Text"/>
        <w:widowControl w:val="0"/>
        <w:spacing w:before="0"/>
        <w:jc w:val="left"/>
        <w:rPr>
          <w:color w:val="000000"/>
          <w:sz w:val="22"/>
          <w:szCs w:val="22"/>
          <w:lang w:val="lt-LT"/>
        </w:rPr>
      </w:pPr>
      <w:r w:rsidRPr="00F93FFA">
        <w:rPr>
          <w:i/>
          <w:color w:val="000000"/>
          <w:sz w:val="22"/>
          <w:szCs w:val="22"/>
          <w:lang w:val="lt-LT"/>
        </w:rPr>
        <w:t>In vitro</w:t>
      </w:r>
      <w:r w:rsidRPr="00F93FFA">
        <w:rPr>
          <w:color w:val="000000"/>
          <w:sz w:val="22"/>
          <w:szCs w:val="22"/>
          <w:lang w:val="lt-LT"/>
        </w:rPr>
        <w:t xml:space="preserve"> Glivec slopina paracetamolio O-gliukuroninimą, kai Ki vertė yra 58,5 mikromol/l. Po vartojimo Glivec 400 mg ir paracetamolio 1000 mg </w:t>
      </w:r>
      <w:r w:rsidRPr="00F93FFA">
        <w:rPr>
          <w:i/>
          <w:color w:val="000000"/>
          <w:sz w:val="22"/>
          <w:szCs w:val="22"/>
          <w:lang w:val="lt-LT"/>
        </w:rPr>
        <w:t>in vivo</w:t>
      </w:r>
      <w:r w:rsidRPr="00F93FFA">
        <w:rPr>
          <w:color w:val="000000"/>
          <w:sz w:val="22"/>
          <w:szCs w:val="22"/>
          <w:lang w:val="lt-LT"/>
        </w:rPr>
        <w:t xml:space="preserve"> tokio slopinimo nustatyta. Dėl didesnių Glivec ir paracetamolio dozių vartojimo tyrimų neatlikta.</w:t>
      </w:r>
    </w:p>
    <w:p w14:paraId="2C7A14F4" w14:textId="77777777" w:rsidR="00314B70" w:rsidRPr="00F93FFA" w:rsidRDefault="00314B70" w:rsidP="00DE16D0">
      <w:pPr>
        <w:pStyle w:val="Text"/>
        <w:widowControl w:val="0"/>
        <w:spacing w:before="0"/>
        <w:jc w:val="left"/>
        <w:rPr>
          <w:color w:val="000000"/>
          <w:sz w:val="22"/>
          <w:szCs w:val="22"/>
          <w:lang w:val="lt-LT"/>
        </w:rPr>
      </w:pPr>
    </w:p>
    <w:p w14:paraId="62829A52"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Todėl reikia atsargiai vartoti dideles Glivec dozes kartu su paracetamoliu.</w:t>
      </w:r>
    </w:p>
    <w:p w14:paraId="47673925" w14:textId="77777777" w:rsidR="00314B70" w:rsidRPr="00F93FFA" w:rsidRDefault="00314B70" w:rsidP="00DE16D0">
      <w:pPr>
        <w:pStyle w:val="Text"/>
        <w:widowControl w:val="0"/>
        <w:spacing w:before="0"/>
        <w:jc w:val="left"/>
        <w:rPr>
          <w:color w:val="000000"/>
          <w:sz w:val="22"/>
          <w:szCs w:val="22"/>
          <w:lang w:val="lt-LT"/>
        </w:rPr>
      </w:pPr>
    </w:p>
    <w:p w14:paraId="5E0815DC" w14:textId="1FAAB1E1"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Pacientams, gydomiems levotiroksinu po skydliaukės pašalinimo ir kartu skiriant Glivec, gali sumažėti levotiroksino kiekis plazmoje (žr. 4.4</w:t>
      </w:r>
      <w:r w:rsidR="00957B98" w:rsidRPr="00F93FFA">
        <w:rPr>
          <w:color w:val="000000"/>
          <w:sz w:val="22"/>
          <w:szCs w:val="22"/>
          <w:lang w:val="lt-LT"/>
        </w:rPr>
        <w:t> </w:t>
      </w:r>
      <w:r w:rsidRPr="00F93FFA">
        <w:rPr>
          <w:color w:val="000000"/>
          <w:sz w:val="22"/>
          <w:szCs w:val="22"/>
          <w:lang w:val="lt-LT"/>
        </w:rPr>
        <w:t>skyrių), todėl rekomenduojamos atsargumo priemonės. Vis dėlto stebėtos sąveikos mechanizmas iki šiol nežinomas.</w:t>
      </w:r>
    </w:p>
    <w:p w14:paraId="773B7575" w14:textId="77777777" w:rsidR="00314B70" w:rsidRPr="00F93FFA" w:rsidRDefault="00314B70" w:rsidP="00DE16D0">
      <w:pPr>
        <w:widowControl w:val="0"/>
        <w:rPr>
          <w:color w:val="000000"/>
          <w:sz w:val="22"/>
          <w:szCs w:val="22"/>
        </w:rPr>
      </w:pPr>
    </w:p>
    <w:p w14:paraId="3F15EFDB" w14:textId="60BD74E8" w:rsidR="00314B70" w:rsidRPr="00F93FFA" w:rsidRDefault="00314B70" w:rsidP="00DE16D0">
      <w:pPr>
        <w:widowControl w:val="0"/>
        <w:rPr>
          <w:color w:val="000000"/>
          <w:sz w:val="22"/>
          <w:szCs w:val="22"/>
        </w:rPr>
      </w:pPr>
      <w:r w:rsidRPr="00F93FFA">
        <w:rPr>
          <w:color w:val="000000"/>
          <w:sz w:val="22"/>
          <w:szCs w:val="22"/>
        </w:rPr>
        <w:t>Yra klinikinės patirties kartu vartojant Glivec ir chemoterapiją pacientų, sergančiųjų Ph+ ŪLL, tarpe (žr. 5.1</w:t>
      </w:r>
      <w:r w:rsidR="00957B98" w:rsidRPr="00F93FFA">
        <w:rPr>
          <w:color w:val="000000"/>
          <w:sz w:val="22"/>
          <w:szCs w:val="22"/>
        </w:rPr>
        <w:t> </w:t>
      </w:r>
      <w:r w:rsidRPr="00F93FFA">
        <w:rPr>
          <w:color w:val="000000"/>
          <w:sz w:val="22"/>
          <w:szCs w:val="22"/>
        </w:rPr>
        <w:t xml:space="preserve">skyrių), bet </w:t>
      </w:r>
      <w:r w:rsidR="00D62405" w:rsidRPr="00F93FFA">
        <w:rPr>
          <w:color w:val="000000"/>
          <w:sz w:val="22"/>
          <w:szCs w:val="22"/>
        </w:rPr>
        <w:t xml:space="preserve">vaistinio preparato </w:t>
      </w:r>
      <w:r w:rsidRPr="00F93FFA">
        <w:rPr>
          <w:color w:val="000000"/>
          <w:sz w:val="22"/>
          <w:szCs w:val="22"/>
        </w:rPr>
        <w:t>-</w:t>
      </w:r>
      <w:r w:rsidR="00D62405" w:rsidRPr="00F93FFA">
        <w:rPr>
          <w:color w:val="000000"/>
          <w:sz w:val="22"/>
          <w:szCs w:val="22"/>
        </w:rPr>
        <w:t xml:space="preserve"> vaistinio preparato </w:t>
      </w:r>
      <w:r w:rsidRPr="00F93FFA">
        <w:rPr>
          <w:color w:val="000000"/>
          <w:sz w:val="22"/>
          <w:szCs w:val="22"/>
        </w:rPr>
        <w:t>sąveikos tarp imatinibo ir chemoterapijos kontrolės nėra gerai aprašytos. Imatinibo sukeliamų nepageidaujamų reiškinių, pvz., hepatotoksiškumo, kaulų čiulpų supresijos arba kitų, gali daugėti ir pranešta, kad kartu vartojant L</w:t>
      </w:r>
      <w:r w:rsidR="003429B0" w:rsidRPr="00F93FFA">
        <w:rPr>
          <w:color w:val="000000"/>
          <w:sz w:val="22"/>
          <w:szCs w:val="22"/>
        </w:rPr>
        <w:noBreakHyphen/>
      </w:r>
      <w:r w:rsidRPr="00F93FFA">
        <w:rPr>
          <w:color w:val="000000"/>
          <w:sz w:val="22"/>
          <w:szCs w:val="22"/>
        </w:rPr>
        <w:t>asparaginazės, gali padidėti hepatotoksiškumas (žr. 4.8</w:t>
      </w:r>
      <w:r w:rsidR="00957B98" w:rsidRPr="00F93FFA">
        <w:rPr>
          <w:color w:val="000000"/>
          <w:sz w:val="22"/>
          <w:szCs w:val="22"/>
        </w:rPr>
        <w:t> </w:t>
      </w:r>
      <w:r w:rsidRPr="00F93FFA">
        <w:rPr>
          <w:color w:val="000000"/>
          <w:sz w:val="22"/>
          <w:szCs w:val="22"/>
        </w:rPr>
        <w:t xml:space="preserve">skyrių). Todėl, kartu su Glivec vartojant kitų </w:t>
      </w:r>
      <w:r w:rsidR="00D62405" w:rsidRPr="00F93FFA">
        <w:rPr>
          <w:color w:val="000000"/>
          <w:sz w:val="22"/>
          <w:szCs w:val="22"/>
        </w:rPr>
        <w:t>vaistinių preparatų</w:t>
      </w:r>
      <w:r w:rsidRPr="00F93FFA">
        <w:rPr>
          <w:color w:val="000000"/>
          <w:sz w:val="22"/>
          <w:szCs w:val="22"/>
        </w:rPr>
        <w:t>, reikia specialių atsargumo priemonių.</w:t>
      </w:r>
    </w:p>
    <w:p w14:paraId="479F8331" w14:textId="77777777" w:rsidR="00314B70" w:rsidRPr="00F93FFA" w:rsidRDefault="00314B70" w:rsidP="00DE16D0">
      <w:pPr>
        <w:widowControl w:val="0"/>
        <w:ind w:left="567" w:hanging="567"/>
        <w:rPr>
          <w:color w:val="000000"/>
          <w:sz w:val="22"/>
          <w:szCs w:val="22"/>
        </w:rPr>
      </w:pPr>
    </w:p>
    <w:p w14:paraId="4D78D873" w14:textId="77777777" w:rsidR="00314B70" w:rsidRPr="00F93FFA" w:rsidRDefault="00314B70" w:rsidP="00DE16D0">
      <w:pPr>
        <w:keepNext/>
        <w:widowControl w:val="0"/>
        <w:ind w:left="567" w:hanging="567"/>
        <w:rPr>
          <w:b/>
          <w:color w:val="000000"/>
          <w:sz w:val="22"/>
          <w:szCs w:val="22"/>
        </w:rPr>
      </w:pPr>
      <w:r w:rsidRPr="00F93FFA">
        <w:rPr>
          <w:b/>
          <w:color w:val="000000"/>
          <w:sz w:val="22"/>
          <w:szCs w:val="22"/>
        </w:rPr>
        <w:t>4.6</w:t>
      </w:r>
      <w:r w:rsidRPr="00F93FFA">
        <w:rPr>
          <w:b/>
          <w:color w:val="000000"/>
          <w:sz w:val="22"/>
          <w:szCs w:val="22"/>
        </w:rPr>
        <w:tab/>
        <w:t>Vaisingumas, nėštumo ir žindymo laikotarpis</w:t>
      </w:r>
    </w:p>
    <w:p w14:paraId="301491F7" w14:textId="77777777" w:rsidR="00314B70" w:rsidRPr="00F93FFA" w:rsidRDefault="00314B70" w:rsidP="00DE16D0">
      <w:pPr>
        <w:keepNext/>
        <w:widowControl w:val="0"/>
        <w:rPr>
          <w:color w:val="000000"/>
          <w:sz w:val="22"/>
          <w:szCs w:val="22"/>
        </w:rPr>
      </w:pPr>
    </w:p>
    <w:p w14:paraId="20307092" w14:textId="77777777" w:rsidR="00314B70" w:rsidRPr="00F93FFA" w:rsidRDefault="00314B70" w:rsidP="00DE16D0">
      <w:pPr>
        <w:pStyle w:val="EndnoteText"/>
        <w:keepNext/>
        <w:widowControl w:val="0"/>
        <w:tabs>
          <w:tab w:val="clear" w:pos="567"/>
        </w:tabs>
        <w:rPr>
          <w:color w:val="000000"/>
          <w:szCs w:val="22"/>
          <w:u w:val="single"/>
        </w:rPr>
      </w:pPr>
      <w:r w:rsidRPr="00F93FFA">
        <w:rPr>
          <w:color w:val="000000"/>
          <w:szCs w:val="22"/>
          <w:u w:val="single"/>
        </w:rPr>
        <w:t>Vaisingo amžiaus moterys</w:t>
      </w:r>
    </w:p>
    <w:p w14:paraId="7D5B6195" w14:textId="5F3ACE55" w:rsidR="00314B70" w:rsidRPr="00F93FFA" w:rsidRDefault="00314B70" w:rsidP="00DE16D0">
      <w:pPr>
        <w:widowControl w:val="0"/>
        <w:rPr>
          <w:color w:val="000000"/>
          <w:sz w:val="22"/>
          <w:szCs w:val="22"/>
        </w:rPr>
      </w:pPr>
      <w:r w:rsidRPr="00F93FFA">
        <w:rPr>
          <w:color w:val="000000"/>
          <w:sz w:val="22"/>
          <w:szCs w:val="22"/>
        </w:rPr>
        <w:t>Vaisingo amžiaus moter</w:t>
      </w:r>
      <w:r w:rsidR="00770DD2" w:rsidRPr="00F93FFA">
        <w:rPr>
          <w:color w:val="000000"/>
          <w:sz w:val="22"/>
          <w:szCs w:val="22"/>
        </w:rPr>
        <w:t>is būtina informuoti</w:t>
      </w:r>
      <w:r w:rsidRPr="00F93FFA">
        <w:rPr>
          <w:color w:val="000000"/>
          <w:sz w:val="22"/>
          <w:szCs w:val="22"/>
        </w:rPr>
        <w:t xml:space="preserve">, kad gydymo metu </w:t>
      </w:r>
      <w:r w:rsidR="000E39AE" w:rsidRPr="00F93FFA">
        <w:rPr>
          <w:color w:val="000000"/>
          <w:sz w:val="22"/>
          <w:szCs w:val="22"/>
        </w:rPr>
        <w:t xml:space="preserve">ir mažiausiai 15 dienų po gydymo Glivec nutraukimo </w:t>
      </w:r>
      <w:r w:rsidRPr="00F93FFA">
        <w:rPr>
          <w:color w:val="000000"/>
          <w:sz w:val="22"/>
          <w:szCs w:val="22"/>
        </w:rPr>
        <w:t>jos turi naudoti veiksmingą kontracepcijos metodą.</w:t>
      </w:r>
    </w:p>
    <w:p w14:paraId="35BB9B73" w14:textId="77777777" w:rsidR="00314B70" w:rsidRPr="00F93FFA" w:rsidRDefault="00314B70" w:rsidP="00DE16D0">
      <w:pPr>
        <w:widowControl w:val="0"/>
      </w:pPr>
    </w:p>
    <w:p w14:paraId="79474A3D" w14:textId="77777777" w:rsidR="00314B70" w:rsidRPr="00F93FFA" w:rsidRDefault="00314B70" w:rsidP="008B45F8">
      <w:pPr>
        <w:pStyle w:val="EndnoteText"/>
        <w:keepNext/>
        <w:widowControl w:val="0"/>
        <w:tabs>
          <w:tab w:val="clear" w:pos="567"/>
        </w:tabs>
        <w:rPr>
          <w:color w:val="000000"/>
          <w:szCs w:val="22"/>
          <w:u w:val="single"/>
          <w:lang w:val="lt-LT"/>
        </w:rPr>
      </w:pPr>
      <w:r w:rsidRPr="00F93FFA">
        <w:rPr>
          <w:color w:val="000000"/>
          <w:szCs w:val="22"/>
          <w:u w:val="single"/>
          <w:lang w:val="lt-LT"/>
        </w:rPr>
        <w:t>Nėštumas</w:t>
      </w:r>
    </w:p>
    <w:p w14:paraId="3EF80098" w14:textId="6E0A7BDA" w:rsidR="00314B70" w:rsidRPr="00F93FFA" w:rsidRDefault="00314B70" w:rsidP="00DE16D0">
      <w:pPr>
        <w:widowControl w:val="0"/>
        <w:rPr>
          <w:color w:val="000000"/>
          <w:sz w:val="22"/>
          <w:szCs w:val="22"/>
        </w:rPr>
      </w:pPr>
      <w:r w:rsidRPr="00F93FFA">
        <w:rPr>
          <w:color w:val="000000"/>
          <w:sz w:val="22"/>
          <w:szCs w:val="22"/>
        </w:rPr>
        <w:t xml:space="preserve">Duomenų apie imatinibo vartojimą nėštumo metu nepakanka. </w:t>
      </w:r>
      <w:r w:rsidR="009573B6" w:rsidRPr="00F93FFA">
        <w:rPr>
          <w:color w:val="000000"/>
          <w:sz w:val="22"/>
          <w:szCs w:val="22"/>
        </w:rPr>
        <w:t xml:space="preserve">Vaistiniam preparatui patekus į rinką gauta pranešimų apie Glivec vartojusioms moterims pasireiškusius spontaninių abortų atvejus ir įgimtas kūdikių anomalijas. </w:t>
      </w:r>
      <w:r w:rsidRPr="00F93FFA">
        <w:rPr>
          <w:color w:val="000000"/>
          <w:sz w:val="22"/>
          <w:szCs w:val="22"/>
        </w:rPr>
        <w:t>Tačiau su gyvūnais atlikti tyrimai parodė toksinį poveikį reprodukcijai (žr. 5.3</w:t>
      </w:r>
      <w:r w:rsidR="00957B98" w:rsidRPr="00F93FFA">
        <w:rPr>
          <w:color w:val="000000"/>
          <w:sz w:val="22"/>
          <w:szCs w:val="22"/>
        </w:rPr>
        <w:t> </w:t>
      </w:r>
      <w:r w:rsidRPr="00F93FFA">
        <w:rPr>
          <w:color w:val="000000"/>
          <w:sz w:val="22"/>
          <w:szCs w:val="22"/>
        </w:rPr>
        <w:t xml:space="preserve">skyrių), todėl galimas pavojus vaisiui nežinomas. Glivec nėštumo metu vartoti negalima, išskyrus neabejotinai būtinus atvejus. Nėščiąją, kuriai skiriama </w:t>
      </w:r>
      <w:r w:rsidR="00D62405" w:rsidRPr="00F93FFA">
        <w:rPr>
          <w:color w:val="000000"/>
          <w:sz w:val="22"/>
          <w:szCs w:val="22"/>
        </w:rPr>
        <w:t>vaistinio preparato</w:t>
      </w:r>
      <w:r w:rsidRPr="00F93FFA">
        <w:rPr>
          <w:color w:val="000000"/>
          <w:sz w:val="22"/>
          <w:szCs w:val="22"/>
        </w:rPr>
        <w:t>, reikia informuoti apie galimą riziką vaisiui.</w:t>
      </w:r>
    </w:p>
    <w:p w14:paraId="4B3B9991" w14:textId="77777777" w:rsidR="00314B70" w:rsidRPr="005205BF" w:rsidRDefault="00314B70" w:rsidP="00DE16D0">
      <w:pPr>
        <w:widowControl w:val="0"/>
        <w:rPr>
          <w:sz w:val="22"/>
          <w:szCs w:val="22"/>
        </w:rPr>
      </w:pPr>
    </w:p>
    <w:p w14:paraId="487F1B0E" w14:textId="77777777" w:rsidR="00314B70" w:rsidRPr="005205BF" w:rsidRDefault="00314B70" w:rsidP="008B45F8">
      <w:pPr>
        <w:keepNext/>
        <w:widowControl w:val="0"/>
        <w:rPr>
          <w:sz w:val="22"/>
          <w:szCs w:val="22"/>
          <w:u w:val="single"/>
        </w:rPr>
      </w:pPr>
      <w:r w:rsidRPr="005205BF">
        <w:rPr>
          <w:sz w:val="22"/>
          <w:szCs w:val="22"/>
          <w:u w:val="single"/>
        </w:rPr>
        <w:t>Žindymas</w:t>
      </w:r>
    </w:p>
    <w:p w14:paraId="4F3DB796" w14:textId="233E4665" w:rsidR="00314B70" w:rsidRPr="00F93FFA" w:rsidRDefault="00314B70" w:rsidP="00DE16D0">
      <w:pPr>
        <w:pStyle w:val="EndnoteText"/>
        <w:widowControl w:val="0"/>
        <w:rPr>
          <w:szCs w:val="22"/>
        </w:rPr>
      </w:pPr>
      <w:r w:rsidRPr="00F93FFA">
        <w:rPr>
          <w:szCs w:val="22"/>
        </w:rPr>
        <w:t xml:space="preserve">Yra mažai duomenų apie imatinibo išsiskirimą į motinos pieną. Abi žindančių moterų studijos parodė, kad tiek imatinibo, tiek jo aktyvaus metabolito gali išsiskirti į žindyvės pieną. Nustatyta, kad imatinibo ir jo metabolito koncentracijų piene ir kraujo plazmoje santykis, vienai pacientei tenka, atitinkamai, 0,5 ir 0,9; tai rodo, kad į pieną daugiau išsiskiria </w:t>
      </w:r>
      <w:r w:rsidR="00D62405" w:rsidRPr="00F93FFA">
        <w:rPr>
          <w:szCs w:val="22"/>
          <w:lang w:val="lt-LT"/>
        </w:rPr>
        <w:t xml:space="preserve">vaistinio preparato </w:t>
      </w:r>
      <w:r w:rsidRPr="00F93FFA">
        <w:rPr>
          <w:szCs w:val="22"/>
        </w:rPr>
        <w:t>metabolito. Atsižvelgiant į suminę imatinibo ir jo metabolito koncentraciją bei didžiausią kūdikio suvartojamą pieno kiekį per parą, tikėtina, kad bendroji ekspozicija galėtų būti nedidelė (~10 % terapinės dozės). Tačiau, kadangi nedidelės imatinibo dozės poveikis kūdikiui nežinomas,</w:t>
      </w:r>
      <w:r w:rsidR="000E39AE" w:rsidRPr="00F93FFA">
        <w:rPr>
          <w:szCs w:val="22"/>
        </w:rPr>
        <w:t xml:space="preserve"> gydymo metu ir mažiausiai 15 dienų po gydymo Glivec nutraukimo</w:t>
      </w:r>
      <w:r w:rsidRPr="00F93FFA">
        <w:rPr>
          <w:szCs w:val="22"/>
        </w:rPr>
        <w:t xml:space="preserve"> moterims žindyti negalima.</w:t>
      </w:r>
    </w:p>
    <w:p w14:paraId="0DB8C49F" w14:textId="77777777" w:rsidR="00314B70" w:rsidRPr="005205BF" w:rsidRDefault="00314B70" w:rsidP="00DE16D0">
      <w:pPr>
        <w:pStyle w:val="EndnoteText"/>
        <w:widowControl w:val="0"/>
        <w:rPr>
          <w:szCs w:val="22"/>
          <w:u w:val="single"/>
          <w:lang w:val="lt-LT"/>
        </w:rPr>
      </w:pPr>
    </w:p>
    <w:p w14:paraId="045BB40C" w14:textId="77777777" w:rsidR="00314B70" w:rsidRPr="005205BF" w:rsidRDefault="00314B70" w:rsidP="008B45F8">
      <w:pPr>
        <w:pStyle w:val="EndnoteText"/>
        <w:keepNext/>
        <w:widowControl w:val="0"/>
        <w:rPr>
          <w:szCs w:val="22"/>
          <w:u w:val="single"/>
          <w:lang w:val="lt-LT"/>
        </w:rPr>
      </w:pPr>
      <w:r w:rsidRPr="005205BF">
        <w:rPr>
          <w:szCs w:val="22"/>
          <w:u w:val="single"/>
          <w:lang w:val="lt-LT"/>
        </w:rPr>
        <w:t>Vaisingumas</w:t>
      </w:r>
    </w:p>
    <w:p w14:paraId="4D16F13F" w14:textId="77306426" w:rsidR="00314B70" w:rsidRPr="00F93FFA" w:rsidRDefault="00314B70" w:rsidP="00DE16D0">
      <w:pPr>
        <w:pStyle w:val="EndnoteText"/>
        <w:widowControl w:val="0"/>
        <w:rPr>
          <w:szCs w:val="22"/>
        </w:rPr>
      </w:pPr>
      <w:r w:rsidRPr="00F93FFA">
        <w:rPr>
          <w:szCs w:val="22"/>
          <w:lang w:val="lt-LT"/>
        </w:rPr>
        <w:t>Ikiklinikinių tyrimų metu, žiurkių patinų ir patelių vaisingumas nepakito</w:t>
      </w:r>
      <w:r w:rsidR="000E39AE" w:rsidRPr="00F93FFA">
        <w:rPr>
          <w:szCs w:val="22"/>
          <w:lang w:val="lt-LT"/>
        </w:rPr>
        <w:t>, n</w:t>
      </w:r>
      <w:r w:rsidR="00770DD2" w:rsidRPr="00F93FFA">
        <w:rPr>
          <w:szCs w:val="22"/>
          <w:lang w:val="lt-LT"/>
        </w:rPr>
        <w:t>ors poveikis reprodukciniams parametrams buvo pastebėtas</w:t>
      </w:r>
      <w:r w:rsidRPr="00F93FFA">
        <w:rPr>
          <w:szCs w:val="22"/>
          <w:lang w:val="lt-LT"/>
        </w:rPr>
        <w:t xml:space="preserve"> (žr. 5.3</w:t>
      </w:r>
      <w:r w:rsidR="00BF7B5C" w:rsidRPr="00F93FFA">
        <w:rPr>
          <w:szCs w:val="22"/>
          <w:lang w:val="lt-LT"/>
        </w:rPr>
        <w:t> </w:t>
      </w:r>
      <w:r w:rsidRPr="00F93FFA">
        <w:rPr>
          <w:szCs w:val="22"/>
          <w:lang w:val="lt-LT"/>
        </w:rPr>
        <w:t xml:space="preserve">skyrių). Nebuvo atlikta tyrimų, </w:t>
      </w:r>
      <w:r w:rsidRPr="005205BF">
        <w:rPr>
          <w:szCs w:val="22"/>
          <w:lang w:val="lt-LT"/>
        </w:rPr>
        <w:t>Glivec</w:t>
      </w:r>
      <w:r w:rsidRPr="00F93FFA">
        <w:rPr>
          <w:szCs w:val="22"/>
          <w:lang w:val="lt-LT"/>
        </w:rPr>
        <w:t xml:space="preserve"> skiriant pacientams, taigi </w:t>
      </w:r>
      <w:r w:rsidR="00D62405" w:rsidRPr="00F93FFA">
        <w:rPr>
          <w:szCs w:val="22"/>
          <w:lang w:val="lt-LT"/>
        </w:rPr>
        <w:t xml:space="preserve">vaistinio preparato </w:t>
      </w:r>
      <w:r w:rsidRPr="00F93FFA">
        <w:rPr>
          <w:szCs w:val="22"/>
          <w:lang w:val="lt-LT"/>
        </w:rPr>
        <w:t xml:space="preserve">poveikis vaisingumui ir gametogenezei nebuvo neištirtas. Dėl gydymo </w:t>
      </w:r>
      <w:r w:rsidRPr="005205BF">
        <w:rPr>
          <w:szCs w:val="22"/>
          <w:lang w:val="lt-LT"/>
        </w:rPr>
        <w:t>Glivec</w:t>
      </w:r>
      <w:r w:rsidRPr="00F93FFA">
        <w:rPr>
          <w:szCs w:val="22"/>
          <w:lang w:val="lt-LT"/>
        </w:rPr>
        <w:t xml:space="preserve"> poveikio vaisingumui, pacientams reikėtų pasitarti su gydytoju.</w:t>
      </w:r>
    </w:p>
    <w:p w14:paraId="0431E345" w14:textId="77777777" w:rsidR="00314B70" w:rsidRPr="005205BF" w:rsidRDefault="00314B70" w:rsidP="00DE16D0">
      <w:pPr>
        <w:widowControl w:val="0"/>
        <w:rPr>
          <w:sz w:val="22"/>
          <w:szCs w:val="22"/>
        </w:rPr>
      </w:pPr>
    </w:p>
    <w:p w14:paraId="08E87854"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4.7</w:t>
      </w:r>
      <w:r w:rsidRPr="00F93FFA">
        <w:rPr>
          <w:b/>
          <w:color w:val="000000"/>
          <w:sz w:val="22"/>
          <w:szCs w:val="22"/>
        </w:rPr>
        <w:tab/>
        <w:t>Poveikis gebėjimui vairuoti ir valdyti mechanizmus</w:t>
      </w:r>
    </w:p>
    <w:p w14:paraId="595CF313" w14:textId="77777777" w:rsidR="00314B70" w:rsidRPr="00F93FFA" w:rsidRDefault="00314B70" w:rsidP="008B45F8">
      <w:pPr>
        <w:keepNext/>
        <w:widowControl w:val="0"/>
        <w:ind w:left="567" w:hanging="567"/>
        <w:rPr>
          <w:color w:val="000000"/>
          <w:sz w:val="22"/>
          <w:szCs w:val="22"/>
        </w:rPr>
      </w:pPr>
    </w:p>
    <w:p w14:paraId="5DE60175" w14:textId="77777777" w:rsidR="00314B70" w:rsidRPr="00F93FFA" w:rsidRDefault="00314B70" w:rsidP="00DE16D0">
      <w:pPr>
        <w:widowControl w:val="0"/>
        <w:rPr>
          <w:color w:val="000000"/>
          <w:sz w:val="22"/>
          <w:szCs w:val="22"/>
        </w:rPr>
      </w:pPr>
      <w:r w:rsidRPr="00F93FFA">
        <w:rPr>
          <w:color w:val="000000"/>
          <w:sz w:val="22"/>
          <w:szCs w:val="22"/>
        </w:rPr>
        <w:t>Pacientams reikia nurodyti, kad vartojant imatinibą gali būti nepageidaujamų reiškinių, pvz., galvos svaigimas, neryškus matymas ar mieguistumas. Todėl vairuojant ar valdant mechanizmus būtina laikytis atsargumo priemonių.</w:t>
      </w:r>
    </w:p>
    <w:p w14:paraId="5BD2D260" w14:textId="77777777" w:rsidR="00314B70" w:rsidRPr="00F93FFA" w:rsidRDefault="00314B70" w:rsidP="00DE16D0">
      <w:pPr>
        <w:widowControl w:val="0"/>
        <w:rPr>
          <w:color w:val="000000"/>
          <w:sz w:val="22"/>
          <w:szCs w:val="22"/>
        </w:rPr>
      </w:pPr>
    </w:p>
    <w:p w14:paraId="41DD83CB"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4.8</w:t>
      </w:r>
      <w:r w:rsidRPr="00F93FFA">
        <w:rPr>
          <w:b/>
          <w:color w:val="000000"/>
          <w:sz w:val="22"/>
          <w:szCs w:val="22"/>
        </w:rPr>
        <w:tab/>
        <w:t>Nepageidaujamas poveikis</w:t>
      </w:r>
    </w:p>
    <w:p w14:paraId="6A15D132" w14:textId="77777777" w:rsidR="00314B70" w:rsidRPr="00F93FFA" w:rsidRDefault="00314B70" w:rsidP="008B45F8">
      <w:pPr>
        <w:keepNext/>
        <w:widowControl w:val="0"/>
        <w:ind w:left="567" w:hanging="567"/>
        <w:rPr>
          <w:color w:val="000000"/>
          <w:sz w:val="22"/>
          <w:szCs w:val="22"/>
        </w:rPr>
      </w:pPr>
    </w:p>
    <w:p w14:paraId="62074BD2" w14:textId="77777777" w:rsidR="00314B70" w:rsidRPr="00F93FFA" w:rsidRDefault="00314B70" w:rsidP="00DE16D0">
      <w:pPr>
        <w:widowControl w:val="0"/>
        <w:tabs>
          <w:tab w:val="left" w:pos="0"/>
        </w:tabs>
        <w:rPr>
          <w:color w:val="000000"/>
          <w:sz w:val="22"/>
          <w:szCs w:val="22"/>
        </w:rPr>
      </w:pPr>
      <w:r w:rsidRPr="00F93FFA">
        <w:rPr>
          <w:color w:val="000000"/>
          <w:sz w:val="22"/>
          <w:szCs w:val="22"/>
        </w:rPr>
        <w:t>Pacientams, sergantiems piktybiniais navikais, gali būti kitų sveikatos būklių, dėl kurių sunkiau nustatyti nepageidaujamų reiškinių priežastis dėl įvairių simptomų, susijusių su esančia liga, jos progresavimu ir dėl kitų kartu vartojamų vaistinių preparatų.</w:t>
      </w:r>
    </w:p>
    <w:p w14:paraId="4CF49D44" w14:textId="77777777" w:rsidR="00314B70" w:rsidRPr="00F93FFA" w:rsidRDefault="00314B70" w:rsidP="00DE16D0">
      <w:pPr>
        <w:widowControl w:val="0"/>
        <w:tabs>
          <w:tab w:val="left" w:pos="0"/>
        </w:tabs>
        <w:rPr>
          <w:color w:val="000000"/>
          <w:sz w:val="22"/>
          <w:szCs w:val="22"/>
        </w:rPr>
      </w:pPr>
    </w:p>
    <w:p w14:paraId="5F421BB5" w14:textId="77777777" w:rsidR="00314B70" w:rsidRPr="00F93FFA" w:rsidRDefault="00314B70" w:rsidP="00DE16D0">
      <w:pPr>
        <w:widowControl w:val="0"/>
        <w:tabs>
          <w:tab w:val="left" w:pos="0"/>
        </w:tabs>
        <w:rPr>
          <w:color w:val="000000"/>
          <w:sz w:val="22"/>
          <w:szCs w:val="22"/>
        </w:rPr>
      </w:pPr>
      <w:r w:rsidRPr="00F93FFA">
        <w:rPr>
          <w:color w:val="000000"/>
          <w:sz w:val="22"/>
          <w:szCs w:val="22"/>
        </w:rPr>
        <w:t xml:space="preserve">Klinikinių LML tyrimų metu dėl nepageidaujamų su </w:t>
      </w:r>
      <w:r w:rsidR="00D62405" w:rsidRPr="00F93FFA">
        <w:rPr>
          <w:color w:val="000000"/>
          <w:sz w:val="22"/>
          <w:szCs w:val="22"/>
        </w:rPr>
        <w:t xml:space="preserve">vaistiniu preparatu </w:t>
      </w:r>
      <w:r w:rsidRPr="00F93FFA">
        <w:rPr>
          <w:color w:val="000000"/>
          <w:sz w:val="22"/>
          <w:szCs w:val="22"/>
        </w:rPr>
        <w:t xml:space="preserve">susijusių reakcijų </w:t>
      </w:r>
      <w:r w:rsidR="00D62405" w:rsidRPr="00F93FFA">
        <w:rPr>
          <w:color w:val="000000"/>
          <w:sz w:val="22"/>
          <w:szCs w:val="22"/>
        </w:rPr>
        <w:t xml:space="preserve">vaistinio preparato </w:t>
      </w:r>
      <w:r w:rsidRPr="00F93FFA">
        <w:rPr>
          <w:color w:val="000000"/>
          <w:sz w:val="22"/>
          <w:szCs w:val="22"/>
        </w:rPr>
        <w:t xml:space="preserve">vartojimą teko nutraukti 2,4 % pacientų, kuriems buvo naujai diagnozuota liga, 4 % pacientų, kuriems buvo vėlyvoji lėtinė ligos fazė po nesėkmingo gydymo interferonu, 4 % – kuriems buvo akceleracijos fazė po nesėkmingo gydymo interferonu ir 5 % – kuriems buvo blastinė krizė po nesėkmingo gydymo interferonu. VTSN tyrimų metu dėl </w:t>
      </w:r>
      <w:r w:rsidR="00D62405" w:rsidRPr="00F93FFA">
        <w:rPr>
          <w:color w:val="000000"/>
          <w:sz w:val="22"/>
          <w:szCs w:val="22"/>
        </w:rPr>
        <w:t xml:space="preserve">vaistinio preparato </w:t>
      </w:r>
      <w:r w:rsidRPr="00F93FFA">
        <w:rPr>
          <w:color w:val="000000"/>
          <w:sz w:val="22"/>
          <w:szCs w:val="22"/>
        </w:rPr>
        <w:t xml:space="preserve">sukeltų nepageidaujamų reakcijų </w:t>
      </w:r>
      <w:r w:rsidR="00D62405" w:rsidRPr="00F93FFA">
        <w:rPr>
          <w:color w:val="000000"/>
          <w:sz w:val="22"/>
          <w:szCs w:val="22"/>
        </w:rPr>
        <w:t xml:space="preserve">vaistinį preparatą </w:t>
      </w:r>
      <w:r w:rsidRPr="00F93FFA">
        <w:rPr>
          <w:color w:val="000000"/>
          <w:sz w:val="22"/>
          <w:szCs w:val="22"/>
        </w:rPr>
        <w:t>teko nutraukti 4 % pacientų.</w:t>
      </w:r>
    </w:p>
    <w:p w14:paraId="062DDF13" w14:textId="77777777" w:rsidR="00314B70" w:rsidRPr="00F93FFA" w:rsidRDefault="00314B70" w:rsidP="00DE16D0">
      <w:pPr>
        <w:widowControl w:val="0"/>
        <w:tabs>
          <w:tab w:val="left" w:pos="0"/>
        </w:tabs>
        <w:rPr>
          <w:color w:val="000000"/>
          <w:sz w:val="22"/>
          <w:szCs w:val="22"/>
        </w:rPr>
      </w:pPr>
    </w:p>
    <w:p w14:paraId="28D39A18" w14:textId="229A8687" w:rsidR="00314B70" w:rsidRPr="00F93FFA" w:rsidRDefault="00314B70" w:rsidP="00DE16D0">
      <w:pPr>
        <w:widowControl w:val="0"/>
        <w:tabs>
          <w:tab w:val="left" w:pos="0"/>
        </w:tabs>
        <w:rPr>
          <w:color w:val="000000"/>
          <w:sz w:val="22"/>
          <w:szCs w:val="22"/>
        </w:rPr>
      </w:pPr>
      <w:r w:rsidRPr="00F93FFA">
        <w:rPr>
          <w:color w:val="000000"/>
          <w:sz w:val="22"/>
          <w:szCs w:val="22"/>
        </w:rPr>
        <w:t>Visomis minėtomis ligomis sergantiems pacientams nepageidaujamos reakcijos buvo panašios, išskyrus dvi išimtis. Sergant LML, dažniau stebėta mielosupresija, galinti priklausyti nuo esančios ligos. Klinikinio tyrimo duomenimis, iš jame dalyvavusių pacientų, kuriems buvo nerezekuotinas ir (ar) metastazavęs VTSN, 7 (5 %) pacientams buvo: CTC 3/4</w:t>
      </w:r>
      <w:r w:rsidR="003429B0" w:rsidRPr="00F93FFA">
        <w:rPr>
          <w:color w:val="000000"/>
          <w:sz w:val="22"/>
          <w:szCs w:val="22"/>
        </w:rPr>
        <w:t> </w:t>
      </w:r>
      <w:r w:rsidRPr="00F93FFA">
        <w:rPr>
          <w:color w:val="000000"/>
          <w:sz w:val="22"/>
          <w:szCs w:val="22"/>
        </w:rPr>
        <w:t>laipsnio kraujavimas iš virškinimo trakto (3 pacientams), vidunavikinis kraujavimas (3 pacientams) ar abu požymiai (1 pacientui). Virškinimo trakte gali kraujuoti iš naviko (žr. 4.4</w:t>
      </w:r>
      <w:r w:rsidR="00957B98" w:rsidRPr="00F93FFA">
        <w:rPr>
          <w:color w:val="000000"/>
          <w:sz w:val="22"/>
          <w:szCs w:val="22"/>
        </w:rPr>
        <w:t> </w:t>
      </w:r>
      <w:r w:rsidRPr="00F93FFA">
        <w:rPr>
          <w:color w:val="000000"/>
          <w:sz w:val="22"/>
          <w:szCs w:val="22"/>
        </w:rPr>
        <w:t>skyrių). Retkarčiais kraujavimas iš virškinimo trakto ar naviko gali būti mirtinas. Dažniausi (</w:t>
      </w:r>
      <w:r w:rsidRPr="00F93FFA">
        <w:rPr>
          <w:color w:val="000000"/>
          <w:sz w:val="22"/>
          <w:szCs w:val="22"/>
        </w:rPr>
        <w:sym w:font="Symbol" w:char="F0B3"/>
      </w:r>
      <w:r w:rsidRPr="00F93FFA">
        <w:rPr>
          <w:color w:val="000000"/>
          <w:sz w:val="22"/>
          <w:szCs w:val="22"/>
        </w:rPr>
        <w:t xml:space="preserve"> 10 %) su </w:t>
      </w:r>
      <w:r w:rsidR="00D62405" w:rsidRPr="00F93FFA">
        <w:rPr>
          <w:color w:val="000000"/>
          <w:sz w:val="22"/>
          <w:szCs w:val="22"/>
        </w:rPr>
        <w:t xml:space="preserve">vaistiniu preparatu </w:t>
      </w:r>
      <w:r w:rsidRPr="00F93FFA">
        <w:rPr>
          <w:color w:val="000000"/>
          <w:sz w:val="22"/>
          <w:szCs w:val="22"/>
        </w:rPr>
        <w:t xml:space="preserve">susiję nepageidaujami reiškiniai abiem </w:t>
      </w:r>
      <w:r w:rsidRPr="00F93FFA">
        <w:rPr>
          <w:color w:val="000000"/>
          <w:sz w:val="22"/>
          <w:szCs w:val="22"/>
        </w:rPr>
        <w:lastRenderedPageBreak/>
        <w:t>ligomis sergantiems pacientams buvo nestiprus pykinimas, vėmimas, viduriavimas, pilvo skausmas, nuovargis, mialgija, raumenų mėšlungis ir bėrimas. Visų tyrimų metu dažnai stebėta paviršinių edemų, dažniausiai – apie akis ar kojų. Tačiau retai šios edemos būna sunkios, jas galima koreguoti diuretikais, kitomis pagalbinėmis priemonėmis ar sumažinus Glivec dozę.</w:t>
      </w:r>
    </w:p>
    <w:p w14:paraId="58CB5B6A" w14:textId="77777777" w:rsidR="00314B70" w:rsidRPr="00F93FFA" w:rsidRDefault="00314B70" w:rsidP="00DE16D0">
      <w:pPr>
        <w:pStyle w:val="Text"/>
        <w:widowControl w:val="0"/>
        <w:spacing w:before="0"/>
        <w:jc w:val="left"/>
        <w:rPr>
          <w:color w:val="000000"/>
          <w:sz w:val="22"/>
          <w:szCs w:val="22"/>
          <w:lang w:val="lt-LT"/>
        </w:rPr>
      </w:pPr>
    </w:p>
    <w:p w14:paraId="0C7EE367"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Ph+ ŪLL sergantiems pacientams, vartojusiems imatinibą kartu su didelėmis chemoterapinių </w:t>
      </w:r>
      <w:r w:rsidR="00C42121" w:rsidRPr="00F93FFA">
        <w:rPr>
          <w:color w:val="000000"/>
          <w:sz w:val="22"/>
          <w:szCs w:val="22"/>
          <w:lang w:val="lt-LT"/>
        </w:rPr>
        <w:t xml:space="preserve">vaistinių </w:t>
      </w:r>
      <w:r w:rsidRPr="00F93FFA">
        <w:rPr>
          <w:color w:val="000000"/>
          <w:sz w:val="22"/>
          <w:szCs w:val="22"/>
          <w:lang w:val="lt-LT"/>
        </w:rPr>
        <w:t>preparatų dozėmis, stebėtas laikinas toksinis poveikis kepenims, pasireiškęs transaminazių aktyvumo padidėjimu ir hiperbilirubinemija. Atsižvelgiant į ribotus saugumo duomenis, iki šiol vaikams pasireiškusių nepageidaujamų reiškinių pobūdis atitinka žinomus saugumo savybių duomenis Ph+ ŪLL sergantiems suaugusiesiems. Duomenys apie saugumo savybes Ph+ ŪLL sergantiems vaikams yra labai riboti, vis dėlto naujų nerimą keliančių saugumo duomenų nustatyta nebuvo.</w:t>
      </w:r>
    </w:p>
    <w:p w14:paraId="7AE69D7D" w14:textId="77777777" w:rsidR="00314B70" w:rsidRPr="00F93FFA" w:rsidRDefault="00314B70" w:rsidP="00DE16D0">
      <w:pPr>
        <w:widowControl w:val="0"/>
        <w:tabs>
          <w:tab w:val="left" w:pos="0"/>
        </w:tabs>
        <w:rPr>
          <w:color w:val="000000"/>
          <w:sz w:val="22"/>
          <w:szCs w:val="22"/>
        </w:rPr>
      </w:pPr>
    </w:p>
    <w:p w14:paraId="7C34B1A7" w14:textId="77777777" w:rsidR="00314B70" w:rsidRPr="00F93FFA" w:rsidRDefault="00314B70" w:rsidP="00DE16D0">
      <w:pPr>
        <w:widowControl w:val="0"/>
        <w:tabs>
          <w:tab w:val="left" w:pos="0"/>
        </w:tabs>
        <w:rPr>
          <w:color w:val="000000"/>
          <w:sz w:val="22"/>
          <w:szCs w:val="22"/>
        </w:rPr>
      </w:pPr>
      <w:r w:rsidRPr="00F93FFA">
        <w:rPr>
          <w:color w:val="000000"/>
          <w:sz w:val="22"/>
          <w:szCs w:val="22"/>
        </w:rPr>
        <w:t>Įvairios nepageidaujamos reakcijos, pvz., skystis pleuros ertmėje, ascitas, plaučių edema ar greitai didėjantis kūno svoris su paviršine edema ar be jos, gali būti bendrai vadinamos “skysčių susilaikymu”. Šias reakcijas galima gydyti laikinai nutraukiant Glivec vartojimą ir diuretikais, ir kitomis tinkamomis pagalbos priemonėmis. Tačiau kai kurie šių reiškinių gali būti sunkūs ir grėsti gyvybei. Keli pacientai, kuriems buvo blastinė krizė, mirė. Jų ligos istorija buvo sudėtinė: skystis pleuros ertmėje, stazinis širdies nepakankamumas ir inkstų nepakankamumas. Vaikų klinikinių tyrimų metu ypatingų saugumo reiškinių nenustatyta.</w:t>
      </w:r>
    </w:p>
    <w:p w14:paraId="0C904D94" w14:textId="77777777" w:rsidR="00314B70" w:rsidRPr="00F93FFA" w:rsidRDefault="00314B70" w:rsidP="00DE16D0">
      <w:pPr>
        <w:widowControl w:val="0"/>
        <w:tabs>
          <w:tab w:val="left" w:pos="0"/>
        </w:tabs>
        <w:rPr>
          <w:color w:val="000000"/>
          <w:sz w:val="22"/>
          <w:szCs w:val="22"/>
        </w:rPr>
      </w:pPr>
    </w:p>
    <w:p w14:paraId="16FCEEA0" w14:textId="77777777" w:rsidR="00314B70" w:rsidRPr="00F93FFA" w:rsidRDefault="00314B70" w:rsidP="008B45F8">
      <w:pPr>
        <w:keepNext/>
        <w:widowControl w:val="0"/>
        <w:tabs>
          <w:tab w:val="left" w:pos="0"/>
        </w:tabs>
        <w:rPr>
          <w:b/>
          <w:color w:val="000000"/>
          <w:sz w:val="22"/>
          <w:szCs w:val="22"/>
        </w:rPr>
      </w:pPr>
      <w:r w:rsidRPr="00F93FFA">
        <w:rPr>
          <w:b/>
          <w:color w:val="000000"/>
          <w:sz w:val="22"/>
          <w:szCs w:val="22"/>
        </w:rPr>
        <w:t>Nepageidaujamos reakcijos</w:t>
      </w:r>
    </w:p>
    <w:p w14:paraId="005B2B06" w14:textId="1D27A54A" w:rsidR="00314B70" w:rsidRPr="00F93FFA" w:rsidRDefault="00314B70" w:rsidP="00DE16D0">
      <w:pPr>
        <w:widowControl w:val="0"/>
        <w:tabs>
          <w:tab w:val="left" w:pos="0"/>
        </w:tabs>
        <w:rPr>
          <w:color w:val="000000"/>
          <w:sz w:val="22"/>
          <w:szCs w:val="22"/>
        </w:rPr>
      </w:pPr>
      <w:r w:rsidRPr="00F93FFA">
        <w:rPr>
          <w:color w:val="000000"/>
          <w:sz w:val="22"/>
          <w:szCs w:val="22"/>
        </w:rPr>
        <w:t>Nepageidaujamos reakcijos, pasireiškusios dažniau negu pavieniais atvejais, išvardytos žemiau pagal organų sistemas ir dažnį. Nepageidaujamų reiškinių dažnis nurodomas naudojant tokius dažnių apibūdinimus: labai dažni (</w:t>
      </w:r>
      <w:r w:rsidRPr="00F93FFA">
        <w:rPr>
          <w:sz w:val="22"/>
          <w:szCs w:val="22"/>
        </w:rPr>
        <w:t>≥</w:t>
      </w:r>
      <w:r w:rsidRPr="00F93FFA">
        <w:rPr>
          <w:color w:val="000000"/>
          <w:sz w:val="22"/>
          <w:szCs w:val="22"/>
        </w:rPr>
        <w:t xml:space="preserve">1/10), dažni (nuo </w:t>
      </w:r>
      <w:r w:rsidRPr="00F93FFA">
        <w:rPr>
          <w:sz w:val="22"/>
          <w:szCs w:val="22"/>
        </w:rPr>
        <w:t>≥</w:t>
      </w:r>
      <w:r w:rsidRPr="00F93FFA">
        <w:rPr>
          <w:color w:val="000000"/>
          <w:sz w:val="22"/>
          <w:szCs w:val="22"/>
        </w:rPr>
        <w:t xml:space="preserve">1/100 iki </w:t>
      </w:r>
      <w:r w:rsidRPr="00F93FFA">
        <w:rPr>
          <w:sz w:val="22"/>
          <w:szCs w:val="22"/>
        </w:rPr>
        <w:t>&lt;</w:t>
      </w:r>
      <w:r w:rsidRPr="00F93FFA">
        <w:rPr>
          <w:color w:val="000000"/>
          <w:sz w:val="22"/>
          <w:szCs w:val="22"/>
        </w:rPr>
        <w:t xml:space="preserve">1/10), nedažni (nuo </w:t>
      </w:r>
      <w:r w:rsidRPr="00F93FFA">
        <w:rPr>
          <w:sz w:val="22"/>
          <w:szCs w:val="22"/>
        </w:rPr>
        <w:t>≥</w:t>
      </w:r>
      <w:r w:rsidRPr="00F93FFA">
        <w:rPr>
          <w:color w:val="000000"/>
          <w:sz w:val="22"/>
          <w:szCs w:val="22"/>
        </w:rPr>
        <w:t xml:space="preserve">1/1 000 iki </w:t>
      </w:r>
      <w:r w:rsidRPr="00F93FFA">
        <w:rPr>
          <w:sz w:val="22"/>
          <w:szCs w:val="22"/>
        </w:rPr>
        <w:t>&lt;</w:t>
      </w:r>
      <w:r w:rsidRPr="00F93FFA">
        <w:rPr>
          <w:color w:val="000000"/>
          <w:sz w:val="22"/>
          <w:szCs w:val="22"/>
        </w:rPr>
        <w:t xml:space="preserve">1/100), reti (nuo </w:t>
      </w:r>
      <w:r w:rsidRPr="00F93FFA">
        <w:rPr>
          <w:sz w:val="22"/>
          <w:szCs w:val="22"/>
        </w:rPr>
        <w:t>≥</w:t>
      </w:r>
      <w:r w:rsidRPr="00F93FFA">
        <w:rPr>
          <w:color w:val="000000"/>
          <w:sz w:val="22"/>
          <w:szCs w:val="22"/>
        </w:rPr>
        <w:t xml:space="preserve">1/10 000 iki </w:t>
      </w:r>
      <w:r w:rsidRPr="00F93FFA">
        <w:rPr>
          <w:sz w:val="22"/>
          <w:szCs w:val="22"/>
        </w:rPr>
        <w:t>&lt;1/1 000</w:t>
      </w:r>
      <w:r w:rsidRPr="00F93FFA">
        <w:rPr>
          <w:color w:val="000000"/>
          <w:sz w:val="22"/>
          <w:szCs w:val="22"/>
        </w:rPr>
        <w:t>), labai reti (</w:t>
      </w:r>
      <w:r w:rsidRPr="00F93FFA">
        <w:rPr>
          <w:sz w:val="22"/>
          <w:szCs w:val="22"/>
        </w:rPr>
        <w:t xml:space="preserve">&lt;1/10 000), </w:t>
      </w:r>
      <w:r w:rsidRPr="00F93FFA">
        <w:rPr>
          <w:color w:val="000000"/>
          <w:sz w:val="22"/>
          <w:szCs w:val="22"/>
        </w:rPr>
        <w:t xml:space="preserve">dažnis nežinomas (negali būti </w:t>
      </w:r>
      <w:r w:rsidR="00770DD2" w:rsidRPr="00F93FFA">
        <w:rPr>
          <w:color w:val="000000"/>
          <w:sz w:val="22"/>
          <w:szCs w:val="22"/>
        </w:rPr>
        <w:t xml:space="preserve">apskaičiuotas </w:t>
      </w:r>
      <w:r w:rsidRPr="00F93FFA">
        <w:rPr>
          <w:color w:val="000000"/>
          <w:sz w:val="22"/>
          <w:szCs w:val="22"/>
        </w:rPr>
        <w:t>pagal turimus duomenis).</w:t>
      </w:r>
    </w:p>
    <w:p w14:paraId="448E2FD0" w14:textId="77777777" w:rsidR="00314B70" w:rsidRPr="00F93FFA" w:rsidRDefault="00314B70" w:rsidP="00DE16D0">
      <w:pPr>
        <w:widowControl w:val="0"/>
        <w:tabs>
          <w:tab w:val="left" w:pos="0"/>
        </w:tabs>
        <w:rPr>
          <w:color w:val="000000"/>
          <w:sz w:val="22"/>
          <w:szCs w:val="22"/>
        </w:rPr>
      </w:pPr>
    </w:p>
    <w:p w14:paraId="1DCD25F8" w14:textId="77777777" w:rsidR="00314B70" w:rsidRPr="00F93FFA" w:rsidRDefault="00314B70" w:rsidP="00DE16D0">
      <w:pPr>
        <w:widowControl w:val="0"/>
        <w:tabs>
          <w:tab w:val="left" w:pos="0"/>
        </w:tabs>
        <w:rPr>
          <w:color w:val="000000"/>
          <w:sz w:val="22"/>
          <w:szCs w:val="22"/>
        </w:rPr>
      </w:pPr>
      <w:r w:rsidRPr="00F93FFA">
        <w:rPr>
          <w:color w:val="000000"/>
          <w:sz w:val="22"/>
          <w:szCs w:val="22"/>
        </w:rPr>
        <w:t>Kiekvienoje dažnio grupėje nepageidaujamas poveikis pateikiamas pagal pasireiškimo dažnumą. Dažniausiai pasireiškusieji pateikti pirmiausiai.</w:t>
      </w:r>
    </w:p>
    <w:p w14:paraId="62365011" w14:textId="77777777" w:rsidR="00314B70" w:rsidRPr="00F93FFA" w:rsidRDefault="00314B70" w:rsidP="00DE16D0">
      <w:pPr>
        <w:widowControl w:val="0"/>
        <w:tabs>
          <w:tab w:val="left" w:pos="0"/>
        </w:tabs>
        <w:rPr>
          <w:color w:val="000000"/>
          <w:sz w:val="22"/>
          <w:szCs w:val="22"/>
        </w:rPr>
      </w:pPr>
    </w:p>
    <w:p w14:paraId="58AA8620" w14:textId="77777777" w:rsidR="00314B70" w:rsidRPr="00F93FFA" w:rsidRDefault="00314B70" w:rsidP="00DE16D0">
      <w:pPr>
        <w:widowControl w:val="0"/>
        <w:tabs>
          <w:tab w:val="left" w:pos="0"/>
        </w:tabs>
        <w:rPr>
          <w:color w:val="000000"/>
          <w:sz w:val="22"/>
          <w:szCs w:val="22"/>
        </w:rPr>
      </w:pPr>
      <w:r w:rsidRPr="00F93FFA">
        <w:rPr>
          <w:color w:val="000000"/>
          <w:sz w:val="22"/>
          <w:szCs w:val="22"/>
        </w:rPr>
        <w:t>1 lentelėje išvardintos nepageidaujamos reakcijos ir jų pasireiškimo dažnumas.</w:t>
      </w:r>
    </w:p>
    <w:p w14:paraId="20E84D52" w14:textId="77777777" w:rsidR="00314B70" w:rsidRPr="00F93FFA" w:rsidRDefault="00314B70" w:rsidP="00DE16D0">
      <w:pPr>
        <w:widowControl w:val="0"/>
        <w:tabs>
          <w:tab w:val="left" w:pos="0"/>
        </w:tabs>
        <w:rPr>
          <w:color w:val="000000"/>
        </w:rPr>
      </w:pPr>
    </w:p>
    <w:p w14:paraId="0AEB1883" w14:textId="77777777" w:rsidR="00314B70" w:rsidRPr="00F93FFA" w:rsidRDefault="00314B70" w:rsidP="008B45F8">
      <w:pPr>
        <w:keepNext/>
        <w:widowControl w:val="0"/>
        <w:tabs>
          <w:tab w:val="left" w:pos="0"/>
          <w:tab w:val="left" w:pos="1080"/>
        </w:tabs>
        <w:rPr>
          <w:b/>
          <w:bCs/>
          <w:color w:val="000000"/>
          <w:sz w:val="22"/>
          <w:szCs w:val="22"/>
        </w:rPr>
      </w:pPr>
      <w:r w:rsidRPr="00F93FFA">
        <w:rPr>
          <w:b/>
          <w:bCs/>
          <w:color w:val="000000"/>
          <w:sz w:val="22"/>
          <w:szCs w:val="22"/>
        </w:rPr>
        <w:t>1 lentelė</w:t>
      </w:r>
      <w:r w:rsidRPr="00F93FFA">
        <w:rPr>
          <w:b/>
          <w:bCs/>
          <w:color w:val="000000"/>
          <w:sz w:val="22"/>
          <w:szCs w:val="22"/>
        </w:rPr>
        <w:tab/>
      </w:r>
      <w:r w:rsidR="00DD0A16" w:rsidRPr="00F93FFA">
        <w:rPr>
          <w:b/>
          <w:bCs/>
          <w:color w:val="000000"/>
          <w:sz w:val="22"/>
          <w:szCs w:val="22"/>
        </w:rPr>
        <w:t>N</w:t>
      </w:r>
      <w:r w:rsidRPr="00F93FFA">
        <w:rPr>
          <w:b/>
          <w:bCs/>
          <w:color w:val="000000"/>
          <w:sz w:val="22"/>
          <w:szCs w:val="22"/>
        </w:rPr>
        <w:t>epageidaujam</w:t>
      </w:r>
      <w:r w:rsidR="00DD0A16" w:rsidRPr="00F93FFA">
        <w:rPr>
          <w:b/>
          <w:bCs/>
          <w:color w:val="000000"/>
          <w:sz w:val="22"/>
          <w:szCs w:val="22"/>
        </w:rPr>
        <w:t>ų</w:t>
      </w:r>
      <w:r w:rsidRPr="00F93FFA">
        <w:rPr>
          <w:b/>
          <w:bCs/>
          <w:color w:val="000000"/>
          <w:sz w:val="22"/>
          <w:szCs w:val="22"/>
        </w:rPr>
        <w:t xml:space="preserve"> reakcij</w:t>
      </w:r>
      <w:r w:rsidR="00DD0A16" w:rsidRPr="00F93FFA">
        <w:rPr>
          <w:b/>
          <w:bCs/>
          <w:color w:val="000000"/>
          <w:sz w:val="22"/>
          <w:szCs w:val="22"/>
        </w:rPr>
        <w:t>ų santrauka</w:t>
      </w:r>
    </w:p>
    <w:p w14:paraId="78180545" w14:textId="77777777" w:rsidR="00314B70" w:rsidRPr="00F93FFA" w:rsidRDefault="00314B70" w:rsidP="008B45F8">
      <w:pPr>
        <w:keepNext/>
        <w:widowControl w:val="0"/>
        <w:tabs>
          <w:tab w:val="left" w:pos="0"/>
          <w:tab w:val="left" w:pos="1080"/>
        </w:tabs>
        <w:rPr>
          <w:color w:val="000000"/>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314B70" w:rsidRPr="00F93FFA" w14:paraId="2A7057BE"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4C8F244C" w14:textId="77777777" w:rsidR="00314B70" w:rsidRPr="00F93FFA" w:rsidRDefault="00314B70" w:rsidP="008B45F8">
            <w:pPr>
              <w:keepNext/>
              <w:widowControl w:val="0"/>
              <w:tabs>
                <w:tab w:val="left" w:pos="567"/>
              </w:tabs>
              <w:rPr>
                <w:b/>
                <w:bCs/>
                <w:color w:val="000000"/>
                <w:sz w:val="22"/>
                <w:szCs w:val="22"/>
              </w:rPr>
            </w:pPr>
            <w:r w:rsidRPr="00F93FFA">
              <w:rPr>
                <w:b/>
                <w:bCs/>
                <w:color w:val="000000"/>
                <w:sz w:val="22"/>
                <w:szCs w:val="22"/>
              </w:rPr>
              <w:t>Infekcijos ir infestacijos</w:t>
            </w:r>
          </w:p>
        </w:tc>
      </w:tr>
      <w:tr w:rsidR="00314B70" w:rsidRPr="00F93FFA" w14:paraId="04D3FBE2"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2E2EF96"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70E25FB"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Herpes zoster</w:t>
            </w:r>
            <w:r w:rsidRPr="00F93FFA">
              <w:rPr>
                <w:color w:val="000000"/>
                <w:sz w:val="22"/>
                <w:szCs w:val="22"/>
              </w:rPr>
              <w:t xml:space="preserve">, </w:t>
            </w:r>
            <w:r w:rsidRPr="00F93FFA">
              <w:rPr>
                <w:i/>
                <w:iCs/>
                <w:color w:val="000000"/>
                <w:sz w:val="22"/>
                <w:szCs w:val="22"/>
              </w:rPr>
              <w:t>herpes simplex</w:t>
            </w:r>
            <w:r w:rsidRPr="00F93FFA">
              <w:rPr>
                <w:color w:val="000000"/>
                <w:sz w:val="22"/>
                <w:szCs w:val="22"/>
              </w:rPr>
              <w:t>, nosiaryklės uždegimas, pneumonija</w:t>
            </w:r>
            <w:r w:rsidRPr="00F93FFA">
              <w:rPr>
                <w:color w:val="000000"/>
                <w:sz w:val="22"/>
                <w:szCs w:val="22"/>
                <w:vertAlign w:val="superscript"/>
              </w:rPr>
              <w:t>1</w:t>
            </w:r>
            <w:r w:rsidRPr="00F93FFA">
              <w:rPr>
                <w:color w:val="000000"/>
                <w:sz w:val="22"/>
                <w:szCs w:val="22"/>
              </w:rPr>
              <w:t>, sinusitas, puriojo ląstelyno uždegimas, viršutinių kvėpavimo takų infekcija, gripas, šlapimo takų infekcija, gastroenteritas, sepsis</w:t>
            </w:r>
          </w:p>
        </w:tc>
      </w:tr>
      <w:tr w:rsidR="00314B70" w:rsidRPr="00F93FFA" w14:paraId="6A86797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372BD94"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3DFC49C"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Grybelinė infekcija</w:t>
            </w:r>
          </w:p>
        </w:tc>
      </w:tr>
      <w:tr w:rsidR="00F35959" w:rsidRPr="00F93FFA" w14:paraId="7AE8E3A6"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3EE1675" w14:textId="77777777" w:rsidR="00F35959" w:rsidRPr="00F93FFA" w:rsidRDefault="00F35959" w:rsidP="008B45F8">
            <w:pPr>
              <w:keepNext/>
              <w:widowControl w:val="0"/>
              <w:tabs>
                <w:tab w:val="left" w:pos="567"/>
              </w:tabs>
              <w:rPr>
                <w:i/>
                <w:iCs/>
                <w:color w:val="000000"/>
                <w:sz w:val="22"/>
                <w:szCs w:val="22"/>
              </w:rPr>
            </w:pPr>
            <w:r w:rsidRPr="00F93FFA">
              <w:rPr>
                <w:i/>
                <w:iCs/>
                <w:color w:val="000000"/>
                <w:sz w:val="22"/>
                <w:szCs w:val="22"/>
              </w:rPr>
              <w:t>Dažnis nežinomas:</w:t>
            </w:r>
          </w:p>
        </w:tc>
        <w:tc>
          <w:tcPr>
            <w:tcW w:w="7087" w:type="dxa"/>
            <w:tcBorders>
              <w:top w:val="single" w:sz="4" w:space="0" w:color="auto"/>
              <w:left w:val="single" w:sz="4" w:space="0" w:color="auto"/>
              <w:bottom w:val="single" w:sz="4" w:space="0" w:color="auto"/>
              <w:right w:val="single" w:sz="4" w:space="0" w:color="auto"/>
            </w:tcBorders>
          </w:tcPr>
          <w:p w14:paraId="1FE04CA4" w14:textId="77777777" w:rsidR="00F35959" w:rsidRPr="00F93FFA" w:rsidRDefault="00F35959" w:rsidP="008B45F8">
            <w:pPr>
              <w:keepNext/>
              <w:widowControl w:val="0"/>
              <w:tabs>
                <w:tab w:val="left" w:pos="567"/>
              </w:tabs>
              <w:rPr>
                <w:color w:val="000000"/>
                <w:sz w:val="22"/>
                <w:szCs w:val="22"/>
              </w:rPr>
            </w:pPr>
            <w:r w:rsidRPr="00F93FFA">
              <w:rPr>
                <w:color w:val="000000"/>
                <w:sz w:val="22"/>
                <w:szCs w:val="22"/>
              </w:rPr>
              <w:t>Hepatito B reaktyvacija</w:t>
            </w:r>
            <w:r w:rsidR="00681300" w:rsidRPr="00F93FFA">
              <w:rPr>
                <w:color w:val="000000"/>
                <w:sz w:val="22"/>
                <w:szCs w:val="22"/>
                <w:lang w:val="en-GB"/>
              </w:rPr>
              <w:t>*</w:t>
            </w:r>
          </w:p>
        </w:tc>
      </w:tr>
      <w:tr w:rsidR="00314B70" w:rsidRPr="00F93FFA" w14:paraId="65F57824"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537260B9" w14:textId="77777777" w:rsidR="00314B70" w:rsidRPr="00F93FFA" w:rsidRDefault="00314B70" w:rsidP="008B45F8">
            <w:pPr>
              <w:keepNext/>
              <w:widowControl w:val="0"/>
              <w:tabs>
                <w:tab w:val="left" w:pos="567"/>
              </w:tabs>
              <w:rPr>
                <w:b/>
                <w:color w:val="000000"/>
                <w:sz w:val="22"/>
                <w:szCs w:val="22"/>
              </w:rPr>
            </w:pPr>
            <w:r w:rsidRPr="00F93FFA">
              <w:rPr>
                <w:b/>
                <w:color w:val="000000"/>
                <w:sz w:val="22"/>
                <w:szCs w:val="22"/>
              </w:rPr>
              <w:t>Gerybiniai, piktybiniai ir nepatikslinti navikai (tarp jų cistos ir polipai)</w:t>
            </w:r>
          </w:p>
        </w:tc>
      </w:tr>
      <w:tr w:rsidR="00314B70" w:rsidRPr="00F93FFA" w14:paraId="5903289F"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50EDC3D"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623DDDC"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Auglio irimo sindromas</w:t>
            </w:r>
          </w:p>
        </w:tc>
      </w:tr>
      <w:tr w:rsidR="00DD0A16" w:rsidRPr="00F93FFA" w14:paraId="15040EEC"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93A4496" w14:textId="77777777" w:rsidR="00DD0A16" w:rsidRPr="00F93FFA" w:rsidRDefault="00DD0A16" w:rsidP="00DE16D0">
            <w:pPr>
              <w:widowControl w:val="0"/>
              <w:tabs>
                <w:tab w:val="left" w:pos="567"/>
              </w:tabs>
              <w:rPr>
                <w:i/>
                <w:iCs/>
                <w:color w:val="000000"/>
                <w:sz w:val="22"/>
                <w:szCs w:val="22"/>
              </w:rPr>
            </w:pPr>
            <w:r w:rsidRPr="00F93FFA">
              <w:rPr>
                <w:i/>
                <w:iCs/>
                <w:color w:val="000000"/>
                <w:sz w:val="22"/>
                <w:szCs w:val="22"/>
              </w:rPr>
              <w:t>Dažnis nežinomas:</w:t>
            </w:r>
          </w:p>
        </w:tc>
        <w:tc>
          <w:tcPr>
            <w:tcW w:w="7087" w:type="dxa"/>
            <w:tcBorders>
              <w:top w:val="single" w:sz="4" w:space="0" w:color="auto"/>
              <w:left w:val="single" w:sz="4" w:space="0" w:color="auto"/>
              <w:bottom w:val="single" w:sz="4" w:space="0" w:color="auto"/>
              <w:right w:val="single" w:sz="4" w:space="0" w:color="auto"/>
            </w:tcBorders>
          </w:tcPr>
          <w:p w14:paraId="7B660CC0" w14:textId="77777777" w:rsidR="00DD0A16" w:rsidRPr="00F93FFA" w:rsidRDefault="00DD0A16" w:rsidP="00DE16D0">
            <w:pPr>
              <w:widowControl w:val="0"/>
              <w:tabs>
                <w:tab w:val="left" w:pos="567"/>
              </w:tabs>
              <w:rPr>
                <w:color w:val="000000"/>
                <w:sz w:val="22"/>
                <w:szCs w:val="22"/>
              </w:rPr>
            </w:pPr>
            <w:r w:rsidRPr="00F93FFA">
              <w:rPr>
                <w:color w:val="000000"/>
                <w:sz w:val="22"/>
                <w:szCs w:val="22"/>
              </w:rPr>
              <w:t>Naviko kraujosruva/naviko nekrozė</w:t>
            </w:r>
            <w:r w:rsidRPr="00F93FFA">
              <w:rPr>
                <w:color w:val="000000"/>
                <w:sz w:val="22"/>
                <w:szCs w:val="22"/>
                <w:lang w:val="en-GB"/>
              </w:rPr>
              <w:t>*</w:t>
            </w:r>
          </w:p>
        </w:tc>
      </w:tr>
      <w:tr w:rsidR="00DD0A16" w:rsidRPr="00F93FFA" w14:paraId="12562919" w14:textId="77777777" w:rsidTr="008B45F8">
        <w:trPr>
          <w:cantSplit/>
        </w:trPr>
        <w:tc>
          <w:tcPr>
            <w:tcW w:w="9322" w:type="dxa"/>
            <w:gridSpan w:val="2"/>
          </w:tcPr>
          <w:p w14:paraId="57BD403C" w14:textId="77777777" w:rsidR="00DD0A16" w:rsidRPr="00F93FFA" w:rsidRDefault="00DD0A16" w:rsidP="008B45F8">
            <w:pPr>
              <w:keepNext/>
              <w:widowControl w:val="0"/>
              <w:rPr>
                <w:b/>
                <w:color w:val="000000"/>
                <w:sz w:val="22"/>
                <w:szCs w:val="22"/>
              </w:rPr>
            </w:pPr>
            <w:r w:rsidRPr="00F93FFA">
              <w:rPr>
                <w:b/>
                <w:color w:val="000000"/>
                <w:sz w:val="22"/>
                <w:szCs w:val="22"/>
                <w:lang w:val="en-US"/>
              </w:rPr>
              <w:t>Imuninės sistemos sutrikimai</w:t>
            </w:r>
          </w:p>
        </w:tc>
      </w:tr>
      <w:tr w:rsidR="00DD0A16" w:rsidRPr="00F93FFA" w14:paraId="14210908" w14:textId="77777777" w:rsidTr="008B45F8">
        <w:trPr>
          <w:cantSplit/>
        </w:trPr>
        <w:tc>
          <w:tcPr>
            <w:tcW w:w="2235" w:type="dxa"/>
          </w:tcPr>
          <w:p w14:paraId="0E735BC2" w14:textId="77777777" w:rsidR="00DD0A16" w:rsidRPr="00F93FFA" w:rsidRDefault="00DD0A16" w:rsidP="00DE16D0">
            <w:pPr>
              <w:widowControl w:val="0"/>
              <w:rPr>
                <w:i/>
                <w:color w:val="000000"/>
                <w:sz w:val="22"/>
                <w:szCs w:val="22"/>
              </w:rPr>
            </w:pPr>
            <w:r w:rsidRPr="00F93FFA">
              <w:rPr>
                <w:i/>
                <w:iCs/>
                <w:color w:val="000000"/>
                <w:sz w:val="22"/>
                <w:szCs w:val="22"/>
              </w:rPr>
              <w:t>Dažnis nežinomas:</w:t>
            </w:r>
          </w:p>
        </w:tc>
        <w:tc>
          <w:tcPr>
            <w:tcW w:w="7087" w:type="dxa"/>
          </w:tcPr>
          <w:p w14:paraId="7A93D360" w14:textId="77777777" w:rsidR="00DD0A16" w:rsidRPr="00F93FFA" w:rsidRDefault="00DD0A16" w:rsidP="00DE16D0">
            <w:pPr>
              <w:widowControl w:val="0"/>
              <w:rPr>
                <w:color w:val="000000"/>
                <w:sz w:val="22"/>
                <w:szCs w:val="22"/>
              </w:rPr>
            </w:pPr>
            <w:r w:rsidRPr="00F93FFA">
              <w:rPr>
                <w:color w:val="000000"/>
                <w:sz w:val="22"/>
                <w:szCs w:val="22"/>
              </w:rPr>
              <w:t>Anafilaksinis šokas*</w:t>
            </w:r>
          </w:p>
        </w:tc>
      </w:tr>
      <w:tr w:rsidR="00314B70" w:rsidRPr="00F93FFA" w14:paraId="694B4FFA"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526434D2"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Kraujo ir limfinės sistemos sutrikimai</w:t>
            </w:r>
          </w:p>
        </w:tc>
      </w:tr>
      <w:tr w:rsidR="00314B70" w:rsidRPr="00F93FFA" w14:paraId="41FA283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0948150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2D5C1E10"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Neutropenija, trombocitopenija, anemija</w:t>
            </w:r>
          </w:p>
        </w:tc>
      </w:tr>
      <w:tr w:rsidR="00314B70" w:rsidRPr="00F93FFA" w14:paraId="5A4216C1"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4E504F2"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50FB7847"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Pancitopenija, febrili neutropenija</w:t>
            </w:r>
          </w:p>
        </w:tc>
      </w:tr>
      <w:tr w:rsidR="00314B70" w:rsidRPr="00F93FFA" w14:paraId="585CEACE"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46FD796"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1AE576E"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Trombocitopenija, limfocitopenija, kaulų čiulpų slopinimas, eozinofilija, limfodenopatija</w:t>
            </w:r>
          </w:p>
        </w:tc>
      </w:tr>
      <w:tr w:rsidR="00314B70" w:rsidRPr="00F93FFA" w14:paraId="393C0775"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7FA8C47D" w14:textId="77777777" w:rsidR="00314B70" w:rsidRPr="00F93FFA" w:rsidRDefault="00314B7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0886DF95" w14:textId="77777777" w:rsidR="00314B70" w:rsidRPr="00F93FFA" w:rsidRDefault="00314B70" w:rsidP="00DE16D0">
            <w:pPr>
              <w:widowControl w:val="0"/>
              <w:tabs>
                <w:tab w:val="left" w:pos="567"/>
              </w:tabs>
              <w:rPr>
                <w:color w:val="000000"/>
                <w:sz w:val="22"/>
                <w:szCs w:val="22"/>
              </w:rPr>
            </w:pPr>
            <w:r w:rsidRPr="00F93FFA">
              <w:rPr>
                <w:color w:val="000000"/>
                <w:sz w:val="22"/>
                <w:szCs w:val="22"/>
              </w:rPr>
              <w:t>Hemolizinė anemija</w:t>
            </w:r>
            <w:r w:rsidR="002F02E0" w:rsidRPr="00F93FFA">
              <w:rPr>
                <w:color w:val="000000"/>
                <w:sz w:val="22"/>
                <w:szCs w:val="22"/>
              </w:rPr>
              <w:t>, trombinė mikroangiopatija</w:t>
            </w:r>
          </w:p>
        </w:tc>
      </w:tr>
      <w:tr w:rsidR="00314B70" w:rsidRPr="00F93FFA" w14:paraId="72E4F02A"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4EF6F369"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lastRenderedPageBreak/>
              <w:t>Metabolizmo ir mitybos sutrikimai</w:t>
            </w:r>
          </w:p>
        </w:tc>
      </w:tr>
      <w:tr w:rsidR="00314B70" w:rsidRPr="00F93FFA" w14:paraId="2154602C"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3DE601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1519FEE5"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Anoreksija</w:t>
            </w:r>
          </w:p>
        </w:tc>
      </w:tr>
      <w:tr w:rsidR="00314B70" w:rsidRPr="00F93FFA" w14:paraId="18A7332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CFA4EAD"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9A922C1"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Hipokalemija, padidėjęs apetitas, hipofosfatemija, sumažėjęs apetitas, dehidracija, podagra, hiperurikemija, hiperkalcemija, hiperglikemija, hiponatremija</w:t>
            </w:r>
          </w:p>
        </w:tc>
      </w:tr>
      <w:tr w:rsidR="00314B70" w:rsidRPr="00F93FFA" w14:paraId="74D3AF45"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1618434" w14:textId="77777777" w:rsidR="00314B70" w:rsidRPr="00F93FFA" w:rsidRDefault="00314B7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519AB75" w14:textId="77777777" w:rsidR="00314B70" w:rsidRPr="00F93FFA" w:rsidRDefault="00314B70" w:rsidP="00DE16D0">
            <w:pPr>
              <w:widowControl w:val="0"/>
              <w:tabs>
                <w:tab w:val="left" w:pos="567"/>
              </w:tabs>
              <w:rPr>
                <w:color w:val="000000"/>
                <w:sz w:val="22"/>
                <w:szCs w:val="22"/>
              </w:rPr>
            </w:pPr>
            <w:r w:rsidRPr="00F93FFA">
              <w:rPr>
                <w:color w:val="000000"/>
                <w:sz w:val="22"/>
                <w:szCs w:val="22"/>
              </w:rPr>
              <w:t>Hiperkalemija, hipomagnemija</w:t>
            </w:r>
          </w:p>
        </w:tc>
      </w:tr>
      <w:tr w:rsidR="00314B70" w:rsidRPr="00F93FFA" w14:paraId="7DA6A204"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77F7EF5C"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Psichikos sutrikimai</w:t>
            </w:r>
          </w:p>
        </w:tc>
      </w:tr>
      <w:tr w:rsidR="00314B70" w:rsidRPr="00F93FFA" w14:paraId="686B2329"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7CA26E8F"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7E784E92"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Nemiga</w:t>
            </w:r>
          </w:p>
        </w:tc>
      </w:tr>
      <w:tr w:rsidR="00314B70" w:rsidRPr="00F93FFA" w14:paraId="0DEA338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7130B9ED"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7559B7B9"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Depresija, sumažėjęs lytinis potraukis, nerimas</w:t>
            </w:r>
          </w:p>
        </w:tc>
      </w:tr>
      <w:tr w:rsidR="00314B70" w:rsidRPr="00F93FFA" w14:paraId="79EFF141"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CC6F371" w14:textId="77777777" w:rsidR="00314B70" w:rsidRPr="00F93FFA" w:rsidRDefault="00314B7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27762180" w14:textId="77777777" w:rsidR="00314B70" w:rsidRPr="00F93FFA" w:rsidRDefault="00314B70" w:rsidP="00DE16D0">
            <w:pPr>
              <w:widowControl w:val="0"/>
              <w:tabs>
                <w:tab w:val="left" w:pos="567"/>
              </w:tabs>
              <w:rPr>
                <w:color w:val="000000"/>
                <w:sz w:val="22"/>
                <w:szCs w:val="22"/>
              </w:rPr>
            </w:pPr>
            <w:r w:rsidRPr="00F93FFA">
              <w:rPr>
                <w:color w:val="000000"/>
                <w:sz w:val="22"/>
                <w:szCs w:val="22"/>
              </w:rPr>
              <w:t>Sumišimo būklė</w:t>
            </w:r>
          </w:p>
        </w:tc>
      </w:tr>
      <w:tr w:rsidR="00314B70" w:rsidRPr="00F93FFA" w14:paraId="046C1EA3"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05074EF1"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Nervų sistemos sutrikimai</w:t>
            </w:r>
          </w:p>
        </w:tc>
      </w:tr>
      <w:tr w:rsidR="00314B70" w:rsidRPr="00F93FFA" w14:paraId="78296006"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2E017B3"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29FA089E"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Galvos skausmas</w:t>
            </w:r>
            <w:r w:rsidRPr="00F93FFA">
              <w:rPr>
                <w:color w:val="000000"/>
                <w:sz w:val="22"/>
                <w:szCs w:val="22"/>
                <w:vertAlign w:val="superscript"/>
              </w:rPr>
              <w:t>2</w:t>
            </w:r>
          </w:p>
        </w:tc>
      </w:tr>
      <w:tr w:rsidR="00314B70" w:rsidRPr="00F93FFA" w14:paraId="7BAA567F"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655C315"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0329F50B"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Galvos svaigimas, parestezija, sutrikęs skonio jutimas, hipoestezija</w:t>
            </w:r>
          </w:p>
        </w:tc>
      </w:tr>
      <w:tr w:rsidR="00314B70" w:rsidRPr="00F93FFA" w14:paraId="6990658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0C54C7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3C1415AD"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Migrena, mieguistumas, sinkopė, periferinė neuropatija, atminties sutrikimai, išialgija, neramių kojų sindromas, tremoras, smegenų kraujosruvos</w:t>
            </w:r>
          </w:p>
        </w:tc>
      </w:tr>
      <w:tr w:rsidR="00314B70" w:rsidRPr="00F93FFA" w14:paraId="0D6BAC29"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393405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2318E73C"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Padidėjęs intrakranijinis spaudimas, traukuliai, regos nervo uždegimas</w:t>
            </w:r>
          </w:p>
        </w:tc>
      </w:tr>
      <w:tr w:rsidR="00DD0A16" w:rsidRPr="00F93FFA" w14:paraId="7C426406" w14:textId="77777777" w:rsidTr="008B45F8">
        <w:trPr>
          <w:cantSplit/>
        </w:trPr>
        <w:tc>
          <w:tcPr>
            <w:tcW w:w="2235" w:type="dxa"/>
          </w:tcPr>
          <w:p w14:paraId="76B85FAE" w14:textId="77777777" w:rsidR="00DD0A16" w:rsidRPr="00F93FFA" w:rsidRDefault="00DD0A16" w:rsidP="00DE16D0">
            <w:pPr>
              <w:widowControl w:val="0"/>
              <w:rPr>
                <w:i/>
                <w:color w:val="000000"/>
                <w:sz w:val="22"/>
                <w:szCs w:val="22"/>
              </w:rPr>
            </w:pPr>
            <w:r w:rsidRPr="00F93FFA">
              <w:rPr>
                <w:i/>
                <w:iCs/>
                <w:color w:val="000000"/>
                <w:sz w:val="22"/>
                <w:szCs w:val="22"/>
              </w:rPr>
              <w:t>Dažnis nežinomas:</w:t>
            </w:r>
          </w:p>
        </w:tc>
        <w:tc>
          <w:tcPr>
            <w:tcW w:w="7087" w:type="dxa"/>
          </w:tcPr>
          <w:p w14:paraId="1A3B9EA8" w14:textId="77777777" w:rsidR="00DD0A16" w:rsidRPr="00F93FFA" w:rsidRDefault="00DD0A16" w:rsidP="00DE16D0">
            <w:pPr>
              <w:widowControl w:val="0"/>
              <w:rPr>
                <w:color w:val="000000"/>
                <w:sz w:val="22"/>
                <w:szCs w:val="22"/>
              </w:rPr>
            </w:pPr>
            <w:r w:rsidRPr="00F93FFA">
              <w:rPr>
                <w:color w:val="000000"/>
                <w:sz w:val="22"/>
                <w:szCs w:val="22"/>
              </w:rPr>
              <w:t>Smegenų edema*</w:t>
            </w:r>
          </w:p>
        </w:tc>
      </w:tr>
      <w:tr w:rsidR="00314B70" w:rsidRPr="00F93FFA" w14:paraId="3148DBDE"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1A0447F2"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Akių sutrikimai</w:t>
            </w:r>
          </w:p>
        </w:tc>
      </w:tr>
      <w:tr w:rsidR="00314B70" w:rsidRPr="00F93FFA" w14:paraId="6E3DAC7E"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3279C07"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3199A437"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Akių vokų edema, padidėjęs ašarojimas, junginės kraujosruvos, konjunktyvitas, akių sausmė, neryškus matymas</w:t>
            </w:r>
          </w:p>
        </w:tc>
      </w:tr>
      <w:tr w:rsidR="00314B70" w:rsidRPr="00F93FFA" w14:paraId="3F655866"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F0F47C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184237DA"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Akių dirginimas, akių skausmas, akiduobės edema, odenos kraujosruvos, tinklainės kraujosruvos, blefaritas, geltonosios dėmės edema</w:t>
            </w:r>
          </w:p>
        </w:tc>
      </w:tr>
      <w:tr w:rsidR="00314B70" w:rsidRPr="00F93FFA" w14:paraId="01E90884"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DFD0F5B"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6042E8C7"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Katarakta, glaukoma, regos nervo disko edema</w:t>
            </w:r>
          </w:p>
        </w:tc>
      </w:tr>
      <w:tr w:rsidR="00DD0A16" w:rsidRPr="00F93FFA" w14:paraId="2F8FDE6C" w14:textId="77777777" w:rsidTr="008B45F8">
        <w:trPr>
          <w:cantSplit/>
        </w:trPr>
        <w:tc>
          <w:tcPr>
            <w:tcW w:w="2235" w:type="dxa"/>
          </w:tcPr>
          <w:p w14:paraId="63F86AD8" w14:textId="77777777" w:rsidR="00DD0A16" w:rsidRPr="00F93FFA" w:rsidRDefault="00DD0A16" w:rsidP="00DE16D0">
            <w:pPr>
              <w:widowControl w:val="0"/>
              <w:rPr>
                <w:i/>
                <w:color w:val="000000"/>
                <w:sz w:val="22"/>
                <w:szCs w:val="22"/>
              </w:rPr>
            </w:pPr>
            <w:r w:rsidRPr="00F93FFA">
              <w:rPr>
                <w:i/>
                <w:iCs/>
                <w:color w:val="000000"/>
                <w:sz w:val="22"/>
                <w:szCs w:val="22"/>
              </w:rPr>
              <w:t>Dažnis nežinomas:</w:t>
            </w:r>
          </w:p>
        </w:tc>
        <w:tc>
          <w:tcPr>
            <w:tcW w:w="7087" w:type="dxa"/>
          </w:tcPr>
          <w:p w14:paraId="4C27D7D5" w14:textId="77777777" w:rsidR="00DD0A16" w:rsidRPr="00F93FFA" w:rsidRDefault="00DD0A16" w:rsidP="00DE16D0">
            <w:pPr>
              <w:widowControl w:val="0"/>
              <w:rPr>
                <w:color w:val="000000"/>
                <w:sz w:val="22"/>
                <w:szCs w:val="22"/>
              </w:rPr>
            </w:pPr>
            <w:r w:rsidRPr="00F93FFA">
              <w:rPr>
                <w:color w:val="000000"/>
                <w:sz w:val="22"/>
                <w:szCs w:val="22"/>
              </w:rPr>
              <w:t>Stiklakūnio kraujosruva*</w:t>
            </w:r>
          </w:p>
        </w:tc>
      </w:tr>
      <w:tr w:rsidR="00314B70" w:rsidRPr="00F93FFA" w14:paraId="71830377"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3D54991F"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Ausų ir labirintų sutrikimai</w:t>
            </w:r>
          </w:p>
        </w:tc>
      </w:tr>
      <w:tr w:rsidR="00314B70" w:rsidRPr="00F93FFA" w14:paraId="62B16318"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A28D7D4" w14:textId="77777777" w:rsidR="00314B70" w:rsidRPr="00F93FFA" w:rsidRDefault="00314B70" w:rsidP="00DE16D0">
            <w:pPr>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1BECB390" w14:textId="77777777" w:rsidR="00314B70" w:rsidRPr="00F93FFA" w:rsidRDefault="00314B70" w:rsidP="00DE16D0">
            <w:pPr>
              <w:widowControl w:val="0"/>
              <w:tabs>
                <w:tab w:val="left" w:pos="567"/>
              </w:tabs>
              <w:rPr>
                <w:color w:val="000000"/>
                <w:sz w:val="22"/>
                <w:szCs w:val="22"/>
              </w:rPr>
            </w:pPr>
            <w:r w:rsidRPr="00F93FFA">
              <w:rPr>
                <w:color w:val="000000"/>
                <w:sz w:val="22"/>
                <w:szCs w:val="22"/>
              </w:rPr>
              <w:t>Svaigulys, ūžimas ausyse, apkurtimas</w:t>
            </w:r>
          </w:p>
        </w:tc>
      </w:tr>
      <w:tr w:rsidR="00314B70" w:rsidRPr="00F93FFA" w14:paraId="3176A3D9"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4A336A02"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Širdies sutrikimai</w:t>
            </w:r>
          </w:p>
        </w:tc>
      </w:tr>
      <w:tr w:rsidR="00314B70" w:rsidRPr="00F93FFA" w14:paraId="6CEB11A8"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F787C7F"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3C4CE49C"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Stiprus ir greitas širdies plakimas, tachikardija, stazinis širdies nepakankamumas</w:t>
            </w:r>
            <w:r w:rsidRPr="00F93FFA">
              <w:rPr>
                <w:color w:val="000000"/>
                <w:sz w:val="22"/>
                <w:szCs w:val="22"/>
                <w:vertAlign w:val="superscript"/>
              </w:rPr>
              <w:t>3</w:t>
            </w:r>
            <w:r w:rsidRPr="00F93FFA">
              <w:rPr>
                <w:color w:val="000000"/>
                <w:sz w:val="22"/>
                <w:szCs w:val="22"/>
              </w:rPr>
              <w:t>, plaučių edema</w:t>
            </w:r>
          </w:p>
        </w:tc>
      </w:tr>
      <w:tr w:rsidR="00314B70" w:rsidRPr="00F93FFA" w14:paraId="3E9904AD"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11143D5"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5E640823"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Aritmija, prieširdžių virpėjimas, širdies sustojimas, miokardo infarktas, krūtinės angina, skystis perikarde</w:t>
            </w:r>
          </w:p>
        </w:tc>
      </w:tr>
      <w:tr w:rsidR="00BC035E" w:rsidRPr="00F93FFA" w14:paraId="6A086986" w14:textId="77777777" w:rsidTr="008B45F8">
        <w:trPr>
          <w:cantSplit/>
        </w:trPr>
        <w:tc>
          <w:tcPr>
            <w:tcW w:w="2235" w:type="dxa"/>
          </w:tcPr>
          <w:p w14:paraId="0F553226"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5271925A" w14:textId="77777777" w:rsidR="00BC035E" w:rsidRPr="00F93FFA" w:rsidRDefault="00BC035E" w:rsidP="00DE16D0">
            <w:pPr>
              <w:widowControl w:val="0"/>
              <w:rPr>
                <w:color w:val="000000"/>
                <w:sz w:val="22"/>
                <w:szCs w:val="22"/>
                <w:lang w:val="es-ES"/>
              </w:rPr>
            </w:pPr>
            <w:r w:rsidRPr="00F93FFA">
              <w:rPr>
                <w:color w:val="000000"/>
                <w:sz w:val="22"/>
                <w:szCs w:val="22"/>
                <w:lang w:val="es-ES"/>
              </w:rPr>
              <w:t>Perikarditas</w:t>
            </w:r>
            <w:r w:rsidRPr="00F93FFA">
              <w:rPr>
                <w:color w:val="000000"/>
                <w:sz w:val="22"/>
                <w:szCs w:val="22"/>
              </w:rPr>
              <w:t xml:space="preserve">*, </w:t>
            </w:r>
            <w:r w:rsidRPr="00F93FFA">
              <w:rPr>
                <w:color w:val="000000"/>
                <w:sz w:val="22"/>
                <w:szCs w:val="22"/>
                <w:lang w:val="es-ES"/>
              </w:rPr>
              <w:t>širdies tamponada</w:t>
            </w:r>
            <w:r w:rsidRPr="00F93FFA">
              <w:rPr>
                <w:color w:val="000000"/>
                <w:sz w:val="22"/>
                <w:szCs w:val="22"/>
              </w:rPr>
              <w:t>*</w:t>
            </w:r>
          </w:p>
        </w:tc>
      </w:tr>
      <w:tr w:rsidR="00314B70" w:rsidRPr="00F93FFA" w14:paraId="29E62052"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5FC529EC"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Kraujagyslių sutrikimai</w:t>
            </w:r>
            <w:r w:rsidRPr="00F93FFA">
              <w:rPr>
                <w:b/>
                <w:color w:val="000000"/>
                <w:sz w:val="22"/>
                <w:szCs w:val="22"/>
                <w:vertAlign w:val="superscript"/>
              </w:rPr>
              <w:t>4</w:t>
            </w:r>
          </w:p>
        </w:tc>
      </w:tr>
      <w:tr w:rsidR="00314B70" w:rsidRPr="00F93FFA" w14:paraId="040F4CB0"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7C72BE9B"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590731D3"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Raudonis, hemoragija</w:t>
            </w:r>
          </w:p>
        </w:tc>
      </w:tr>
      <w:tr w:rsidR="00314B70" w:rsidRPr="00F93FFA" w14:paraId="443C1A87"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9FDB807"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7589D84E"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Hipertenzija, hematoma, subdurinė hematoma, periferinis šalimas, hipotenzija, Reino fenomenas</w:t>
            </w:r>
          </w:p>
        </w:tc>
      </w:tr>
      <w:tr w:rsidR="00BC035E" w:rsidRPr="00F93FFA" w:rsidDel="00655175" w14:paraId="24054061" w14:textId="77777777" w:rsidTr="008B45F8">
        <w:trPr>
          <w:cantSplit/>
        </w:trPr>
        <w:tc>
          <w:tcPr>
            <w:tcW w:w="2235" w:type="dxa"/>
          </w:tcPr>
          <w:p w14:paraId="50D27FFD"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3684E9AC" w14:textId="77777777" w:rsidR="00BC035E" w:rsidRPr="00F93FFA" w:rsidRDefault="00BC035E" w:rsidP="00DE16D0">
            <w:pPr>
              <w:widowControl w:val="0"/>
              <w:rPr>
                <w:color w:val="000000"/>
                <w:sz w:val="22"/>
                <w:szCs w:val="22"/>
              </w:rPr>
            </w:pPr>
            <w:r w:rsidRPr="00F93FFA">
              <w:rPr>
                <w:color w:val="000000"/>
                <w:sz w:val="22"/>
                <w:szCs w:val="22"/>
                <w:lang w:val="en-US"/>
              </w:rPr>
              <w:t>Trombozė</w:t>
            </w:r>
            <w:r w:rsidRPr="00F93FFA">
              <w:rPr>
                <w:color w:val="000000"/>
                <w:sz w:val="22"/>
                <w:szCs w:val="22"/>
              </w:rPr>
              <w:t>/</w:t>
            </w:r>
            <w:r w:rsidRPr="00F93FFA">
              <w:rPr>
                <w:color w:val="000000"/>
                <w:sz w:val="22"/>
                <w:szCs w:val="22"/>
                <w:lang w:val="en-US"/>
              </w:rPr>
              <w:t>embolija</w:t>
            </w:r>
            <w:r w:rsidRPr="00F93FFA">
              <w:rPr>
                <w:color w:val="000000"/>
                <w:sz w:val="22"/>
                <w:szCs w:val="22"/>
              </w:rPr>
              <w:t>*</w:t>
            </w:r>
          </w:p>
        </w:tc>
      </w:tr>
      <w:tr w:rsidR="00314B70" w:rsidRPr="00F93FFA" w14:paraId="6BEBF541"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78839B5B"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Kvėpavimo sistemos, krūtinės ląstos ir tarpuplaučio sutrikimai</w:t>
            </w:r>
          </w:p>
        </w:tc>
      </w:tr>
      <w:tr w:rsidR="00314B70" w:rsidRPr="00F93FFA" w14:paraId="0A7C20C9"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62CC0EA"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0DF1A60E"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Dusulys, kraujavimas iš nosies, kosulys</w:t>
            </w:r>
          </w:p>
        </w:tc>
      </w:tr>
      <w:tr w:rsidR="00314B70" w:rsidRPr="00F93FFA" w14:paraId="35C8413E"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7026D40"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13260CDD"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Skystis pleuros ertmėje</w:t>
            </w:r>
            <w:r w:rsidRPr="00F93FFA">
              <w:rPr>
                <w:color w:val="000000"/>
                <w:sz w:val="22"/>
                <w:szCs w:val="22"/>
                <w:vertAlign w:val="superscript"/>
              </w:rPr>
              <w:t>5</w:t>
            </w:r>
            <w:r w:rsidRPr="00F93FFA">
              <w:rPr>
                <w:color w:val="000000"/>
                <w:sz w:val="22"/>
                <w:szCs w:val="22"/>
              </w:rPr>
              <w:t>, ryklės ir gerklų skausmas, faringitas</w:t>
            </w:r>
          </w:p>
        </w:tc>
      </w:tr>
      <w:tr w:rsidR="00314B70" w:rsidRPr="00F93FFA" w14:paraId="7C10ED20"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E7BC1E3"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4CC9FD8D"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Pleuritinis skausmas, plaučių fibrozė, plaučių hipertenzija, kraujavimas iš plaučių</w:t>
            </w:r>
          </w:p>
        </w:tc>
      </w:tr>
      <w:tr w:rsidR="00BC035E" w:rsidRPr="00F93FFA" w14:paraId="3CF2F852" w14:textId="77777777" w:rsidTr="008B45F8">
        <w:trPr>
          <w:cantSplit/>
        </w:trPr>
        <w:tc>
          <w:tcPr>
            <w:tcW w:w="2235" w:type="dxa"/>
          </w:tcPr>
          <w:p w14:paraId="3065DBD6"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4EAF7A48" w14:textId="77777777" w:rsidR="00BC035E" w:rsidRPr="00F93FFA" w:rsidRDefault="00BC035E" w:rsidP="00DE16D0">
            <w:pPr>
              <w:widowControl w:val="0"/>
              <w:rPr>
                <w:color w:val="000000"/>
                <w:sz w:val="22"/>
                <w:szCs w:val="22"/>
              </w:rPr>
            </w:pPr>
            <w:r w:rsidRPr="00F93FFA">
              <w:rPr>
                <w:color w:val="000000"/>
                <w:sz w:val="22"/>
                <w:szCs w:val="22"/>
              </w:rPr>
              <w:t>Ūminis kvėpavimo nepakankamumas</w:t>
            </w:r>
            <w:r w:rsidRPr="00F93FFA">
              <w:rPr>
                <w:color w:val="000000"/>
                <w:sz w:val="22"/>
                <w:szCs w:val="22"/>
                <w:vertAlign w:val="superscript"/>
              </w:rPr>
              <w:t>1</w:t>
            </w:r>
            <w:r w:rsidR="00F056D8" w:rsidRPr="00F93FFA">
              <w:rPr>
                <w:color w:val="000000"/>
                <w:sz w:val="22"/>
                <w:szCs w:val="22"/>
                <w:vertAlign w:val="superscript"/>
              </w:rPr>
              <w:t>1</w:t>
            </w:r>
            <w:r w:rsidRPr="00F93FFA">
              <w:rPr>
                <w:color w:val="000000"/>
                <w:sz w:val="22"/>
                <w:szCs w:val="22"/>
              </w:rPr>
              <w:t>*, intersticinė plaučių liga*</w:t>
            </w:r>
          </w:p>
        </w:tc>
      </w:tr>
      <w:tr w:rsidR="00314B70" w:rsidRPr="00F93FFA" w14:paraId="6EFCC7B2"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502D254C"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Virškinimo trakto sutrikimai</w:t>
            </w:r>
          </w:p>
        </w:tc>
      </w:tr>
      <w:tr w:rsidR="00314B70" w:rsidRPr="00F93FFA" w14:paraId="6DA7F01F"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7285F7DD"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1882D166"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Pykinimas, viduriavimas, vėmimas, dispepsija, pilvo skausmas</w:t>
            </w:r>
            <w:r w:rsidRPr="00F93FFA">
              <w:rPr>
                <w:color w:val="000000"/>
                <w:sz w:val="22"/>
                <w:szCs w:val="22"/>
                <w:vertAlign w:val="superscript"/>
              </w:rPr>
              <w:t>6</w:t>
            </w:r>
          </w:p>
        </w:tc>
      </w:tr>
      <w:tr w:rsidR="00314B70" w:rsidRPr="00F93FFA" w14:paraId="26405CD8"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EB3CCB2"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32C0B72F"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Dujų susikaupimas žarnyne, pilvo pūtimas, gastroezofaginis refliuksas, vidurių užkietėjimas, burnos džiūvimas, gastritas</w:t>
            </w:r>
          </w:p>
        </w:tc>
      </w:tr>
      <w:tr w:rsidR="00314B70" w:rsidRPr="00F93FFA" w14:paraId="5F0312DB"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0E368AF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5D7EA815"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Stomatitas, burnos išopėjimas, kraujavimas iš virškinimo trakto</w:t>
            </w:r>
            <w:r w:rsidRPr="00F93FFA">
              <w:rPr>
                <w:color w:val="000000"/>
                <w:sz w:val="22"/>
                <w:szCs w:val="22"/>
                <w:vertAlign w:val="superscript"/>
              </w:rPr>
              <w:t>7</w:t>
            </w:r>
            <w:r w:rsidRPr="00F93FFA">
              <w:rPr>
                <w:color w:val="000000"/>
                <w:sz w:val="22"/>
                <w:szCs w:val="22"/>
              </w:rPr>
              <w:t>, raugulys, melena, ezofagitas, ascitas, skrandžio opa, hematemezė, lūpos uždegimas, disfagija, pankreatitas</w:t>
            </w:r>
          </w:p>
        </w:tc>
      </w:tr>
      <w:tr w:rsidR="00314B70" w:rsidRPr="00F93FFA" w14:paraId="4C49BFC4"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3F7449C"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100FE17A"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Kolitas, žarnų nepraeinamumas, uždegiminė žarnų liga</w:t>
            </w:r>
          </w:p>
        </w:tc>
      </w:tr>
      <w:tr w:rsidR="00BC035E" w:rsidRPr="00F93FFA" w14:paraId="7EDA5A70" w14:textId="77777777" w:rsidTr="008B45F8">
        <w:trPr>
          <w:cantSplit/>
        </w:trPr>
        <w:tc>
          <w:tcPr>
            <w:tcW w:w="2235" w:type="dxa"/>
          </w:tcPr>
          <w:p w14:paraId="444E8FC1"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14EDB8E1" w14:textId="77777777" w:rsidR="00BC035E" w:rsidRPr="00F93FFA" w:rsidRDefault="00BC035E" w:rsidP="00DE16D0">
            <w:pPr>
              <w:widowControl w:val="0"/>
              <w:rPr>
                <w:color w:val="000000"/>
                <w:sz w:val="22"/>
                <w:szCs w:val="22"/>
              </w:rPr>
            </w:pPr>
            <w:r w:rsidRPr="00F93FFA">
              <w:rPr>
                <w:color w:val="000000"/>
                <w:sz w:val="22"/>
                <w:szCs w:val="22"/>
              </w:rPr>
              <w:t>Žarnų nepraeinamumas/žarnų obstrukcija*, virškinimo trakto perforacija*</w:t>
            </w:r>
            <w:r w:rsidRPr="00F93FFA">
              <w:rPr>
                <w:snapToGrid w:val="0"/>
                <w:color w:val="000000"/>
                <w:sz w:val="22"/>
                <w:szCs w:val="22"/>
              </w:rPr>
              <w:t>, divertikulitas*, prievarčio kraujagyslių išsiplėtimas (GAVE)*</w:t>
            </w:r>
          </w:p>
        </w:tc>
      </w:tr>
      <w:tr w:rsidR="00314B70" w:rsidRPr="00F93FFA" w14:paraId="55202829"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19CC7E90"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lastRenderedPageBreak/>
              <w:t>Kepenų, tulžies pūslės ir latakų sutrikimai</w:t>
            </w:r>
          </w:p>
        </w:tc>
      </w:tr>
      <w:tr w:rsidR="00314B70" w:rsidRPr="00F93FFA" w14:paraId="68FF97EB"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DB1A288"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32B51BFD"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Padidėjusi kepenų fermentų koncentracija</w:t>
            </w:r>
          </w:p>
        </w:tc>
      </w:tr>
      <w:tr w:rsidR="00314B70" w:rsidRPr="00F93FFA" w14:paraId="65A2B757"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073F880"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C111014"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Hiperbilirubinemija, hepatitas, gelta</w:t>
            </w:r>
          </w:p>
        </w:tc>
      </w:tr>
      <w:tr w:rsidR="00314B70" w:rsidRPr="00F93FFA" w14:paraId="6CA2918B"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E6069FC" w14:textId="77777777" w:rsidR="00314B70" w:rsidRPr="00F93FFA" w:rsidRDefault="00314B70" w:rsidP="00DE16D0">
            <w:pPr>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43CEB92B" w14:textId="77777777" w:rsidR="00314B70" w:rsidRPr="00F93FFA" w:rsidRDefault="00314B70" w:rsidP="00DE16D0">
            <w:pPr>
              <w:widowControl w:val="0"/>
              <w:tabs>
                <w:tab w:val="left" w:pos="567"/>
              </w:tabs>
              <w:rPr>
                <w:color w:val="000000"/>
                <w:sz w:val="22"/>
                <w:szCs w:val="22"/>
              </w:rPr>
            </w:pPr>
            <w:r w:rsidRPr="00F93FFA">
              <w:rPr>
                <w:color w:val="000000"/>
                <w:sz w:val="22"/>
                <w:szCs w:val="22"/>
              </w:rPr>
              <w:t>Kepenų nepakankamumas</w:t>
            </w:r>
            <w:r w:rsidRPr="00F93FFA">
              <w:rPr>
                <w:color w:val="000000"/>
                <w:sz w:val="22"/>
                <w:szCs w:val="22"/>
                <w:vertAlign w:val="superscript"/>
              </w:rPr>
              <w:t>8</w:t>
            </w:r>
            <w:r w:rsidRPr="00F93FFA">
              <w:rPr>
                <w:color w:val="000000"/>
                <w:sz w:val="22"/>
                <w:szCs w:val="22"/>
              </w:rPr>
              <w:t>, kepenų nekrozė</w:t>
            </w:r>
          </w:p>
        </w:tc>
      </w:tr>
      <w:tr w:rsidR="00314B70" w:rsidRPr="00F93FFA" w14:paraId="7702D6BE"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33B6630E"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Odos ir poodinio audinio sutrikimai</w:t>
            </w:r>
          </w:p>
        </w:tc>
      </w:tr>
      <w:tr w:rsidR="00314B70" w:rsidRPr="00F93FFA" w14:paraId="0E098111"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2F51BE1"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503B4D18"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Edema apie akis, dermatitas/egzema/bėrimas</w:t>
            </w:r>
          </w:p>
        </w:tc>
      </w:tr>
      <w:tr w:rsidR="00314B70" w:rsidRPr="00F93FFA" w14:paraId="05CEF797"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DA91982"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7B4449C5"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Niežulys, veido edema, sausa oda, eritema, alopecija, naktinis prakaitavimas, fotosensibilizacijos reakcija</w:t>
            </w:r>
          </w:p>
        </w:tc>
      </w:tr>
      <w:tr w:rsidR="00314B70" w:rsidRPr="00F93FFA" w14:paraId="71F78F94"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FFD1A6B"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5BEB6E69"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 xml:space="preserve">Pustulinis </w:t>
            </w:r>
            <w:r w:rsidR="00BC035E" w:rsidRPr="00F93FFA">
              <w:rPr>
                <w:color w:val="000000"/>
                <w:sz w:val="22"/>
                <w:szCs w:val="22"/>
              </w:rPr>
              <w:t>iš</w:t>
            </w:r>
            <w:r w:rsidRPr="00F93FFA">
              <w:rPr>
                <w:color w:val="000000"/>
                <w:sz w:val="22"/>
                <w:szCs w:val="22"/>
              </w:rPr>
              <w:t>bėrimas, sumušimas, padidėjęs prakaitavimas, dilgėlinė, ekchimozė, padidėjęs polinkis į mėlynes, sumažėjęs plaukuotumas, odos hipopigmentacija, eksfoliacinis dermatitas, nagų lūžinėjimas, folikulitas, petechijos, psoriazė, purpura, odos hiperpigmentacija, pūslinis bėrimas</w:t>
            </w:r>
          </w:p>
        </w:tc>
      </w:tr>
      <w:tr w:rsidR="00314B70" w:rsidRPr="00F93FFA" w14:paraId="4468A0FF"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414C0E03"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1DC25CA3"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Ūminė febrilinė neutrofilinė dermatozė (Sweet sindromas), nagų spalvos pakitimas, angioneurozinė edema, pūslelinis bėrimas, daugiaformė eritema, leukocitoklastinis vaskulitas, Stevens-Johnson sindromas,</w:t>
            </w:r>
            <w:r w:rsidRPr="00F93FFA">
              <w:rPr>
                <w:sz w:val="22"/>
                <w:szCs w:val="22"/>
              </w:rPr>
              <w:t xml:space="preserve"> ūminė generalizuota egzanteminė pustuliozė (ŪGEP)</w:t>
            </w:r>
          </w:p>
        </w:tc>
      </w:tr>
      <w:tr w:rsidR="00BC035E" w:rsidRPr="00F93FFA" w14:paraId="19CE2A02" w14:textId="77777777" w:rsidTr="008B45F8">
        <w:trPr>
          <w:cantSplit/>
        </w:trPr>
        <w:tc>
          <w:tcPr>
            <w:tcW w:w="2235" w:type="dxa"/>
          </w:tcPr>
          <w:p w14:paraId="7CF530EC"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6562C937" w14:textId="77777777" w:rsidR="00BC035E" w:rsidRPr="00F53012" w:rsidRDefault="00BC035E" w:rsidP="00DE16D0">
            <w:pPr>
              <w:widowControl w:val="0"/>
              <w:rPr>
                <w:color w:val="000000"/>
                <w:sz w:val="22"/>
                <w:szCs w:val="22"/>
              </w:rPr>
            </w:pPr>
            <w:r w:rsidRPr="00F93FFA">
              <w:rPr>
                <w:color w:val="000000"/>
                <w:sz w:val="22"/>
                <w:szCs w:val="22"/>
              </w:rPr>
              <w:t>Delnų ir padų eritrodizestezijos sindromas</w:t>
            </w:r>
            <w:r w:rsidRPr="00F53012">
              <w:rPr>
                <w:color w:val="000000"/>
                <w:sz w:val="22"/>
                <w:szCs w:val="22"/>
              </w:rPr>
              <w:t>*, l</w:t>
            </w:r>
            <w:r w:rsidRPr="00F93FFA">
              <w:rPr>
                <w:color w:val="000000"/>
                <w:sz w:val="22"/>
                <w:szCs w:val="22"/>
              </w:rPr>
              <w:t xml:space="preserve">ichenoidinė keratozė*, plokščioji kerpligė*, toksinė epidermio nekrolizė*, medikamentinis išbėrimas su eozinofilija ir sisteminiais simptomais </w:t>
            </w:r>
            <w:r w:rsidRPr="00F93FFA">
              <w:rPr>
                <w:i/>
                <w:color w:val="000000"/>
                <w:sz w:val="22"/>
                <w:szCs w:val="22"/>
              </w:rPr>
              <w:t>(DRESS)</w:t>
            </w:r>
            <w:r w:rsidRPr="00F93FFA">
              <w:rPr>
                <w:color w:val="000000"/>
                <w:sz w:val="22"/>
                <w:szCs w:val="22"/>
              </w:rPr>
              <w:t>*</w:t>
            </w:r>
            <w:r w:rsidR="00CC302C" w:rsidRPr="00F93FFA">
              <w:rPr>
                <w:color w:val="000000"/>
                <w:sz w:val="22"/>
                <w:szCs w:val="22"/>
              </w:rPr>
              <w:t>, pseudoporfir</w:t>
            </w:r>
            <w:r w:rsidR="00B44EBA" w:rsidRPr="00F93FFA">
              <w:rPr>
                <w:color w:val="000000"/>
                <w:sz w:val="22"/>
                <w:szCs w:val="22"/>
              </w:rPr>
              <w:t>ija</w:t>
            </w:r>
            <w:r w:rsidR="00CC302C" w:rsidRPr="00F93FFA">
              <w:rPr>
                <w:color w:val="000000"/>
                <w:sz w:val="22"/>
                <w:szCs w:val="22"/>
              </w:rPr>
              <w:t>*</w:t>
            </w:r>
          </w:p>
        </w:tc>
      </w:tr>
      <w:tr w:rsidR="00314B70" w:rsidRPr="00F93FFA" w14:paraId="2F070484"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152E5F34"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Skeleto, raumenų ir jungiamojo audinio sutrikimai</w:t>
            </w:r>
          </w:p>
        </w:tc>
      </w:tr>
      <w:tr w:rsidR="00314B70" w:rsidRPr="00F93FFA" w14:paraId="4D60DAF4"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B44FF64"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61066516"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Raumenų spazmas ir mėšlungis, skeleto ir raumenų skausmas, taip pat mialgija</w:t>
            </w:r>
            <w:r w:rsidR="00157E9E" w:rsidRPr="00F93FFA">
              <w:rPr>
                <w:color w:val="000000"/>
                <w:szCs w:val="22"/>
                <w:vertAlign w:val="superscript"/>
              </w:rPr>
              <w:t>9</w:t>
            </w:r>
            <w:r w:rsidRPr="00F93FFA">
              <w:rPr>
                <w:color w:val="000000"/>
                <w:sz w:val="22"/>
                <w:szCs w:val="22"/>
              </w:rPr>
              <w:t>, artralgija, kaulų skausmas</w:t>
            </w:r>
            <w:r w:rsidR="00F056D8" w:rsidRPr="00F93FFA">
              <w:rPr>
                <w:color w:val="000000"/>
                <w:sz w:val="22"/>
                <w:szCs w:val="22"/>
                <w:vertAlign w:val="superscript"/>
              </w:rPr>
              <w:t>10</w:t>
            </w:r>
          </w:p>
        </w:tc>
      </w:tr>
      <w:tr w:rsidR="00314B70" w:rsidRPr="00F93FFA" w14:paraId="43DC10EA"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7BC93F1"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38843B19"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Sąnarių tinimas</w:t>
            </w:r>
          </w:p>
        </w:tc>
      </w:tr>
      <w:tr w:rsidR="00314B70" w:rsidRPr="00F93FFA" w14:paraId="32F35B9E"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C81AAE2"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4585A40D"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Sąnarių ir raumenų sąstingis</w:t>
            </w:r>
          </w:p>
        </w:tc>
      </w:tr>
      <w:tr w:rsidR="00314B70" w:rsidRPr="00F93FFA" w14:paraId="7561F107"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3D0E8E85"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727E6126"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Raumenų silpnumas, artritas, rabdomiolizė ar miopatija</w:t>
            </w:r>
          </w:p>
        </w:tc>
      </w:tr>
      <w:tr w:rsidR="00BC035E" w:rsidRPr="00F93FFA" w14:paraId="70129FC3" w14:textId="77777777" w:rsidTr="008B45F8">
        <w:trPr>
          <w:cantSplit/>
        </w:trPr>
        <w:tc>
          <w:tcPr>
            <w:tcW w:w="2235" w:type="dxa"/>
          </w:tcPr>
          <w:p w14:paraId="49688E0E" w14:textId="77777777" w:rsidR="00BC035E" w:rsidRPr="00F93FFA" w:rsidRDefault="00BC035E" w:rsidP="00DE16D0">
            <w:pPr>
              <w:widowControl w:val="0"/>
              <w:rPr>
                <w:i/>
                <w:color w:val="000000"/>
                <w:sz w:val="22"/>
                <w:szCs w:val="22"/>
              </w:rPr>
            </w:pPr>
            <w:r w:rsidRPr="00F93FFA">
              <w:rPr>
                <w:i/>
                <w:iCs/>
                <w:color w:val="000000"/>
                <w:sz w:val="22"/>
                <w:szCs w:val="22"/>
              </w:rPr>
              <w:t>Dažnis nežinomas:</w:t>
            </w:r>
          </w:p>
        </w:tc>
        <w:tc>
          <w:tcPr>
            <w:tcW w:w="7087" w:type="dxa"/>
          </w:tcPr>
          <w:p w14:paraId="4B1E9A4F" w14:textId="77777777" w:rsidR="00BC035E" w:rsidRPr="00F93FFA" w:rsidRDefault="00BC035E" w:rsidP="00DE16D0">
            <w:pPr>
              <w:widowControl w:val="0"/>
              <w:rPr>
                <w:bCs/>
                <w:color w:val="000000"/>
                <w:sz w:val="22"/>
                <w:szCs w:val="22"/>
              </w:rPr>
            </w:pPr>
            <w:r w:rsidRPr="00F93FFA">
              <w:rPr>
                <w:color w:val="000000"/>
                <w:sz w:val="22"/>
                <w:szCs w:val="22"/>
              </w:rPr>
              <w:t>Nevaskulinė nekrozė/šlaunikaulio galvutės nekrozė*, v</w:t>
            </w:r>
            <w:r w:rsidRPr="00F93FFA">
              <w:rPr>
                <w:bCs/>
                <w:color w:val="000000"/>
                <w:sz w:val="22"/>
                <w:szCs w:val="22"/>
              </w:rPr>
              <w:t>aikų augimo sulėtėjimas</w:t>
            </w:r>
            <w:r w:rsidRPr="00F93FFA">
              <w:rPr>
                <w:color w:val="000000"/>
                <w:sz w:val="22"/>
                <w:szCs w:val="22"/>
              </w:rPr>
              <w:t>*</w:t>
            </w:r>
          </w:p>
        </w:tc>
      </w:tr>
      <w:tr w:rsidR="00314B70" w:rsidRPr="00F93FFA" w14:paraId="1D3EBF59"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1587FE98"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Inkstų ir šlapimo takų sutrikimai</w:t>
            </w:r>
          </w:p>
        </w:tc>
      </w:tr>
      <w:tr w:rsidR="00314B70" w:rsidRPr="00F93FFA" w14:paraId="5E4A6B6D"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0B3F80AB"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1E37D09A"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Inkstų skausmas, hematurija, ūminis inkstų nepakankamumas, padažnėjęs šlapinimasis</w:t>
            </w:r>
          </w:p>
        </w:tc>
      </w:tr>
      <w:tr w:rsidR="009D26B7" w:rsidRPr="00F93FFA" w14:paraId="5088F6D9" w14:textId="77777777" w:rsidTr="008B45F8">
        <w:trPr>
          <w:cantSplit/>
        </w:trPr>
        <w:tc>
          <w:tcPr>
            <w:tcW w:w="2235" w:type="dxa"/>
          </w:tcPr>
          <w:p w14:paraId="68081960" w14:textId="77777777" w:rsidR="009D26B7" w:rsidRPr="00F93FFA" w:rsidRDefault="009D26B7" w:rsidP="00DE16D0">
            <w:pPr>
              <w:widowControl w:val="0"/>
              <w:rPr>
                <w:i/>
                <w:color w:val="000000"/>
                <w:sz w:val="22"/>
                <w:szCs w:val="22"/>
              </w:rPr>
            </w:pPr>
            <w:r w:rsidRPr="00F93FFA">
              <w:rPr>
                <w:i/>
                <w:iCs/>
                <w:color w:val="000000"/>
                <w:sz w:val="22"/>
                <w:szCs w:val="22"/>
              </w:rPr>
              <w:t>Dažnis nežinomas:</w:t>
            </w:r>
          </w:p>
        </w:tc>
        <w:tc>
          <w:tcPr>
            <w:tcW w:w="7087" w:type="dxa"/>
          </w:tcPr>
          <w:p w14:paraId="19C25D7B" w14:textId="77777777" w:rsidR="009D26B7" w:rsidRPr="00F93FFA" w:rsidRDefault="009D26B7" w:rsidP="00DE16D0">
            <w:pPr>
              <w:widowControl w:val="0"/>
              <w:rPr>
                <w:color w:val="000000"/>
                <w:sz w:val="22"/>
                <w:szCs w:val="22"/>
              </w:rPr>
            </w:pPr>
            <w:r w:rsidRPr="00F93FFA">
              <w:rPr>
                <w:color w:val="000000"/>
                <w:sz w:val="22"/>
                <w:szCs w:val="22"/>
              </w:rPr>
              <w:t>Lėtinis inkstų nepakankamumas</w:t>
            </w:r>
          </w:p>
        </w:tc>
      </w:tr>
      <w:tr w:rsidR="00314B70" w:rsidRPr="00F93FFA" w14:paraId="1A71FC03"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3172C165"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Lytinės sistemos ir krūties sutrikimai</w:t>
            </w:r>
          </w:p>
        </w:tc>
      </w:tr>
      <w:tr w:rsidR="00314B70" w:rsidRPr="00F93FFA" w14:paraId="55FE8B5E"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1DDBB09"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525D07BC"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Ginekomastija, erekcijos sutrikimas, menoragija, menstruacijų ciklo sutrikimas, lytinė disfunkcija, spenelio skausmas, krūtų padidėjimas, kapšelio edema</w:t>
            </w:r>
          </w:p>
        </w:tc>
      </w:tr>
      <w:tr w:rsidR="00314B70" w:rsidRPr="00F93FFA" w14:paraId="2B6E49AC"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1356759" w14:textId="77777777" w:rsidR="00314B70" w:rsidRPr="00F93FFA" w:rsidRDefault="00314B70" w:rsidP="00DE16D0">
            <w:pPr>
              <w:widowControl w:val="0"/>
              <w:tabs>
                <w:tab w:val="left" w:pos="567"/>
              </w:tabs>
              <w:rPr>
                <w:i/>
                <w:iCs/>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18CA7EC7" w14:textId="77777777" w:rsidR="00314B70" w:rsidRPr="00F93FFA" w:rsidRDefault="00314B70" w:rsidP="00DE16D0">
            <w:pPr>
              <w:widowControl w:val="0"/>
              <w:tabs>
                <w:tab w:val="left" w:pos="567"/>
              </w:tabs>
              <w:rPr>
                <w:color w:val="000000"/>
                <w:sz w:val="22"/>
                <w:szCs w:val="22"/>
              </w:rPr>
            </w:pPr>
            <w:r w:rsidRPr="00F93FFA">
              <w:rPr>
                <w:sz w:val="22"/>
                <w:szCs w:val="22"/>
              </w:rPr>
              <w:t>Geltonkūnio hemoragija ar hemoraginė kiaušidžių cista</w:t>
            </w:r>
          </w:p>
        </w:tc>
      </w:tr>
      <w:tr w:rsidR="00314B70" w:rsidRPr="00F93FFA" w14:paraId="2EA5E69D"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410D19DC" w14:textId="77777777" w:rsidR="00314B70" w:rsidRPr="00F93FFA" w:rsidRDefault="00314B70" w:rsidP="008B45F8">
            <w:pPr>
              <w:keepNext/>
              <w:widowControl w:val="0"/>
              <w:tabs>
                <w:tab w:val="left" w:pos="567"/>
              </w:tabs>
              <w:rPr>
                <w:color w:val="000000"/>
                <w:sz w:val="22"/>
                <w:szCs w:val="22"/>
              </w:rPr>
            </w:pPr>
            <w:r w:rsidRPr="00F93FFA">
              <w:rPr>
                <w:b/>
                <w:bCs/>
                <w:color w:val="000000"/>
                <w:sz w:val="22"/>
                <w:szCs w:val="22"/>
              </w:rPr>
              <w:t>Bendrieji sutrikimai ir vartojimo vietos pažeidimai</w:t>
            </w:r>
          </w:p>
        </w:tc>
      </w:tr>
      <w:tr w:rsidR="00314B70" w:rsidRPr="00F93FFA" w14:paraId="2BD37501"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2D8CD8C6"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0F64DF34"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Skysčių susilaikymas ir edema, nuovargis</w:t>
            </w:r>
          </w:p>
        </w:tc>
      </w:tr>
      <w:tr w:rsidR="00314B70" w:rsidRPr="00F93FFA" w14:paraId="56AA80FB"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A3C7A28" w14:textId="77777777" w:rsidR="00314B70" w:rsidRPr="00F93FFA" w:rsidRDefault="00314B70" w:rsidP="008B45F8">
            <w:pPr>
              <w:keepNext/>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2D2745B8" w14:textId="77777777" w:rsidR="00314B70" w:rsidRPr="00F93FFA" w:rsidRDefault="00314B70" w:rsidP="008B45F8">
            <w:pPr>
              <w:keepNext/>
              <w:widowControl w:val="0"/>
              <w:tabs>
                <w:tab w:val="left" w:pos="567"/>
              </w:tabs>
              <w:rPr>
                <w:color w:val="000000"/>
                <w:sz w:val="22"/>
                <w:szCs w:val="22"/>
              </w:rPr>
            </w:pPr>
            <w:r w:rsidRPr="00F93FFA">
              <w:rPr>
                <w:color w:val="000000"/>
                <w:sz w:val="22"/>
                <w:szCs w:val="22"/>
              </w:rPr>
              <w:t>Silpnumas, karščiavimas, odos vandenė, šaltkrėtis, sąstingis</w:t>
            </w:r>
          </w:p>
        </w:tc>
      </w:tr>
      <w:tr w:rsidR="00314B70" w:rsidRPr="00F93FFA" w14:paraId="160D30F1"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6622EE8E" w14:textId="77777777" w:rsidR="00314B70" w:rsidRPr="00F93FFA" w:rsidRDefault="00314B70" w:rsidP="008B45F8">
            <w:pPr>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526A177" w14:textId="77777777" w:rsidR="00314B70" w:rsidRPr="00F93FFA" w:rsidRDefault="00314B70" w:rsidP="008B45F8">
            <w:pPr>
              <w:widowControl w:val="0"/>
              <w:tabs>
                <w:tab w:val="left" w:pos="567"/>
              </w:tabs>
              <w:rPr>
                <w:color w:val="000000"/>
                <w:sz w:val="22"/>
                <w:szCs w:val="22"/>
              </w:rPr>
            </w:pPr>
            <w:r w:rsidRPr="00F93FFA">
              <w:rPr>
                <w:color w:val="000000"/>
                <w:sz w:val="22"/>
                <w:szCs w:val="22"/>
              </w:rPr>
              <w:t>Skausmas krūtinėje, bloga savijauta</w:t>
            </w:r>
          </w:p>
        </w:tc>
      </w:tr>
      <w:tr w:rsidR="00314B70" w:rsidRPr="00F93FFA" w14:paraId="1B0453E7" w14:textId="77777777" w:rsidTr="008B45F8">
        <w:trPr>
          <w:cantSplit/>
        </w:trPr>
        <w:tc>
          <w:tcPr>
            <w:tcW w:w="9322" w:type="dxa"/>
            <w:gridSpan w:val="2"/>
            <w:tcBorders>
              <w:top w:val="single" w:sz="4" w:space="0" w:color="auto"/>
              <w:left w:val="single" w:sz="4" w:space="0" w:color="auto"/>
              <w:bottom w:val="single" w:sz="4" w:space="0" w:color="auto"/>
              <w:right w:val="single" w:sz="4" w:space="0" w:color="auto"/>
            </w:tcBorders>
          </w:tcPr>
          <w:p w14:paraId="131B57CF" w14:textId="77777777" w:rsidR="00314B70" w:rsidRPr="00F93FFA" w:rsidRDefault="00314B70" w:rsidP="008B45F8">
            <w:pPr>
              <w:keepNext/>
              <w:keepLines/>
              <w:widowControl w:val="0"/>
              <w:tabs>
                <w:tab w:val="left" w:pos="567"/>
              </w:tabs>
              <w:rPr>
                <w:color w:val="000000"/>
                <w:sz w:val="22"/>
                <w:szCs w:val="22"/>
              </w:rPr>
            </w:pPr>
            <w:r w:rsidRPr="00F93FFA">
              <w:rPr>
                <w:b/>
                <w:bCs/>
                <w:color w:val="000000"/>
                <w:sz w:val="22"/>
                <w:szCs w:val="22"/>
              </w:rPr>
              <w:lastRenderedPageBreak/>
              <w:t>Tyrimai</w:t>
            </w:r>
          </w:p>
        </w:tc>
      </w:tr>
      <w:tr w:rsidR="00314B70" w:rsidRPr="00F93FFA" w14:paraId="5C1DF696"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10138523" w14:textId="77777777" w:rsidR="00314B70" w:rsidRPr="00F93FFA" w:rsidRDefault="00314B70" w:rsidP="008B45F8">
            <w:pPr>
              <w:keepNext/>
              <w:keepLines/>
              <w:widowControl w:val="0"/>
              <w:tabs>
                <w:tab w:val="left" w:pos="567"/>
              </w:tabs>
              <w:rPr>
                <w:color w:val="000000"/>
                <w:sz w:val="22"/>
                <w:szCs w:val="22"/>
              </w:rPr>
            </w:pPr>
            <w:r w:rsidRPr="00F93FFA">
              <w:rPr>
                <w:i/>
                <w:iCs/>
                <w:color w:val="000000"/>
                <w:sz w:val="22"/>
                <w:szCs w:val="22"/>
              </w:rPr>
              <w:t>Labai dažnos:</w:t>
            </w:r>
          </w:p>
        </w:tc>
        <w:tc>
          <w:tcPr>
            <w:tcW w:w="7087" w:type="dxa"/>
            <w:tcBorders>
              <w:top w:val="single" w:sz="4" w:space="0" w:color="auto"/>
              <w:left w:val="single" w:sz="4" w:space="0" w:color="auto"/>
              <w:bottom w:val="single" w:sz="4" w:space="0" w:color="auto"/>
              <w:right w:val="single" w:sz="4" w:space="0" w:color="auto"/>
            </w:tcBorders>
          </w:tcPr>
          <w:p w14:paraId="57E73660" w14:textId="77777777" w:rsidR="00314B70" w:rsidRPr="00F93FFA" w:rsidRDefault="00314B70" w:rsidP="008B45F8">
            <w:pPr>
              <w:keepNext/>
              <w:keepLines/>
              <w:widowControl w:val="0"/>
              <w:tabs>
                <w:tab w:val="left" w:pos="567"/>
              </w:tabs>
              <w:rPr>
                <w:color w:val="000000"/>
                <w:sz w:val="22"/>
                <w:szCs w:val="22"/>
              </w:rPr>
            </w:pPr>
            <w:r w:rsidRPr="00F93FFA">
              <w:rPr>
                <w:color w:val="000000"/>
                <w:sz w:val="22"/>
                <w:szCs w:val="22"/>
              </w:rPr>
              <w:t>Padidėjęs kūno svoris</w:t>
            </w:r>
          </w:p>
        </w:tc>
      </w:tr>
      <w:tr w:rsidR="00314B70" w:rsidRPr="00F93FFA" w14:paraId="195B049B"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0489C00C" w14:textId="77777777" w:rsidR="00314B70" w:rsidRPr="00F93FFA" w:rsidRDefault="00314B70" w:rsidP="008B45F8">
            <w:pPr>
              <w:keepNext/>
              <w:keepLines/>
              <w:widowControl w:val="0"/>
              <w:tabs>
                <w:tab w:val="left" w:pos="567"/>
              </w:tabs>
              <w:rPr>
                <w:color w:val="000000"/>
                <w:sz w:val="22"/>
                <w:szCs w:val="22"/>
              </w:rPr>
            </w:pPr>
            <w:r w:rsidRPr="00F93FFA">
              <w:rPr>
                <w:i/>
                <w:iCs/>
                <w:color w:val="000000"/>
                <w:sz w:val="22"/>
                <w:szCs w:val="22"/>
              </w:rPr>
              <w:t>Dažnos:</w:t>
            </w:r>
          </w:p>
        </w:tc>
        <w:tc>
          <w:tcPr>
            <w:tcW w:w="7087" w:type="dxa"/>
            <w:tcBorders>
              <w:top w:val="single" w:sz="4" w:space="0" w:color="auto"/>
              <w:left w:val="single" w:sz="4" w:space="0" w:color="auto"/>
              <w:bottom w:val="single" w:sz="4" w:space="0" w:color="auto"/>
              <w:right w:val="single" w:sz="4" w:space="0" w:color="auto"/>
            </w:tcBorders>
          </w:tcPr>
          <w:p w14:paraId="339940E3" w14:textId="77777777" w:rsidR="00314B70" w:rsidRPr="00F93FFA" w:rsidRDefault="00314B70" w:rsidP="008B45F8">
            <w:pPr>
              <w:keepNext/>
              <w:keepLines/>
              <w:widowControl w:val="0"/>
              <w:tabs>
                <w:tab w:val="left" w:pos="567"/>
              </w:tabs>
              <w:rPr>
                <w:color w:val="000000"/>
                <w:sz w:val="22"/>
                <w:szCs w:val="22"/>
              </w:rPr>
            </w:pPr>
            <w:r w:rsidRPr="00F93FFA">
              <w:rPr>
                <w:color w:val="000000"/>
                <w:sz w:val="22"/>
                <w:szCs w:val="22"/>
              </w:rPr>
              <w:t>Sumažėjęs kūno svoris</w:t>
            </w:r>
          </w:p>
        </w:tc>
      </w:tr>
      <w:tr w:rsidR="00314B70" w:rsidRPr="00F93FFA" w14:paraId="3BAC4D9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3CC745E" w14:textId="77777777" w:rsidR="00314B70" w:rsidRPr="00F93FFA" w:rsidRDefault="00314B70" w:rsidP="008B45F8">
            <w:pPr>
              <w:keepNext/>
              <w:keepLines/>
              <w:widowControl w:val="0"/>
              <w:tabs>
                <w:tab w:val="left" w:pos="567"/>
              </w:tabs>
              <w:rPr>
                <w:color w:val="000000"/>
                <w:sz w:val="22"/>
                <w:szCs w:val="22"/>
              </w:rPr>
            </w:pPr>
            <w:r w:rsidRPr="00F93FFA">
              <w:rPr>
                <w:i/>
                <w:iCs/>
                <w:color w:val="000000"/>
                <w:sz w:val="22"/>
                <w:szCs w:val="22"/>
              </w:rPr>
              <w:t>Nedažnos:</w:t>
            </w:r>
          </w:p>
        </w:tc>
        <w:tc>
          <w:tcPr>
            <w:tcW w:w="7087" w:type="dxa"/>
            <w:tcBorders>
              <w:top w:val="single" w:sz="4" w:space="0" w:color="auto"/>
              <w:left w:val="single" w:sz="4" w:space="0" w:color="auto"/>
              <w:bottom w:val="single" w:sz="4" w:space="0" w:color="auto"/>
              <w:right w:val="single" w:sz="4" w:space="0" w:color="auto"/>
            </w:tcBorders>
          </w:tcPr>
          <w:p w14:paraId="65990D9E" w14:textId="77777777" w:rsidR="00314B70" w:rsidRPr="00F93FFA" w:rsidRDefault="00314B70" w:rsidP="008B45F8">
            <w:pPr>
              <w:keepNext/>
              <w:keepLines/>
              <w:widowControl w:val="0"/>
              <w:tabs>
                <w:tab w:val="left" w:pos="567"/>
              </w:tabs>
              <w:rPr>
                <w:color w:val="000000"/>
                <w:sz w:val="22"/>
                <w:szCs w:val="22"/>
              </w:rPr>
            </w:pPr>
            <w:r w:rsidRPr="00F93FFA">
              <w:rPr>
                <w:color w:val="000000"/>
                <w:sz w:val="22"/>
                <w:szCs w:val="22"/>
              </w:rPr>
              <w:t>Padidėjusi kreatinino koncentracija kraujyje, padidėjusi kreatinfosfokinazės koncentracija kraujyje, padidėjusi laktatdehidrogenazės koncentracija kraujyje, padidėjusi šarminės fosfatazės koncentracija kraujyje</w:t>
            </w:r>
          </w:p>
        </w:tc>
      </w:tr>
      <w:tr w:rsidR="00314B70" w:rsidRPr="00F93FFA" w14:paraId="2C10E8E3" w14:textId="77777777" w:rsidTr="008B45F8">
        <w:trPr>
          <w:cantSplit/>
        </w:trPr>
        <w:tc>
          <w:tcPr>
            <w:tcW w:w="2235" w:type="dxa"/>
            <w:tcBorders>
              <w:top w:val="single" w:sz="4" w:space="0" w:color="auto"/>
              <w:left w:val="single" w:sz="4" w:space="0" w:color="auto"/>
              <w:bottom w:val="single" w:sz="4" w:space="0" w:color="auto"/>
              <w:right w:val="single" w:sz="4" w:space="0" w:color="auto"/>
            </w:tcBorders>
          </w:tcPr>
          <w:p w14:paraId="5C28DED0" w14:textId="77777777" w:rsidR="00314B70" w:rsidRPr="00F93FFA" w:rsidRDefault="00314B70" w:rsidP="008B45F8">
            <w:pPr>
              <w:keepNext/>
              <w:keepLines/>
              <w:widowControl w:val="0"/>
              <w:tabs>
                <w:tab w:val="left" w:pos="567"/>
              </w:tabs>
              <w:rPr>
                <w:color w:val="000000"/>
                <w:sz w:val="22"/>
                <w:szCs w:val="22"/>
              </w:rPr>
            </w:pPr>
            <w:r w:rsidRPr="00F93FFA">
              <w:rPr>
                <w:i/>
                <w:iCs/>
                <w:color w:val="000000"/>
                <w:sz w:val="22"/>
                <w:szCs w:val="22"/>
              </w:rPr>
              <w:t>Retos:</w:t>
            </w:r>
          </w:p>
        </w:tc>
        <w:tc>
          <w:tcPr>
            <w:tcW w:w="7087" w:type="dxa"/>
            <w:tcBorders>
              <w:top w:val="single" w:sz="4" w:space="0" w:color="auto"/>
              <w:left w:val="single" w:sz="4" w:space="0" w:color="auto"/>
              <w:bottom w:val="single" w:sz="4" w:space="0" w:color="auto"/>
              <w:right w:val="single" w:sz="4" w:space="0" w:color="auto"/>
            </w:tcBorders>
          </w:tcPr>
          <w:p w14:paraId="26F8A64F" w14:textId="77777777" w:rsidR="00314B70" w:rsidRPr="00F93FFA" w:rsidRDefault="00314B70" w:rsidP="008B45F8">
            <w:pPr>
              <w:keepNext/>
              <w:keepLines/>
              <w:widowControl w:val="0"/>
              <w:tabs>
                <w:tab w:val="left" w:pos="567"/>
              </w:tabs>
              <w:rPr>
                <w:color w:val="000000"/>
                <w:sz w:val="22"/>
                <w:szCs w:val="22"/>
              </w:rPr>
            </w:pPr>
            <w:r w:rsidRPr="00F93FFA">
              <w:rPr>
                <w:color w:val="000000"/>
                <w:sz w:val="22"/>
                <w:szCs w:val="22"/>
              </w:rPr>
              <w:t>Padidėjusi amilazės koncentracija kraujyje</w:t>
            </w:r>
          </w:p>
        </w:tc>
      </w:tr>
    </w:tbl>
    <w:p w14:paraId="1FC30B2F" w14:textId="77777777" w:rsidR="00BC035E" w:rsidRPr="00F93FFA" w:rsidRDefault="00BC035E" w:rsidP="008B45F8">
      <w:pPr>
        <w:keepNext/>
        <w:keepLines/>
        <w:widowControl w:val="0"/>
        <w:tabs>
          <w:tab w:val="left" w:pos="0"/>
        </w:tabs>
        <w:rPr>
          <w:color w:val="000000"/>
          <w:sz w:val="22"/>
          <w:szCs w:val="22"/>
        </w:rPr>
      </w:pPr>
    </w:p>
    <w:p w14:paraId="1890BED4" w14:textId="77777777" w:rsidR="00314B70" w:rsidRPr="00F93FFA" w:rsidRDefault="00BC035E" w:rsidP="008B45F8">
      <w:pPr>
        <w:keepNext/>
        <w:keepLines/>
        <w:widowControl w:val="0"/>
        <w:ind w:left="567" w:hanging="567"/>
        <w:rPr>
          <w:color w:val="000000"/>
          <w:sz w:val="22"/>
          <w:szCs w:val="22"/>
        </w:rPr>
      </w:pPr>
      <w:r w:rsidRPr="00F93FFA">
        <w:rPr>
          <w:color w:val="000000"/>
          <w:sz w:val="22"/>
          <w:szCs w:val="22"/>
        </w:rPr>
        <w:t>*</w:t>
      </w:r>
      <w:r w:rsidRPr="00F93FFA">
        <w:rPr>
          <w:color w:val="000000"/>
          <w:sz w:val="22"/>
          <w:szCs w:val="22"/>
        </w:rPr>
        <w:tab/>
        <w:t>Šių reakcijų tipai daugiausiai registruoti po Glivec pateikimo į rinką. Tai nepageidaujamos reakcijos, apie kurias pranešta spontaniniuose pranešimuose, taip pat sunkūs nepageidaujami reiškiniai, stebėti tebevykstančių tyrimų, išplėstinių gydymo programų, klinikinių farmakologinių tyrimų ir bandomųjų nepatvirtintų indikacijų tyrimų metu. Kadangi šios reakcijos registruotos neaiškaus dydžio populiacijoje, ne visuomet galima patikimai įvertinti jų dažnumą arba nustatyti priežastinį ryšį su imatinibo ekspozicija.</w:t>
      </w:r>
    </w:p>
    <w:p w14:paraId="03F579B3" w14:textId="77777777"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1</w:t>
      </w:r>
      <w:r w:rsidRPr="00F93FFA">
        <w:rPr>
          <w:color w:val="000000"/>
          <w:sz w:val="22"/>
          <w:szCs w:val="22"/>
        </w:rPr>
        <w:tab/>
        <w:t>Pneumonija dažniausiai registruota pacientams, kuriems buvo transformuota LML, ir pacientams, kuriems buvo VTSN.</w:t>
      </w:r>
    </w:p>
    <w:p w14:paraId="7B4A81B8" w14:textId="77777777"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2</w:t>
      </w:r>
      <w:r w:rsidRPr="00F93FFA">
        <w:rPr>
          <w:color w:val="000000"/>
          <w:sz w:val="22"/>
          <w:szCs w:val="22"/>
        </w:rPr>
        <w:tab/>
        <w:t>Galvos skausmas dažniausiai pasireiškė pacientams, kuriems buvo VTSN.</w:t>
      </w:r>
    </w:p>
    <w:p w14:paraId="745F6ACC" w14:textId="77777777"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3</w:t>
      </w:r>
      <w:r w:rsidRPr="00F93FFA">
        <w:rPr>
          <w:color w:val="000000"/>
          <w:sz w:val="22"/>
          <w:szCs w:val="22"/>
        </w:rPr>
        <w:tab/>
        <w:t xml:space="preserve">Vertinant pagal pacientų metus </w:t>
      </w:r>
      <w:r w:rsidRPr="00F93FFA">
        <w:rPr>
          <w:i/>
          <w:color w:val="000000"/>
          <w:sz w:val="22"/>
          <w:szCs w:val="22"/>
        </w:rPr>
        <w:t>(angl. patient-years</w:t>
      </w:r>
      <w:r w:rsidRPr="00F93FFA">
        <w:rPr>
          <w:color w:val="000000"/>
          <w:sz w:val="22"/>
          <w:szCs w:val="22"/>
        </w:rPr>
        <w:t>), kardiologiniai reiškiniai, įskaitant stazinį širdies nepakankamumą, dažniau stebėti pacientams, kuriems buvo transformuota LML, nei pacientams, sergantiems lėtine LML.</w:t>
      </w:r>
    </w:p>
    <w:p w14:paraId="0B91172A" w14:textId="3EE60782"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4</w:t>
      </w:r>
      <w:r w:rsidRPr="00F93FFA">
        <w:rPr>
          <w:color w:val="000000"/>
          <w:sz w:val="22"/>
          <w:szCs w:val="22"/>
        </w:rPr>
        <w:tab/>
        <w:t>Raudonis dažniausiai pasireiškė pacientams, kuriems buvo VTSN, o kraujavimas (hematoma, hemoragija) – pacientams, kuriems buvo VTSN, ir pacientams, kuriems buvo transformuota LML (LML</w:t>
      </w:r>
      <w:r w:rsidR="003429B0" w:rsidRPr="00F93FFA">
        <w:rPr>
          <w:color w:val="000000"/>
          <w:sz w:val="22"/>
          <w:szCs w:val="22"/>
        </w:rPr>
        <w:noBreakHyphen/>
      </w:r>
      <w:r w:rsidRPr="00F93FFA">
        <w:rPr>
          <w:color w:val="000000"/>
          <w:sz w:val="22"/>
          <w:szCs w:val="22"/>
        </w:rPr>
        <w:t>AF ir LML</w:t>
      </w:r>
      <w:r w:rsidR="003429B0" w:rsidRPr="00F93FFA">
        <w:rPr>
          <w:color w:val="000000"/>
          <w:sz w:val="22"/>
          <w:szCs w:val="22"/>
        </w:rPr>
        <w:noBreakHyphen/>
      </w:r>
      <w:r w:rsidRPr="00F93FFA">
        <w:rPr>
          <w:color w:val="000000"/>
          <w:sz w:val="22"/>
          <w:szCs w:val="22"/>
        </w:rPr>
        <w:t>BK).</w:t>
      </w:r>
    </w:p>
    <w:p w14:paraId="58324DE5" w14:textId="30470874"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5</w:t>
      </w:r>
      <w:r w:rsidRPr="00F93FFA">
        <w:rPr>
          <w:color w:val="000000"/>
          <w:sz w:val="22"/>
          <w:szCs w:val="22"/>
        </w:rPr>
        <w:tab/>
        <w:t>Skystis pleuros ertmėje dažniau registruotas pacientams, kuriems buvo VTSN, ir pacientams, kuriems buvo transformuota LML (LML</w:t>
      </w:r>
      <w:r w:rsidR="003429B0" w:rsidRPr="00F93FFA">
        <w:rPr>
          <w:color w:val="000000"/>
          <w:sz w:val="22"/>
          <w:szCs w:val="22"/>
        </w:rPr>
        <w:noBreakHyphen/>
      </w:r>
      <w:r w:rsidRPr="00F93FFA">
        <w:rPr>
          <w:color w:val="000000"/>
          <w:sz w:val="22"/>
          <w:szCs w:val="22"/>
        </w:rPr>
        <w:t>AF ir LML</w:t>
      </w:r>
      <w:r w:rsidR="003429B0" w:rsidRPr="00F93FFA">
        <w:rPr>
          <w:color w:val="000000"/>
          <w:sz w:val="22"/>
          <w:szCs w:val="22"/>
        </w:rPr>
        <w:noBreakHyphen/>
      </w:r>
      <w:r w:rsidRPr="00F93FFA">
        <w:rPr>
          <w:color w:val="000000"/>
          <w:sz w:val="22"/>
          <w:szCs w:val="22"/>
        </w:rPr>
        <w:t>BK), nei pacientams, sergantiems lėtine LML.</w:t>
      </w:r>
    </w:p>
    <w:p w14:paraId="1CE32768" w14:textId="77777777" w:rsidR="00314B70"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6+7</w:t>
      </w:r>
      <w:r w:rsidRPr="00F93FFA">
        <w:rPr>
          <w:color w:val="000000"/>
          <w:sz w:val="22"/>
          <w:szCs w:val="22"/>
        </w:rPr>
        <w:tab/>
        <w:t>Pilvo skausmas ir kraujavimas iš virškinimo trakto dažniausiai stebėtas pacientams, kuriems buvo VTSN.</w:t>
      </w:r>
    </w:p>
    <w:p w14:paraId="516B72C2" w14:textId="77777777" w:rsidR="00314B70" w:rsidRPr="00F93FFA" w:rsidRDefault="00314B70" w:rsidP="008B45F8">
      <w:pPr>
        <w:keepNext/>
        <w:keepLines/>
        <w:widowControl w:val="0"/>
        <w:tabs>
          <w:tab w:val="left" w:pos="567"/>
        </w:tabs>
        <w:rPr>
          <w:color w:val="000000"/>
          <w:sz w:val="22"/>
          <w:szCs w:val="22"/>
        </w:rPr>
      </w:pPr>
      <w:r w:rsidRPr="00F93FFA">
        <w:rPr>
          <w:color w:val="000000"/>
          <w:sz w:val="22"/>
          <w:szCs w:val="22"/>
        </w:rPr>
        <w:t>8</w:t>
      </w:r>
      <w:r w:rsidRPr="00F93FFA">
        <w:rPr>
          <w:color w:val="000000"/>
          <w:sz w:val="22"/>
          <w:szCs w:val="22"/>
        </w:rPr>
        <w:tab/>
        <w:t>Registruoti keli mirtini kepenų nepakankamumo ir kepenų nekrozės atvejai.</w:t>
      </w:r>
    </w:p>
    <w:p w14:paraId="221E5C3D" w14:textId="77777777" w:rsidR="00F056D8" w:rsidRPr="00F93FFA" w:rsidRDefault="00314B70" w:rsidP="008B45F8">
      <w:pPr>
        <w:keepNext/>
        <w:keepLines/>
        <w:widowControl w:val="0"/>
        <w:tabs>
          <w:tab w:val="left" w:pos="567"/>
        </w:tabs>
        <w:ind w:left="567" w:hanging="567"/>
        <w:rPr>
          <w:color w:val="000000"/>
          <w:sz w:val="22"/>
          <w:szCs w:val="22"/>
        </w:rPr>
      </w:pPr>
      <w:r w:rsidRPr="00F93FFA">
        <w:rPr>
          <w:color w:val="000000"/>
          <w:sz w:val="22"/>
          <w:szCs w:val="22"/>
        </w:rPr>
        <w:t>9</w:t>
      </w:r>
      <w:r w:rsidRPr="00F93FFA">
        <w:rPr>
          <w:color w:val="000000"/>
          <w:sz w:val="22"/>
          <w:szCs w:val="22"/>
        </w:rPr>
        <w:tab/>
      </w:r>
      <w:r w:rsidR="00F056D8" w:rsidRPr="00F93FFA">
        <w:rPr>
          <w:color w:val="000000"/>
          <w:sz w:val="22"/>
          <w:szCs w:val="22"/>
        </w:rPr>
        <w:t xml:space="preserve">Po Glivec </w:t>
      </w:r>
      <w:r w:rsidR="0073583E" w:rsidRPr="00F93FFA">
        <w:rPr>
          <w:color w:val="000000"/>
          <w:sz w:val="22"/>
          <w:szCs w:val="22"/>
        </w:rPr>
        <w:t>registracijos</w:t>
      </w:r>
      <w:r w:rsidR="00F056D8" w:rsidRPr="00F93FFA">
        <w:rPr>
          <w:color w:val="000000"/>
          <w:sz w:val="22"/>
          <w:szCs w:val="22"/>
        </w:rPr>
        <w:t>, gauta pranešimų apie skeleto ir raumenų skausmo atvejus pacientams, kurie pastebėti gydymo imatinibu metu arba po jo vartojimo nutraukimo.</w:t>
      </w:r>
    </w:p>
    <w:p w14:paraId="01C548E3" w14:textId="77777777" w:rsidR="00314B70" w:rsidRPr="00F93FFA" w:rsidRDefault="00F056D8" w:rsidP="008B45F8">
      <w:pPr>
        <w:keepNext/>
        <w:keepLines/>
        <w:widowControl w:val="0"/>
        <w:tabs>
          <w:tab w:val="left" w:pos="567"/>
        </w:tabs>
        <w:ind w:left="567" w:hanging="567"/>
        <w:rPr>
          <w:color w:val="000000"/>
          <w:sz w:val="22"/>
          <w:szCs w:val="22"/>
        </w:rPr>
      </w:pPr>
      <w:r w:rsidRPr="00F93FFA">
        <w:rPr>
          <w:color w:val="000000"/>
          <w:sz w:val="22"/>
          <w:szCs w:val="22"/>
        </w:rPr>
        <w:t>10</w:t>
      </w:r>
      <w:r w:rsidRPr="00F93FFA">
        <w:rPr>
          <w:color w:val="000000"/>
          <w:sz w:val="22"/>
          <w:szCs w:val="22"/>
        </w:rPr>
        <w:tab/>
      </w:r>
      <w:r w:rsidR="00314B70" w:rsidRPr="00F93FFA">
        <w:rPr>
          <w:color w:val="000000"/>
          <w:sz w:val="22"/>
          <w:szCs w:val="22"/>
        </w:rPr>
        <w:t>Skeleto ir raumenų skausmas bei susiję reiškiniai dažniau stebėti pacientams, sergantiems LML, nei pacientams, kuriems buvo VTSN.</w:t>
      </w:r>
    </w:p>
    <w:p w14:paraId="0889CCD6" w14:textId="77777777" w:rsidR="00BC035E" w:rsidRPr="00F93FFA" w:rsidRDefault="00BC035E" w:rsidP="008B45F8">
      <w:pPr>
        <w:keepLines/>
        <w:widowControl w:val="0"/>
        <w:tabs>
          <w:tab w:val="left" w:pos="567"/>
        </w:tabs>
        <w:ind w:left="567" w:hanging="567"/>
        <w:rPr>
          <w:color w:val="000000"/>
          <w:sz w:val="22"/>
          <w:szCs w:val="22"/>
        </w:rPr>
      </w:pPr>
      <w:r w:rsidRPr="00F93FFA">
        <w:rPr>
          <w:color w:val="000000"/>
          <w:sz w:val="22"/>
          <w:szCs w:val="22"/>
        </w:rPr>
        <w:t>1</w:t>
      </w:r>
      <w:r w:rsidR="00F056D8" w:rsidRPr="00F93FFA">
        <w:rPr>
          <w:color w:val="000000"/>
          <w:sz w:val="22"/>
          <w:szCs w:val="22"/>
        </w:rPr>
        <w:t>1</w:t>
      </w:r>
      <w:r w:rsidRPr="00F93FFA">
        <w:rPr>
          <w:color w:val="000000"/>
          <w:sz w:val="22"/>
          <w:szCs w:val="22"/>
        </w:rPr>
        <w:tab/>
        <w:t>Buvo praneštas apie mirties atvejus pacientams, kuriems yra progresavusi liga, sunkių infekcijų, sunki neutropenija ir kitų sunkių gretutinių ligų.</w:t>
      </w:r>
    </w:p>
    <w:p w14:paraId="2983F334" w14:textId="77777777" w:rsidR="00314B70" w:rsidRPr="00F93FFA" w:rsidRDefault="00314B70" w:rsidP="00DE16D0">
      <w:pPr>
        <w:widowControl w:val="0"/>
        <w:ind w:left="567" w:hanging="567"/>
        <w:rPr>
          <w:color w:val="000000"/>
          <w:sz w:val="22"/>
          <w:szCs w:val="22"/>
        </w:rPr>
      </w:pPr>
    </w:p>
    <w:p w14:paraId="4615EAF9" w14:textId="77777777" w:rsidR="00314B70" w:rsidRPr="00F93FFA" w:rsidRDefault="00314B70" w:rsidP="008B45F8">
      <w:pPr>
        <w:keepNext/>
        <w:widowControl w:val="0"/>
        <w:ind w:left="567" w:hanging="567"/>
        <w:rPr>
          <w:color w:val="000000"/>
          <w:sz w:val="22"/>
          <w:szCs w:val="22"/>
          <w:u w:val="single"/>
        </w:rPr>
      </w:pPr>
      <w:r w:rsidRPr="00F93FFA">
        <w:rPr>
          <w:color w:val="000000"/>
          <w:sz w:val="22"/>
          <w:szCs w:val="22"/>
          <w:u w:val="single"/>
        </w:rPr>
        <w:t>Pakitę laboratoriniai testai</w:t>
      </w:r>
    </w:p>
    <w:p w14:paraId="51E41BEC" w14:textId="77777777" w:rsidR="00314B70" w:rsidRPr="00F93FFA" w:rsidRDefault="00314B70" w:rsidP="008B45F8">
      <w:pPr>
        <w:keepNext/>
        <w:widowControl w:val="0"/>
        <w:ind w:left="567" w:hanging="567"/>
        <w:rPr>
          <w:i/>
          <w:color w:val="000000"/>
          <w:sz w:val="22"/>
          <w:szCs w:val="22"/>
        </w:rPr>
      </w:pPr>
      <w:r w:rsidRPr="00F93FFA">
        <w:rPr>
          <w:i/>
          <w:color w:val="000000"/>
          <w:sz w:val="22"/>
          <w:szCs w:val="22"/>
        </w:rPr>
        <w:t>Hematologija</w:t>
      </w:r>
    </w:p>
    <w:p w14:paraId="37101D94" w14:textId="77777777" w:rsidR="00314B70" w:rsidRPr="00F93FFA" w:rsidRDefault="00314B70" w:rsidP="00DE16D0">
      <w:pPr>
        <w:widowControl w:val="0"/>
        <w:rPr>
          <w:color w:val="000000"/>
          <w:sz w:val="22"/>
          <w:szCs w:val="22"/>
        </w:rPr>
      </w:pPr>
      <w:r w:rsidRPr="00F93FFA">
        <w:rPr>
          <w:color w:val="000000"/>
          <w:sz w:val="22"/>
          <w:szCs w:val="22"/>
        </w:rPr>
        <w:t xml:space="preserve">Visų tyrimų metu LML sergantiems pacientams stebėta citopenija, ypač neutropenija ir trombocitopenija, dažniau vartojant dideles </w:t>
      </w:r>
      <w:r w:rsidRPr="00F93FFA">
        <w:rPr>
          <w:color w:val="000000"/>
          <w:sz w:val="22"/>
          <w:szCs w:val="22"/>
        </w:rPr>
        <w:sym w:font="Symbol" w:char="F0B3"/>
      </w:r>
      <w:r w:rsidRPr="00F93FFA">
        <w:rPr>
          <w:color w:val="000000"/>
          <w:sz w:val="22"/>
          <w:szCs w:val="22"/>
        </w:rPr>
        <w:t> 750 mg dozes (I fazės tyrimas). Tačiau citopenijos aiškiai priklauso nuo ligos stadijos, III</w:t>
      </w:r>
      <w:r w:rsidRPr="00F93FFA">
        <w:rPr>
          <w:color w:val="000000"/>
          <w:sz w:val="22"/>
          <w:szCs w:val="22"/>
        </w:rPr>
        <w:noBreakHyphen/>
        <w:t>IV laipsnio neutropenija (ANS &lt; 1,0 x 10</w:t>
      </w:r>
      <w:r w:rsidRPr="00F93FFA">
        <w:rPr>
          <w:color w:val="000000"/>
          <w:sz w:val="22"/>
          <w:szCs w:val="22"/>
          <w:vertAlign w:val="superscript"/>
        </w:rPr>
        <w:t>9</w:t>
      </w:r>
      <w:r w:rsidRPr="00F93FFA">
        <w:rPr>
          <w:color w:val="000000"/>
          <w:sz w:val="22"/>
          <w:szCs w:val="22"/>
        </w:rPr>
        <w:t>/l) ir trombocitopenija (trombocitų &lt; 50 x 10</w:t>
      </w:r>
      <w:r w:rsidRPr="00F93FFA">
        <w:rPr>
          <w:color w:val="000000"/>
          <w:sz w:val="22"/>
          <w:szCs w:val="22"/>
          <w:vertAlign w:val="superscript"/>
        </w:rPr>
        <w:t>9</w:t>
      </w:r>
      <w:r w:rsidRPr="00F93FFA">
        <w:rPr>
          <w:color w:val="000000"/>
          <w:sz w:val="22"/>
          <w:szCs w:val="22"/>
        </w:rPr>
        <w:t>/l) buvo 4–6 kartus dažniau nustatyta pacientams, kuriems buvo blastinė krizė ar akceleracijos fazė (neutropenija ir trombocitopenija atitinkamai 59–64 % ir 44–63 %), lyginant su pacientais, kuriems buvo naujai diagnozuota lėtinė LML fazė (16,7 % neutropenija ir 8,9 % trombocitopenija). Naujai diagnozuotos lėtinės LML fazės metu IV laipsnio neutropenija (ANS &lt; 0,5 x 10</w:t>
      </w:r>
      <w:r w:rsidRPr="00F93FFA">
        <w:rPr>
          <w:color w:val="000000"/>
          <w:sz w:val="22"/>
          <w:szCs w:val="22"/>
          <w:vertAlign w:val="superscript"/>
        </w:rPr>
        <w:t>9</w:t>
      </w:r>
      <w:r w:rsidRPr="00F93FFA">
        <w:rPr>
          <w:color w:val="000000"/>
          <w:sz w:val="22"/>
          <w:szCs w:val="22"/>
        </w:rPr>
        <w:t>/l) ir trombocitopenija (trombocitų &lt; 50 x 10</w:t>
      </w:r>
      <w:r w:rsidRPr="00F93FFA">
        <w:rPr>
          <w:color w:val="000000"/>
          <w:sz w:val="22"/>
          <w:szCs w:val="22"/>
          <w:vertAlign w:val="superscript"/>
        </w:rPr>
        <w:t>9</w:t>
      </w:r>
      <w:r w:rsidRPr="00F93FFA">
        <w:rPr>
          <w:color w:val="000000"/>
          <w:sz w:val="22"/>
          <w:szCs w:val="22"/>
        </w:rPr>
        <w:t>/l) stebėta atitinkamai 3,6 % ir &lt; 1 % pacientų. Vidurinė neutropenijos ir trombocitopenijos epizodų trukmė paprastai yra atitinkamai 2–3 savaitės ir 3–4 savaitės. Šiuos reiškinius dažniausiai galima kontroliuoti sumažinus Glivec dozę ar laikinai jį nutraukus, tačiau retai tenka gydymą visiškai nutraukti. Vaikų, sergančių LML, tarpe dažniausiai stebėtas nepageidaujamas poveikis buvo III-IV laipsnio citopenijos, įskaitant neutropeniją, trombocitopeniją ir anemiją. Paprastai jos pasireiškė per pirmus gydymo mėnesius.</w:t>
      </w:r>
    </w:p>
    <w:p w14:paraId="004B7F60" w14:textId="77777777" w:rsidR="00314B70" w:rsidRPr="00F93FFA" w:rsidRDefault="00314B70" w:rsidP="00DE16D0">
      <w:pPr>
        <w:widowControl w:val="0"/>
        <w:rPr>
          <w:color w:val="000000"/>
          <w:sz w:val="22"/>
          <w:szCs w:val="22"/>
        </w:rPr>
      </w:pPr>
    </w:p>
    <w:p w14:paraId="6B6239B9" w14:textId="77777777" w:rsidR="00314B70" w:rsidRPr="00F93FFA" w:rsidRDefault="00314B70" w:rsidP="00DE16D0">
      <w:pPr>
        <w:widowControl w:val="0"/>
        <w:rPr>
          <w:color w:val="000000"/>
          <w:sz w:val="22"/>
          <w:szCs w:val="22"/>
        </w:rPr>
      </w:pPr>
      <w:r w:rsidRPr="00F93FFA">
        <w:rPr>
          <w:color w:val="000000"/>
          <w:sz w:val="22"/>
          <w:szCs w:val="22"/>
        </w:rPr>
        <w:t xml:space="preserve">Atlikto klinikinio tyrimo duomenimis, jame dalyvavusiems pacientams, kuriems buvo nerezekuotinas ir (ar) metastazavęs VTSN, III–IV laipsnio anemija pasitaikė atitinkamai 5,4 % ir 0,7 %. Ji gali būti susijusi su virškinimo trakto ir vidunavikiniu kraujavimu, bent jau kai kuriems pacientams. III–IV laipsnio neutropenija stebėta atitinkamai 7,5 % ir 2,7 % pacientų, o III laipsnio trombocitopenija – 0,7 % pacientų. Nė vienam pacientui nepasireiškė IV laipsnio trombocitopenija. Leukocitų (baltųjų </w:t>
      </w:r>
      <w:r w:rsidRPr="00F93FFA">
        <w:rPr>
          <w:color w:val="000000"/>
          <w:sz w:val="22"/>
          <w:szCs w:val="22"/>
        </w:rPr>
        <w:lastRenderedPageBreak/>
        <w:t>kraujo kūnelių, BKK) ir neutrofilų daugiausia sumažėjo per pirmąsias šešias gydymo savaites, paskui jų kiekis santykinai nekito.</w:t>
      </w:r>
    </w:p>
    <w:p w14:paraId="324D62B9" w14:textId="77777777" w:rsidR="00314B70" w:rsidRPr="00F93FFA" w:rsidRDefault="00314B70" w:rsidP="00DE16D0">
      <w:pPr>
        <w:widowControl w:val="0"/>
        <w:rPr>
          <w:color w:val="000000"/>
          <w:sz w:val="22"/>
          <w:szCs w:val="22"/>
        </w:rPr>
      </w:pPr>
    </w:p>
    <w:p w14:paraId="5DD12673" w14:textId="77777777" w:rsidR="00314B70" w:rsidRPr="00F93FFA" w:rsidRDefault="00314B70" w:rsidP="00DE16D0">
      <w:pPr>
        <w:pStyle w:val="Heading6"/>
        <w:widowControl w:val="0"/>
        <w:tabs>
          <w:tab w:val="clear" w:pos="-720"/>
          <w:tab w:val="clear" w:pos="567"/>
          <w:tab w:val="clear" w:pos="4536"/>
        </w:tabs>
        <w:suppressAutoHyphens w:val="0"/>
        <w:spacing w:line="240" w:lineRule="auto"/>
        <w:rPr>
          <w:color w:val="000000"/>
          <w:szCs w:val="22"/>
          <w:lang w:val="lt-LT"/>
        </w:rPr>
      </w:pPr>
      <w:r w:rsidRPr="00F93FFA">
        <w:rPr>
          <w:color w:val="000000"/>
          <w:szCs w:val="22"/>
          <w:lang w:val="lt-LT"/>
        </w:rPr>
        <w:t>Biochemija</w:t>
      </w:r>
    </w:p>
    <w:p w14:paraId="3BBD026A" w14:textId="77777777" w:rsidR="00314B70" w:rsidRPr="00F93FFA" w:rsidRDefault="00314B70" w:rsidP="00DE16D0">
      <w:pPr>
        <w:pStyle w:val="Text"/>
        <w:widowControl w:val="0"/>
        <w:spacing w:before="0"/>
        <w:jc w:val="left"/>
        <w:rPr>
          <w:rFonts w:eastAsia="MS Mincho"/>
          <w:color w:val="000000"/>
          <w:sz w:val="22"/>
          <w:szCs w:val="22"/>
          <w:lang w:val="lt-LT"/>
        </w:rPr>
      </w:pPr>
      <w:r w:rsidRPr="00F93FFA">
        <w:rPr>
          <w:color w:val="000000"/>
          <w:sz w:val="22"/>
          <w:szCs w:val="22"/>
          <w:lang w:val="lt-LT"/>
        </w:rPr>
        <w:t>LML sergantiems pacientams stebėta labai padidėjusi transaminazių (&lt; 5 %) ar bilirubino (&lt; 1 %) koncentracija, kuri paprastai sumažėdavo sumažinus dozę ar laikinai nutraukus gydymą (šių epizodų trukmės mediana buvo maždaug viena savaitė). Dėl pakitusių kepenų funkcijos laboratorinių rodiklių gydymą visiškai reikėjo nutraukti mažiau kaip 1 % LML sirgusių pacientų. 6,8 % VTSN sergančių pacientų (tyrimas B2222) buvo stebėtas 3 ar 4 laipsnio ALT (alanino aminotransferazių</w:t>
      </w:r>
      <w:r w:rsidRPr="00F93FFA">
        <w:rPr>
          <w:rFonts w:eastAsia="MS Mincho"/>
          <w:color w:val="000000"/>
          <w:sz w:val="22"/>
          <w:szCs w:val="22"/>
          <w:lang w:val="lt-LT"/>
        </w:rPr>
        <w:t>)</w:t>
      </w:r>
      <w:r w:rsidRPr="00F93FFA">
        <w:rPr>
          <w:rFonts w:eastAsia="MS Mincho"/>
          <w:b/>
          <w:bCs/>
          <w:color w:val="000000"/>
          <w:sz w:val="22"/>
          <w:szCs w:val="22"/>
          <w:lang w:val="lt-LT" w:eastAsia="ja-JP"/>
        </w:rPr>
        <w:t xml:space="preserve"> </w:t>
      </w:r>
      <w:r w:rsidRPr="00F93FFA">
        <w:rPr>
          <w:color w:val="000000"/>
          <w:sz w:val="22"/>
          <w:szCs w:val="22"/>
          <w:lang w:val="lt-LT"/>
        </w:rPr>
        <w:t>koncentracijos padidėjimas ir 4,8 % - 3 ar 4 laipsnio AST (aspartataminotransferazių</w:t>
      </w:r>
      <w:r w:rsidRPr="00F93FFA">
        <w:rPr>
          <w:rFonts w:eastAsia="MS Mincho"/>
          <w:color w:val="000000"/>
          <w:sz w:val="22"/>
          <w:szCs w:val="22"/>
          <w:lang w:val="lt-LT"/>
        </w:rPr>
        <w:t xml:space="preserve">) </w:t>
      </w:r>
      <w:r w:rsidRPr="00F93FFA">
        <w:rPr>
          <w:color w:val="000000"/>
          <w:sz w:val="22"/>
          <w:szCs w:val="22"/>
          <w:lang w:val="lt-LT"/>
        </w:rPr>
        <w:t>padidėjimas. Bilirubino koncentracija didėjo mažiau kaip 3 %.</w:t>
      </w:r>
    </w:p>
    <w:p w14:paraId="5D1260EA" w14:textId="77777777" w:rsidR="00314B70" w:rsidRPr="00F93FFA" w:rsidRDefault="00314B70" w:rsidP="00DE16D0">
      <w:pPr>
        <w:widowControl w:val="0"/>
        <w:rPr>
          <w:color w:val="000000"/>
          <w:sz w:val="22"/>
          <w:szCs w:val="22"/>
        </w:rPr>
      </w:pPr>
    </w:p>
    <w:p w14:paraId="251CEAFE" w14:textId="77777777" w:rsidR="00314B70" w:rsidRPr="00F93FFA" w:rsidRDefault="00314B70" w:rsidP="00DE16D0">
      <w:pPr>
        <w:widowControl w:val="0"/>
        <w:rPr>
          <w:color w:val="000000"/>
          <w:sz w:val="22"/>
          <w:szCs w:val="22"/>
        </w:rPr>
      </w:pPr>
      <w:r w:rsidRPr="00F93FFA">
        <w:rPr>
          <w:color w:val="000000"/>
          <w:sz w:val="22"/>
          <w:szCs w:val="22"/>
        </w:rPr>
        <w:t>Pasitaikė citolizinio bei cholestazinio hepatito ir kepenų nepakankamumo atvejų, kai kurie iš jų baigėsi mirtimi (vienam pacientui – vartojusiam didelę paracetamolio dozę).</w:t>
      </w:r>
    </w:p>
    <w:p w14:paraId="616FE105" w14:textId="77777777" w:rsidR="00F35959" w:rsidRPr="00F93FFA" w:rsidRDefault="00F35959" w:rsidP="00DE16D0">
      <w:pPr>
        <w:widowControl w:val="0"/>
        <w:ind w:left="567" w:hanging="567"/>
        <w:rPr>
          <w:color w:val="000000"/>
          <w:sz w:val="22"/>
          <w:szCs w:val="22"/>
        </w:rPr>
      </w:pPr>
    </w:p>
    <w:p w14:paraId="1C18795A" w14:textId="77777777" w:rsidR="00F35959" w:rsidRPr="00F93FFA" w:rsidRDefault="00F35959" w:rsidP="00DE16D0">
      <w:pPr>
        <w:keepNext/>
        <w:widowControl w:val="0"/>
        <w:rPr>
          <w:color w:val="222222"/>
          <w:sz w:val="22"/>
          <w:szCs w:val="20"/>
          <w:u w:val="single"/>
        </w:rPr>
      </w:pPr>
      <w:r w:rsidRPr="00F93FFA">
        <w:rPr>
          <w:color w:val="222222"/>
          <w:sz w:val="22"/>
          <w:szCs w:val="20"/>
          <w:u w:val="single"/>
        </w:rPr>
        <w:t>Atrinktų nepageidaujamų reakcijų apibūdinimas</w:t>
      </w:r>
    </w:p>
    <w:p w14:paraId="71F420D3" w14:textId="77777777" w:rsidR="00F35959" w:rsidRPr="00F93FFA" w:rsidRDefault="00F35959" w:rsidP="00DE16D0">
      <w:pPr>
        <w:keepNext/>
        <w:widowControl w:val="0"/>
        <w:rPr>
          <w:i/>
          <w:color w:val="222222"/>
          <w:sz w:val="22"/>
          <w:szCs w:val="20"/>
          <w:u w:val="single"/>
        </w:rPr>
      </w:pPr>
      <w:r w:rsidRPr="00F93FFA">
        <w:rPr>
          <w:i/>
          <w:color w:val="222222"/>
          <w:sz w:val="22"/>
          <w:szCs w:val="20"/>
          <w:u w:val="single"/>
        </w:rPr>
        <w:t>Hepatito B reaktyvacija</w:t>
      </w:r>
    </w:p>
    <w:p w14:paraId="3D9C2228" w14:textId="301C1C30" w:rsidR="00F35959" w:rsidRPr="00F93FFA" w:rsidRDefault="00F35959" w:rsidP="00DE16D0">
      <w:pPr>
        <w:widowControl w:val="0"/>
        <w:rPr>
          <w:color w:val="222222"/>
          <w:sz w:val="22"/>
          <w:szCs w:val="20"/>
        </w:rPr>
      </w:pPr>
      <w:r w:rsidRPr="00F93FFA">
        <w:rPr>
          <w:color w:val="222222"/>
          <w:sz w:val="22"/>
          <w:szCs w:val="20"/>
        </w:rPr>
        <w:t>Pranešta kad hepatito B reaktyvacijos atvejai buvo susiję su BCR</w:t>
      </w:r>
      <w:r w:rsidR="003429B0" w:rsidRPr="00F93FFA">
        <w:rPr>
          <w:color w:val="222222"/>
          <w:sz w:val="22"/>
          <w:szCs w:val="20"/>
        </w:rPr>
        <w:noBreakHyphen/>
      </w:r>
      <w:r w:rsidRPr="00F93FFA">
        <w:rPr>
          <w:color w:val="222222"/>
          <w:sz w:val="22"/>
          <w:szCs w:val="20"/>
        </w:rPr>
        <w:t>ABL tirozinkinazės inhibitorių (TKI) vartojimu. Kai kuriais atvejais tai sukėlė ūminį kepenų nepakankamumą arba žaibinį hepatitą, dėl kurio pacientui teko persodinti kepenis arba pacientas mirė (žr. 4.4 skyrių).</w:t>
      </w:r>
    </w:p>
    <w:p w14:paraId="29D73AC4" w14:textId="77777777" w:rsidR="00314B70" w:rsidRPr="00F93FFA" w:rsidRDefault="00314B70" w:rsidP="00DE16D0">
      <w:pPr>
        <w:widowControl w:val="0"/>
        <w:ind w:left="567" w:hanging="567"/>
        <w:rPr>
          <w:color w:val="000000"/>
          <w:sz w:val="22"/>
          <w:szCs w:val="22"/>
        </w:rPr>
      </w:pPr>
    </w:p>
    <w:p w14:paraId="40F629B3" w14:textId="77777777" w:rsidR="00314B70" w:rsidRPr="00F93FFA" w:rsidRDefault="00314B70" w:rsidP="008B45F8">
      <w:pPr>
        <w:keepNext/>
        <w:widowControl w:val="0"/>
        <w:autoSpaceDE w:val="0"/>
        <w:autoSpaceDN w:val="0"/>
        <w:adjustRightInd w:val="0"/>
        <w:rPr>
          <w:sz w:val="22"/>
          <w:szCs w:val="22"/>
          <w:u w:val="single"/>
        </w:rPr>
      </w:pPr>
      <w:r w:rsidRPr="00F93FFA">
        <w:rPr>
          <w:noProof/>
          <w:sz w:val="22"/>
          <w:szCs w:val="22"/>
          <w:u w:val="single"/>
        </w:rPr>
        <w:t>Pranešimas apie įtariamas nepageidaujamas reakcijas</w:t>
      </w:r>
    </w:p>
    <w:p w14:paraId="3EAA9038" w14:textId="77777777" w:rsidR="00314B70" w:rsidRPr="00F93FFA" w:rsidRDefault="00314B70" w:rsidP="00DE16D0">
      <w:pPr>
        <w:widowControl w:val="0"/>
        <w:autoSpaceDE w:val="0"/>
        <w:autoSpaceDN w:val="0"/>
        <w:adjustRightInd w:val="0"/>
        <w:rPr>
          <w:noProof/>
          <w:sz w:val="22"/>
          <w:szCs w:val="22"/>
        </w:rPr>
      </w:pPr>
      <w:r w:rsidRPr="00F93FFA">
        <w:rPr>
          <w:noProof/>
          <w:sz w:val="22"/>
          <w:szCs w:val="22"/>
        </w:rPr>
        <w:t>Svarbu pranešti apie įtariamas nepageidaujamas reakcijas po vaistinio preparato registracijos, nes tai leidžia nuolat stebėti vaistinio preparato naudos ir rizikos santykį.</w:t>
      </w:r>
      <w:r w:rsidRPr="00F93FFA">
        <w:rPr>
          <w:sz w:val="22"/>
          <w:szCs w:val="22"/>
        </w:rPr>
        <w:t xml:space="preserve"> </w:t>
      </w:r>
      <w:r w:rsidRPr="00F93FFA">
        <w:rPr>
          <w:noProof/>
          <w:sz w:val="22"/>
          <w:szCs w:val="22"/>
        </w:rPr>
        <w:t xml:space="preserve">Sveikatos priežiūros specialistai turi pranešti apie bet kokias įtariamas nepageidaujamas reakcijas </w:t>
      </w:r>
      <w:r w:rsidRPr="00F93FFA">
        <w:rPr>
          <w:noProof/>
          <w:sz w:val="22"/>
          <w:szCs w:val="22"/>
          <w:shd w:val="clear" w:color="auto" w:fill="D9D9D9"/>
        </w:rPr>
        <w:t xml:space="preserve">naudodamiesi </w:t>
      </w:r>
      <w:hyperlink r:id="rId14" w:history="1">
        <w:r w:rsidRPr="00F93FFA">
          <w:rPr>
            <w:rStyle w:val="Hyperlink"/>
            <w:sz w:val="22"/>
            <w:szCs w:val="22"/>
            <w:shd w:val="clear" w:color="auto" w:fill="D9D9D9"/>
          </w:rPr>
          <w:t>V priede</w:t>
        </w:r>
      </w:hyperlink>
      <w:r w:rsidRPr="00F93FFA">
        <w:rPr>
          <w:noProof/>
          <w:color w:val="00B050"/>
          <w:sz w:val="22"/>
          <w:szCs w:val="22"/>
          <w:shd w:val="clear" w:color="auto" w:fill="D9D9D9"/>
        </w:rPr>
        <w:t xml:space="preserve"> </w:t>
      </w:r>
      <w:r w:rsidRPr="00F93FFA">
        <w:rPr>
          <w:noProof/>
          <w:sz w:val="22"/>
          <w:szCs w:val="22"/>
          <w:shd w:val="clear" w:color="auto" w:fill="D9D9D9"/>
        </w:rPr>
        <w:t>nurodyta nacionaline pranešimo</w:t>
      </w:r>
      <w:r w:rsidRPr="00F93FFA">
        <w:rPr>
          <w:noProof/>
          <w:color w:val="00B050"/>
          <w:sz w:val="22"/>
          <w:szCs w:val="22"/>
          <w:shd w:val="clear" w:color="auto" w:fill="D9D9D9"/>
        </w:rPr>
        <w:t xml:space="preserve"> </w:t>
      </w:r>
      <w:r w:rsidRPr="00F93FFA">
        <w:rPr>
          <w:noProof/>
          <w:sz w:val="22"/>
          <w:szCs w:val="22"/>
          <w:shd w:val="clear" w:color="auto" w:fill="D9D9D9"/>
        </w:rPr>
        <w:t>sistema.</w:t>
      </w:r>
    </w:p>
    <w:p w14:paraId="306B862B" w14:textId="77777777" w:rsidR="00314B70" w:rsidRPr="00F93FFA" w:rsidRDefault="00314B70" w:rsidP="00DE16D0">
      <w:pPr>
        <w:widowControl w:val="0"/>
        <w:ind w:left="567" w:hanging="567"/>
        <w:rPr>
          <w:color w:val="000000"/>
          <w:sz w:val="22"/>
          <w:szCs w:val="22"/>
        </w:rPr>
      </w:pPr>
    </w:p>
    <w:p w14:paraId="2806E096"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4.9</w:t>
      </w:r>
      <w:r w:rsidRPr="00F93FFA">
        <w:rPr>
          <w:b/>
          <w:color w:val="000000"/>
          <w:sz w:val="22"/>
          <w:szCs w:val="22"/>
        </w:rPr>
        <w:tab/>
        <w:t>Perdozavimas</w:t>
      </w:r>
    </w:p>
    <w:p w14:paraId="2AE2A07A" w14:textId="77777777" w:rsidR="00314B70" w:rsidRPr="00F93FFA" w:rsidRDefault="00314B70" w:rsidP="008B45F8">
      <w:pPr>
        <w:keepNext/>
        <w:widowControl w:val="0"/>
        <w:ind w:left="567" w:hanging="567"/>
        <w:rPr>
          <w:color w:val="000000"/>
          <w:sz w:val="22"/>
          <w:szCs w:val="22"/>
        </w:rPr>
      </w:pPr>
    </w:p>
    <w:p w14:paraId="533334D2" w14:textId="77777777" w:rsidR="00314B70" w:rsidRPr="00F93FFA" w:rsidRDefault="00314B70" w:rsidP="00DE16D0">
      <w:pPr>
        <w:pStyle w:val="EndnoteText"/>
        <w:widowControl w:val="0"/>
        <w:tabs>
          <w:tab w:val="clear" w:pos="567"/>
        </w:tabs>
        <w:rPr>
          <w:color w:val="000000"/>
          <w:szCs w:val="22"/>
          <w:lang w:val="lt-LT"/>
        </w:rPr>
      </w:pPr>
      <w:r w:rsidRPr="00F93FFA">
        <w:rPr>
          <w:color w:val="000000"/>
          <w:szCs w:val="22"/>
          <w:lang w:val="lt-LT"/>
        </w:rPr>
        <w:t>Didesnės dozės nei rekomenduojama terapinė dozė vartojimo patirties yra nedaug. Pavienių pranešimų metu ir literatūros šaltiniuose registruoti pavieniai Glivec perdozavimo atvejai. P</w:t>
      </w:r>
      <w:r w:rsidRPr="00F93FFA">
        <w:rPr>
          <w:rFonts w:eastAsia="MS Mincho"/>
          <w:color w:val="000000"/>
          <w:szCs w:val="22"/>
        </w:rPr>
        <w:t xml:space="preserve">erdozavusį </w:t>
      </w:r>
      <w:r w:rsidR="00D62405" w:rsidRPr="00F93FFA">
        <w:rPr>
          <w:rFonts w:eastAsia="MS Mincho"/>
          <w:color w:val="000000"/>
          <w:szCs w:val="22"/>
          <w:lang w:val="lt-LT"/>
        </w:rPr>
        <w:t xml:space="preserve">vaistinio preparato </w:t>
      </w:r>
      <w:r w:rsidRPr="00F93FFA">
        <w:rPr>
          <w:rFonts w:eastAsia="MS Mincho"/>
          <w:color w:val="000000"/>
          <w:szCs w:val="22"/>
        </w:rPr>
        <w:t xml:space="preserve">pacientą reikia stebėti ir taikyti atitinkamas simptominio gydymo priemones. Paprastai praneštais atvejais pacientų būklė </w:t>
      </w:r>
      <w:r w:rsidRPr="00F93FFA">
        <w:rPr>
          <w:color w:val="000000"/>
          <w:szCs w:val="22"/>
        </w:rPr>
        <w:t>“</w:t>
      </w:r>
      <w:r w:rsidRPr="00F93FFA">
        <w:rPr>
          <w:rFonts w:eastAsia="MS Mincho"/>
          <w:color w:val="000000"/>
          <w:szCs w:val="22"/>
        </w:rPr>
        <w:t>pagerėjo</w:t>
      </w:r>
      <w:r w:rsidRPr="00F93FFA">
        <w:rPr>
          <w:color w:val="000000"/>
          <w:szCs w:val="22"/>
        </w:rPr>
        <w:t>”</w:t>
      </w:r>
      <w:r w:rsidRPr="00F93FFA">
        <w:rPr>
          <w:rFonts w:eastAsia="MS Mincho"/>
          <w:color w:val="000000"/>
          <w:szCs w:val="22"/>
        </w:rPr>
        <w:t xml:space="preserve"> arba jie </w:t>
      </w:r>
      <w:r w:rsidRPr="00F93FFA">
        <w:rPr>
          <w:color w:val="000000"/>
          <w:szCs w:val="22"/>
        </w:rPr>
        <w:t>“</w:t>
      </w:r>
      <w:r w:rsidRPr="00F93FFA">
        <w:rPr>
          <w:rFonts w:eastAsia="MS Mincho"/>
          <w:color w:val="000000"/>
          <w:szCs w:val="22"/>
        </w:rPr>
        <w:t>pasveiko</w:t>
      </w:r>
      <w:r w:rsidRPr="00F93FFA">
        <w:rPr>
          <w:color w:val="000000"/>
          <w:szCs w:val="22"/>
        </w:rPr>
        <w:t>”</w:t>
      </w:r>
      <w:r w:rsidRPr="00F93FFA">
        <w:rPr>
          <w:rFonts w:eastAsia="MS Mincho"/>
          <w:color w:val="000000"/>
          <w:szCs w:val="22"/>
        </w:rPr>
        <w:t xml:space="preserve">. Perdozavus skirtingų </w:t>
      </w:r>
      <w:r w:rsidR="00D62405" w:rsidRPr="00F93FFA">
        <w:rPr>
          <w:rFonts w:eastAsia="MS Mincho"/>
          <w:color w:val="000000"/>
          <w:szCs w:val="22"/>
          <w:lang w:val="lt-LT"/>
        </w:rPr>
        <w:t xml:space="preserve">vaistinio preparato </w:t>
      </w:r>
      <w:r w:rsidRPr="00F93FFA">
        <w:rPr>
          <w:rFonts w:eastAsia="MS Mincho"/>
          <w:color w:val="000000"/>
          <w:szCs w:val="22"/>
        </w:rPr>
        <w:t>dozių, pranešta apie pasireiškusius toliau išvardytus reiškinius.</w:t>
      </w:r>
    </w:p>
    <w:p w14:paraId="6E7E4795" w14:textId="77777777" w:rsidR="00314B70" w:rsidRPr="00F93FFA" w:rsidRDefault="00314B70" w:rsidP="00DE16D0">
      <w:pPr>
        <w:widowControl w:val="0"/>
        <w:rPr>
          <w:color w:val="000000"/>
          <w:sz w:val="22"/>
          <w:szCs w:val="22"/>
        </w:rPr>
      </w:pPr>
    </w:p>
    <w:p w14:paraId="7D8D2386" w14:textId="77777777" w:rsidR="00314B70" w:rsidRPr="00F93FFA" w:rsidRDefault="00314B70" w:rsidP="008B45F8">
      <w:pPr>
        <w:keepNext/>
        <w:widowControl w:val="0"/>
        <w:rPr>
          <w:i/>
          <w:iCs/>
          <w:color w:val="000000"/>
          <w:sz w:val="22"/>
          <w:szCs w:val="22"/>
        </w:rPr>
      </w:pPr>
      <w:r w:rsidRPr="00F93FFA">
        <w:rPr>
          <w:i/>
          <w:iCs/>
          <w:color w:val="000000"/>
          <w:sz w:val="22"/>
          <w:szCs w:val="22"/>
        </w:rPr>
        <w:t>Suaugusiųjų populiacija</w:t>
      </w:r>
    </w:p>
    <w:p w14:paraId="2A98CA63" w14:textId="77777777" w:rsidR="00314B70" w:rsidRPr="00F93FFA" w:rsidRDefault="00314B70" w:rsidP="00DE16D0">
      <w:pPr>
        <w:pStyle w:val="Text"/>
        <w:widowControl w:val="0"/>
        <w:spacing w:before="0"/>
        <w:jc w:val="left"/>
        <w:rPr>
          <w:sz w:val="22"/>
          <w:szCs w:val="22"/>
          <w:lang w:val="lt-LT"/>
        </w:rPr>
      </w:pPr>
      <w:r w:rsidRPr="00F93FFA">
        <w:rPr>
          <w:sz w:val="22"/>
          <w:szCs w:val="22"/>
          <w:lang w:val="lt-LT"/>
        </w:rPr>
        <w:t>Išgėrus 1200</w:t>
      </w:r>
      <w:r w:rsidRPr="00F93FFA">
        <w:rPr>
          <w:sz w:val="22"/>
          <w:szCs w:val="22"/>
          <w:lang w:val="lt-LT"/>
        </w:rPr>
        <w:noBreakHyphen/>
        <w:t>1600 mg dozę (vartojimo trukmė buvo nuo 1 iki 10 dienų), pasireiškė pykinimas, vėmimas, viduriavimas, bėrimas, eritema, edema, patinimas, nuovargis, raumenų spazmai, trombocitopenija, pancitopenija, pilvo skausmas, galvos skausmas, sumažėjęs apetitas.</w:t>
      </w:r>
    </w:p>
    <w:p w14:paraId="4298F16F" w14:textId="77777777" w:rsidR="00314B70" w:rsidRPr="00F93FFA" w:rsidRDefault="00314B70" w:rsidP="00DE16D0">
      <w:pPr>
        <w:pStyle w:val="Text"/>
        <w:widowControl w:val="0"/>
        <w:spacing w:before="0"/>
        <w:jc w:val="left"/>
        <w:rPr>
          <w:sz w:val="22"/>
          <w:szCs w:val="22"/>
          <w:lang w:val="lt-LT"/>
        </w:rPr>
      </w:pPr>
      <w:r w:rsidRPr="00F93FFA">
        <w:rPr>
          <w:sz w:val="22"/>
          <w:szCs w:val="22"/>
          <w:lang w:val="lt-LT"/>
        </w:rPr>
        <w:t>Išgėrus 1800</w:t>
      </w:r>
      <w:r w:rsidRPr="00F93FFA">
        <w:rPr>
          <w:sz w:val="22"/>
          <w:szCs w:val="22"/>
          <w:lang w:val="lt-LT"/>
        </w:rPr>
        <w:noBreakHyphen/>
        <w:t xml:space="preserve">3200 mg dozę (daugiausia po 3200 mg per parą 6 dienas), pasireiškė silpnumas, raumenų skausmas, padidėjusi </w:t>
      </w:r>
      <w:r w:rsidRPr="00F93FFA">
        <w:rPr>
          <w:color w:val="000000"/>
          <w:sz w:val="22"/>
          <w:szCs w:val="22"/>
          <w:lang w:val="lt-LT"/>
        </w:rPr>
        <w:t>kreatinfosfokinazės koncentracija</w:t>
      </w:r>
      <w:r w:rsidRPr="00F93FFA">
        <w:rPr>
          <w:sz w:val="22"/>
          <w:szCs w:val="22"/>
          <w:lang w:val="lt-LT"/>
        </w:rPr>
        <w:t xml:space="preserve">, padidėjusi </w:t>
      </w:r>
      <w:r w:rsidRPr="00F93FFA">
        <w:rPr>
          <w:color w:val="000000"/>
          <w:sz w:val="22"/>
          <w:szCs w:val="22"/>
          <w:lang w:val="lt-LT"/>
        </w:rPr>
        <w:t>bilirubino koncentracija</w:t>
      </w:r>
      <w:r w:rsidRPr="00F93FFA">
        <w:rPr>
          <w:sz w:val="22"/>
          <w:szCs w:val="22"/>
          <w:lang w:val="lt-LT"/>
        </w:rPr>
        <w:t>, virškinimo trakto skausmas.</w:t>
      </w:r>
    </w:p>
    <w:p w14:paraId="00731561" w14:textId="77777777" w:rsidR="00314B70" w:rsidRPr="00F93FFA" w:rsidRDefault="00314B70" w:rsidP="00DE16D0">
      <w:pPr>
        <w:pStyle w:val="Text"/>
        <w:widowControl w:val="0"/>
        <w:spacing w:before="0"/>
        <w:jc w:val="left"/>
        <w:rPr>
          <w:sz w:val="22"/>
          <w:szCs w:val="22"/>
          <w:lang w:val="lt-LT"/>
        </w:rPr>
      </w:pPr>
      <w:r w:rsidRPr="00F93FFA">
        <w:rPr>
          <w:sz w:val="22"/>
          <w:szCs w:val="22"/>
          <w:lang w:val="lt-LT"/>
        </w:rPr>
        <w:t>Išgėrus 6400 mg (vienkartinę dozę): literatūros šaltiniuose pranešta apie vieną tokį atvejį, kai vienam pacientui pasireiškė pykinimas, vėmimas, pilvo skausmas, karščiavimas, veido patinimas, sumažėjęs neutrofilų skaičius kraujyje, padidėjusi transaminazių koncentracija.</w:t>
      </w:r>
    </w:p>
    <w:p w14:paraId="5A07ECD9" w14:textId="77777777" w:rsidR="00314B70" w:rsidRPr="00F93FFA" w:rsidRDefault="00314B70" w:rsidP="00DE16D0">
      <w:pPr>
        <w:pStyle w:val="Text"/>
        <w:widowControl w:val="0"/>
        <w:spacing w:before="0"/>
        <w:jc w:val="left"/>
        <w:rPr>
          <w:sz w:val="22"/>
          <w:szCs w:val="22"/>
          <w:lang w:val="lt-LT"/>
        </w:rPr>
      </w:pPr>
      <w:r w:rsidRPr="00F93FFA">
        <w:rPr>
          <w:sz w:val="22"/>
          <w:szCs w:val="22"/>
          <w:lang w:val="lt-LT"/>
        </w:rPr>
        <w:t>Išgėrus 8</w:t>
      </w:r>
      <w:r w:rsidRPr="00F93FFA">
        <w:rPr>
          <w:sz w:val="22"/>
          <w:szCs w:val="22"/>
          <w:lang w:val="lt-LT"/>
        </w:rPr>
        <w:noBreakHyphen/>
        <w:t>10 g (vienkartinę dozę), pranešta apie pasireiškusį vėmimą ir virškinimo trakto skausmą.</w:t>
      </w:r>
    </w:p>
    <w:p w14:paraId="7D162D07" w14:textId="77777777" w:rsidR="00314B70" w:rsidRPr="00F93FFA" w:rsidRDefault="00314B70" w:rsidP="00DE16D0">
      <w:pPr>
        <w:widowControl w:val="0"/>
        <w:rPr>
          <w:color w:val="000000"/>
          <w:sz w:val="22"/>
          <w:szCs w:val="22"/>
        </w:rPr>
      </w:pPr>
    </w:p>
    <w:p w14:paraId="56CA55EF" w14:textId="77777777" w:rsidR="00314B70" w:rsidRPr="00F93FFA" w:rsidRDefault="00314B70" w:rsidP="008B45F8">
      <w:pPr>
        <w:keepNext/>
        <w:widowControl w:val="0"/>
        <w:rPr>
          <w:i/>
          <w:iCs/>
          <w:color w:val="000000"/>
          <w:sz w:val="22"/>
          <w:szCs w:val="22"/>
        </w:rPr>
      </w:pPr>
      <w:r w:rsidRPr="00F93FFA">
        <w:rPr>
          <w:i/>
          <w:iCs/>
          <w:color w:val="000000"/>
          <w:sz w:val="22"/>
          <w:szCs w:val="22"/>
        </w:rPr>
        <w:t>Vaikų populiacija</w:t>
      </w:r>
    </w:p>
    <w:p w14:paraId="2B4F9D59" w14:textId="77777777" w:rsidR="00314B70" w:rsidRPr="00F93FFA" w:rsidRDefault="00314B70" w:rsidP="00DE16D0">
      <w:pPr>
        <w:pStyle w:val="Text"/>
        <w:widowControl w:val="0"/>
        <w:spacing w:before="0"/>
        <w:jc w:val="left"/>
        <w:rPr>
          <w:sz w:val="22"/>
          <w:szCs w:val="22"/>
          <w:lang w:val="lt-LT"/>
        </w:rPr>
      </w:pPr>
      <w:r w:rsidRPr="00F93FFA">
        <w:rPr>
          <w:sz w:val="22"/>
          <w:szCs w:val="22"/>
          <w:lang w:val="lt-LT"/>
        </w:rPr>
        <w:t>Vienam 3 metų berniukui, kuris išgėrė vienkartinę 400 mg dozę, pasireiškė vėmimas, viduriavimas ir anoreksija, o kitam 3 metų berniukui, kuris išgėrė vienkartinę 980 mg dozę, sumažėjo leukocitų skaičius kraujyje ir pasireiškė viduriavimas.</w:t>
      </w:r>
    </w:p>
    <w:p w14:paraId="28542BE9" w14:textId="77777777" w:rsidR="00314B70" w:rsidRPr="00F93FFA" w:rsidRDefault="00314B70" w:rsidP="00DE16D0">
      <w:pPr>
        <w:widowControl w:val="0"/>
        <w:rPr>
          <w:color w:val="000000"/>
          <w:sz w:val="22"/>
          <w:szCs w:val="22"/>
        </w:rPr>
      </w:pPr>
    </w:p>
    <w:p w14:paraId="4025558C" w14:textId="77777777" w:rsidR="00314B70" w:rsidRPr="00F93FFA" w:rsidRDefault="00314B70" w:rsidP="00DE16D0">
      <w:pPr>
        <w:widowControl w:val="0"/>
        <w:rPr>
          <w:color w:val="000000"/>
          <w:sz w:val="22"/>
          <w:szCs w:val="22"/>
        </w:rPr>
      </w:pPr>
      <w:r w:rsidRPr="00F93FFA">
        <w:rPr>
          <w:rFonts w:eastAsia="MS Mincho"/>
          <w:color w:val="000000"/>
          <w:sz w:val="22"/>
          <w:szCs w:val="22"/>
        </w:rPr>
        <w:t xml:space="preserve">Pacientą, perdozavusį </w:t>
      </w:r>
      <w:r w:rsidR="00D62405" w:rsidRPr="00F93FFA">
        <w:rPr>
          <w:rFonts w:eastAsia="MS Mincho"/>
          <w:color w:val="000000"/>
          <w:sz w:val="22"/>
          <w:szCs w:val="22"/>
        </w:rPr>
        <w:t>vaistinio preparato</w:t>
      </w:r>
      <w:r w:rsidRPr="00F93FFA">
        <w:rPr>
          <w:rFonts w:eastAsia="MS Mincho"/>
          <w:color w:val="000000"/>
          <w:sz w:val="22"/>
          <w:szCs w:val="22"/>
        </w:rPr>
        <w:t>, reikia stebėti ir taikyti atitinkamas pagalbinio gydymo priemones.</w:t>
      </w:r>
    </w:p>
    <w:p w14:paraId="734FB5C5" w14:textId="77777777" w:rsidR="00314B70" w:rsidRPr="00F93FFA" w:rsidRDefault="00314B70" w:rsidP="00DE16D0">
      <w:pPr>
        <w:widowControl w:val="0"/>
        <w:rPr>
          <w:color w:val="000000"/>
          <w:sz w:val="22"/>
          <w:szCs w:val="22"/>
        </w:rPr>
      </w:pPr>
    </w:p>
    <w:p w14:paraId="53FD4592" w14:textId="77777777" w:rsidR="00314B70" w:rsidRPr="00F93FFA" w:rsidRDefault="00314B70" w:rsidP="00DE16D0">
      <w:pPr>
        <w:widowControl w:val="0"/>
        <w:ind w:left="567" w:hanging="567"/>
        <w:rPr>
          <w:color w:val="000000"/>
          <w:sz w:val="22"/>
          <w:szCs w:val="22"/>
        </w:rPr>
      </w:pPr>
    </w:p>
    <w:p w14:paraId="3662C762" w14:textId="77777777" w:rsidR="00314B70" w:rsidRPr="00F93FFA" w:rsidRDefault="00314B70" w:rsidP="008B45F8">
      <w:pPr>
        <w:keepNext/>
        <w:widowControl w:val="0"/>
        <w:ind w:left="567" w:hanging="567"/>
        <w:rPr>
          <w:b/>
          <w:caps/>
          <w:color w:val="000000"/>
          <w:sz w:val="22"/>
          <w:szCs w:val="22"/>
        </w:rPr>
      </w:pPr>
      <w:r w:rsidRPr="00F93FFA">
        <w:rPr>
          <w:b/>
          <w:caps/>
          <w:color w:val="000000"/>
          <w:sz w:val="22"/>
          <w:szCs w:val="22"/>
        </w:rPr>
        <w:lastRenderedPageBreak/>
        <w:t>5.</w:t>
      </w:r>
      <w:r w:rsidRPr="00F93FFA">
        <w:rPr>
          <w:b/>
          <w:caps/>
          <w:color w:val="000000"/>
          <w:sz w:val="22"/>
          <w:szCs w:val="22"/>
        </w:rPr>
        <w:tab/>
      </w:r>
      <w:r w:rsidRPr="00F93FFA">
        <w:rPr>
          <w:b/>
          <w:color w:val="000000"/>
          <w:sz w:val="22"/>
          <w:szCs w:val="22"/>
        </w:rPr>
        <w:t xml:space="preserve">FARMAKOLOGINĖS </w:t>
      </w:r>
      <w:r w:rsidRPr="00F93FFA">
        <w:rPr>
          <w:b/>
          <w:caps/>
          <w:color w:val="000000"/>
          <w:sz w:val="22"/>
          <w:szCs w:val="22"/>
        </w:rPr>
        <w:t>savybės</w:t>
      </w:r>
    </w:p>
    <w:p w14:paraId="0687D02C" w14:textId="77777777" w:rsidR="00314B70" w:rsidRPr="00F93FFA" w:rsidRDefault="00314B70" w:rsidP="008B45F8">
      <w:pPr>
        <w:keepNext/>
        <w:widowControl w:val="0"/>
        <w:ind w:left="567" w:hanging="567"/>
        <w:rPr>
          <w:color w:val="000000"/>
          <w:sz w:val="22"/>
          <w:szCs w:val="22"/>
        </w:rPr>
      </w:pPr>
    </w:p>
    <w:p w14:paraId="2349EC19" w14:textId="77777777" w:rsidR="00314B70" w:rsidRPr="00F93FFA" w:rsidRDefault="00314B70" w:rsidP="008B45F8">
      <w:pPr>
        <w:keepNext/>
        <w:widowControl w:val="0"/>
        <w:ind w:left="567" w:hanging="567"/>
        <w:rPr>
          <w:b/>
          <w:color w:val="000000"/>
          <w:sz w:val="22"/>
          <w:szCs w:val="22"/>
        </w:rPr>
      </w:pPr>
      <w:r w:rsidRPr="00F93FFA">
        <w:rPr>
          <w:b/>
          <w:color w:val="000000"/>
          <w:sz w:val="22"/>
          <w:szCs w:val="22"/>
        </w:rPr>
        <w:t>5.1</w:t>
      </w:r>
      <w:r w:rsidRPr="00F93FFA">
        <w:rPr>
          <w:b/>
          <w:color w:val="000000"/>
          <w:sz w:val="22"/>
          <w:szCs w:val="22"/>
        </w:rPr>
        <w:tab/>
        <w:t>Farmakodinaminės savybės</w:t>
      </w:r>
    </w:p>
    <w:p w14:paraId="65F332D4" w14:textId="77777777" w:rsidR="00314B70" w:rsidRPr="00F93FFA" w:rsidRDefault="00314B70" w:rsidP="008B45F8">
      <w:pPr>
        <w:keepNext/>
        <w:widowControl w:val="0"/>
        <w:ind w:left="567" w:hanging="567"/>
        <w:rPr>
          <w:color w:val="000000"/>
          <w:sz w:val="22"/>
          <w:szCs w:val="22"/>
        </w:rPr>
      </w:pPr>
    </w:p>
    <w:p w14:paraId="3DF1CE40" w14:textId="77777777" w:rsidR="00314B70" w:rsidRPr="00F93FFA" w:rsidRDefault="00314B70" w:rsidP="008B45F8">
      <w:pPr>
        <w:keepNext/>
        <w:widowControl w:val="0"/>
        <w:ind w:left="567" w:hanging="567"/>
        <w:rPr>
          <w:color w:val="000000"/>
          <w:sz w:val="22"/>
          <w:szCs w:val="22"/>
        </w:rPr>
      </w:pPr>
      <w:r w:rsidRPr="00F93FFA">
        <w:rPr>
          <w:color w:val="000000"/>
          <w:sz w:val="22"/>
          <w:szCs w:val="22"/>
        </w:rPr>
        <w:t>Farmakoterapinė grupė – baltymo tirozino kinazės inhibitorius, ATC kodas – L01XE01</w:t>
      </w:r>
    </w:p>
    <w:p w14:paraId="008241EC" w14:textId="77777777" w:rsidR="00314B70" w:rsidRPr="00F93FFA" w:rsidRDefault="00314B70" w:rsidP="008B45F8">
      <w:pPr>
        <w:pStyle w:val="EndnoteText"/>
        <w:keepNext/>
        <w:widowControl w:val="0"/>
        <w:tabs>
          <w:tab w:val="clear" w:pos="567"/>
        </w:tabs>
        <w:rPr>
          <w:color w:val="000000"/>
          <w:szCs w:val="22"/>
          <w:u w:val="single"/>
          <w:lang w:val="lt-LT"/>
        </w:rPr>
      </w:pPr>
    </w:p>
    <w:p w14:paraId="2027B7F4" w14:textId="77777777" w:rsidR="00314B70" w:rsidRPr="00F93FFA" w:rsidRDefault="00314B70" w:rsidP="008B45F8">
      <w:pPr>
        <w:pStyle w:val="EndnoteText"/>
        <w:keepNext/>
        <w:widowControl w:val="0"/>
        <w:tabs>
          <w:tab w:val="clear" w:pos="567"/>
        </w:tabs>
        <w:rPr>
          <w:color w:val="000000"/>
          <w:szCs w:val="22"/>
          <w:u w:val="single"/>
          <w:lang w:val="lt-LT"/>
        </w:rPr>
      </w:pPr>
      <w:r w:rsidRPr="00F93FFA">
        <w:rPr>
          <w:color w:val="000000"/>
          <w:szCs w:val="22"/>
          <w:u w:val="single"/>
          <w:lang w:val="lt-LT"/>
        </w:rPr>
        <w:t>Veikimo mechanizmas</w:t>
      </w:r>
    </w:p>
    <w:p w14:paraId="2EC8CE7B" w14:textId="55271751" w:rsidR="00314B70" w:rsidRPr="005205BF" w:rsidRDefault="00314B70" w:rsidP="00DE16D0">
      <w:pPr>
        <w:pStyle w:val="EndnoteText"/>
        <w:widowControl w:val="0"/>
        <w:tabs>
          <w:tab w:val="clear" w:pos="567"/>
        </w:tabs>
        <w:rPr>
          <w:szCs w:val="22"/>
          <w:lang w:val="lt-LT"/>
        </w:rPr>
      </w:pPr>
      <w:r w:rsidRPr="00F93FFA">
        <w:rPr>
          <w:szCs w:val="22"/>
          <w:lang w:val="lt-LT"/>
        </w:rPr>
        <w:t xml:space="preserve">Imatinibas yra nedidelė </w:t>
      </w:r>
      <w:r w:rsidRPr="00F93FFA">
        <w:rPr>
          <w:color w:val="000000"/>
          <w:szCs w:val="22"/>
          <w:lang w:val="lt-LT"/>
        </w:rPr>
        <w:t>baltymo tirozino kinazės inhibitoriaus</w:t>
      </w:r>
      <w:r w:rsidRPr="00F93FFA">
        <w:rPr>
          <w:szCs w:val="22"/>
          <w:lang w:val="lt-LT"/>
        </w:rPr>
        <w:t xml:space="preserve"> molekulė, kuri stipriai slopina Bcr</w:t>
      </w:r>
      <w:r w:rsidR="003429B0" w:rsidRPr="00F93FFA">
        <w:rPr>
          <w:szCs w:val="22"/>
          <w:lang w:val="lt-LT"/>
        </w:rPr>
        <w:noBreakHyphen/>
      </w:r>
      <w:r w:rsidRPr="00F93FFA">
        <w:rPr>
          <w:szCs w:val="22"/>
          <w:lang w:val="lt-LT"/>
        </w:rPr>
        <w:t xml:space="preserve">Abl </w:t>
      </w:r>
      <w:r w:rsidRPr="00F93FFA">
        <w:rPr>
          <w:color w:val="000000"/>
          <w:szCs w:val="22"/>
          <w:lang w:val="lt-LT"/>
        </w:rPr>
        <w:t xml:space="preserve">tirozino kinazės </w:t>
      </w:r>
      <w:r w:rsidRPr="00F93FFA">
        <w:rPr>
          <w:szCs w:val="22"/>
          <w:lang w:val="lt-LT"/>
        </w:rPr>
        <w:t>(TK) aktyvumą, taip pat keleto TK receptorių aktyvumą: Kit, c</w:t>
      </w:r>
      <w:r w:rsidR="003429B0" w:rsidRPr="00F93FFA">
        <w:rPr>
          <w:szCs w:val="22"/>
          <w:lang w:val="lt-LT"/>
        </w:rPr>
        <w:noBreakHyphen/>
      </w:r>
      <w:r w:rsidRPr="00F93FFA">
        <w:rPr>
          <w:szCs w:val="22"/>
          <w:lang w:val="lt-LT"/>
        </w:rPr>
        <w:t xml:space="preserve">Kit proto-onkogeną koduojančio kamieninių ląstelių faktoriaus (angl. </w:t>
      </w:r>
      <w:r w:rsidRPr="00F93FFA">
        <w:rPr>
          <w:i/>
          <w:szCs w:val="22"/>
          <w:lang w:val="lt-LT"/>
        </w:rPr>
        <w:t>stem cell factor – SCF</w:t>
      </w:r>
      <w:r w:rsidRPr="00F93FFA">
        <w:rPr>
          <w:szCs w:val="22"/>
          <w:lang w:val="lt-LT"/>
        </w:rPr>
        <w:t xml:space="preserve">) receptorių, diskoidino domeno receptorius (DDR1 ir DDR2), kolonijas stimuliuojančio faktoriaus receptorių (angl. </w:t>
      </w:r>
      <w:r w:rsidRPr="00F93FFA">
        <w:rPr>
          <w:i/>
          <w:szCs w:val="22"/>
          <w:lang w:val="lt-LT"/>
        </w:rPr>
        <w:t>colony stimulating factor receptor – CSF-1R</w:t>
      </w:r>
      <w:r w:rsidRPr="00F93FFA">
        <w:rPr>
          <w:szCs w:val="22"/>
          <w:lang w:val="lt-LT"/>
        </w:rPr>
        <w:t xml:space="preserve">) bei trombocituose esančius augimo faktoriaus receptorius alfa ir beta (angl. </w:t>
      </w:r>
      <w:r w:rsidRPr="00F93FFA">
        <w:rPr>
          <w:i/>
          <w:szCs w:val="22"/>
          <w:lang w:val="lt-LT"/>
        </w:rPr>
        <w:t>platelet-derived growth factor receptors – PDGFR-alpha, PDGFR-beta</w:t>
      </w:r>
      <w:r w:rsidRPr="00F93FFA">
        <w:rPr>
          <w:szCs w:val="22"/>
          <w:lang w:val="lt-LT"/>
        </w:rPr>
        <w:t>). Imatinibas taip pat gali slopinti ląstelių procesus, kuriuos skatina šių receptorių kinazių aktyvinimas.</w:t>
      </w:r>
    </w:p>
    <w:p w14:paraId="68A6048F" w14:textId="77777777" w:rsidR="00314B70" w:rsidRPr="005205BF" w:rsidRDefault="00314B70" w:rsidP="00DE16D0">
      <w:pPr>
        <w:pStyle w:val="EndnoteText"/>
        <w:widowControl w:val="0"/>
        <w:tabs>
          <w:tab w:val="clear" w:pos="567"/>
        </w:tabs>
        <w:rPr>
          <w:szCs w:val="22"/>
          <w:lang w:val="lt-LT"/>
        </w:rPr>
      </w:pPr>
    </w:p>
    <w:p w14:paraId="4409C92A" w14:textId="77777777" w:rsidR="00314B70" w:rsidRPr="00F93FFA" w:rsidRDefault="00314B70" w:rsidP="008B45F8">
      <w:pPr>
        <w:pStyle w:val="EndnoteText"/>
        <w:keepNext/>
        <w:widowControl w:val="0"/>
        <w:tabs>
          <w:tab w:val="clear" w:pos="567"/>
        </w:tabs>
        <w:rPr>
          <w:color w:val="000000"/>
          <w:szCs w:val="22"/>
        </w:rPr>
      </w:pPr>
      <w:r w:rsidRPr="00F93FFA">
        <w:rPr>
          <w:color w:val="000000"/>
          <w:szCs w:val="22"/>
          <w:u w:val="single"/>
          <w:lang w:val="lt-LT"/>
        </w:rPr>
        <w:t>Farmakodinaminis poveikis</w:t>
      </w:r>
    </w:p>
    <w:p w14:paraId="46771EEF" w14:textId="0D502D3E" w:rsidR="00314B70" w:rsidRPr="00F93FFA" w:rsidRDefault="00314B70" w:rsidP="00DE16D0">
      <w:pPr>
        <w:pStyle w:val="EndnoteText"/>
        <w:widowControl w:val="0"/>
        <w:tabs>
          <w:tab w:val="clear" w:pos="567"/>
        </w:tabs>
        <w:rPr>
          <w:color w:val="000000"/>
          <w:szCs w:val="22"/>
          <w:lang w:val="lt-LT"/>
        </w:rPr>
      </w:pPr>
      <w:r w:rsidRPr="00F93FFA">
        <w:rPr>
          <w:color w:val="000000"/>
          <w:szCs w:val="22"/>
          <w:lang w:val="lt-LT"/>
        </w:rPr>
        <w:t xml:space="preserve">Imatinibas yra proteintirozinkinazės inhibitorius, kuris </w:t>
      </w:r>
      <w:r w:rsidRPr="00F93FFA">
        <w:rPr>
          <w:i/>
          <w:color w:val="000000"/>
          <w:szCs w:val="22"/>
          <w:lang w:val="lt-LT"/>
        </w:rPr>
        <w:t>in vitro</w:t>
      </w:r>
      <w:r w:rsidRPr="00F93FFA">
        <w:rPr>
          <w:color w:val="000000"/>
          <w:szCs w:val="22"/>
          <w:lang w:val="lt-LT"/>
        </w:rPr>
        <w:t xml:space="preserve">, ląstelės lygmenyje ir </w:t>
      </w:r>
      <w:r w:rsidRPr="00F93FFA">
        <w:rPr>
          <w:i/>
          <w:color w:val="000000"/>
          <w:szCs w:val="22"/>
          <w:lang w:val="lt-LT"/>
        </w:rPr>
        <w:t>in vivo</w:t>
      </w:r>
      <w:r w:rsidRPr="00F93FFA">
        <w:rPr>
          <w:color w:val="000000"/>
          <w:szCs w:val="22"/>
          <w:lang w:val="lt-LT"/>
        </w:rPr>
        <w:t xml:space="preserve"> stipriai slopina Bcr</w:t>
      </w:r>
      <w:r w:rsidR="003429B0" w:rsidRPr="00F93FFA">
        <w:rPr>
          <w:color w:val="000000"/>
          <w:szCs w:val="22"/>
          <w:lang w:val="lt-LT"/>
        </w:rPr>
        <w:noBreakHyphen/>
      </w:r>
      <w:r w:rsidRPr="00F93FFA">
        <w:rPr>
          <w:color w:val="000000"/>
          <w:szCs w:val="22"/>
          <w:lang w:val="lt-LT"/>
        </w:rPr>
        <w:t>Abl tirozinkinazę. Junginys selektyviai slopina proliferaciją ir indukuoja apoptozę Bcr</w:t>
      </w:r>
      <w:r w:rsidR="003429B0" w:rsidRPr="00F93FFA">
        <w:rPr>
          <w:color w:val="000000"/>
          <w:szCs w:val="22"/>
          <w:lang w:val="lt-LT"/>
        </w:rPr>
        <w:noBreakHyphen/>
      </w:r>
      <w:r w:rsidRPr="00F93FFA">
        <w:rPr>
          <w:color w:val="000000"/>
          <w:szCs w:val="22"/>
          <w:lang w:val="lt-LT"/>
        </w:rPr>
        <w:t xml:space="preserve">Abl teigiamose ląstelių eilėse, taip pat šviežiose leukeminėse ląstelėse, gautose iš </w:t>
      </w:r>
      <w:r w:rsidRPr="00F93FFA">
        <w:rPr>
          <w:i/>
          <w:color w:val="000000"/>
          <w:szCs w:val="22"/>
          <w:lang w:val="lt-LT"/>
        </w:rPr>
        <w:t>Philadelphia</w:t>
      </w:r>
      <w:r w:rsidRPr="00F93FFA">
        <w:rPr>
          <w:color w:val="000000"/>
          <w:szCs w:val="22"/>
          <w:lang w:val="lt-LT"/>
        </w:rPr>
        <w:t xml:space="preserve"> chromosomai teigiamų LML ir ūmine limfoblastine leukemija (ŪLL) sergančių pacientų.</w:t>
      </w:r>
    </w:p>
    <w:p w14:paraId="62EA8606" w14:textId="77777777" w:rsidR="00314B70" w:rsidRPr="00F93FFA" w:rsidRDefault="00314B70" w:rsidP="00DE16D0">
      <w:pPr>
        <w:widowControl w:val="0"/>
        <w:rPr>
          <w:color w:val="000000"/>
          <w:sz w:val="22"/>
          <w:szCs w:val="22"/>
        </w:rPr>
      </w:pPr>
    </w:p>
    <w:p w14:paraId="5A246DCB" w14:textId="77777777" w:rsidR="00314B70" w:rsidRPr="00F93FFA" w:rsidRDefault="00314B70" w:rsidP="00DE16D0">
      <w:pPr>
        <w:widowControl w:val="0"/>
        <w:rPr>
          <w:color w:val="000000"/>
          <w:sz w:val="22"/>
          <w:szCs w:val="22"/>
        </w:rPr>
      </w:pPr>
      <w:r w:rsidRPr="00F93FFA">
        <w:rPr>
          <w:i/>
          <w:color w:val="000000"/>
          <w:sz w:val="22"/>
          <w:szCs w:val="22"/>
        </w:rPr>
        <w:t>In vivo</w:t>
      </w:r>
      <w:r w:rsidRPr="00F93FFA">
        <w:rPr>
          <w:color w:val="000000"/>
          <w:sz w:val="22"/>
          <w:szCs w:val="22"/>
        </w:rPr>
        <w:t xml:space="preserve"> gyvūnų modelyje su Bcr</w:t>
      </w:r>
      <w:r w:rsidRPr="00F93FFA">
        <w:rPr>
          <w:color w:val="000000"/>
          <w:sz w:val="22"/>
          <w:szCs w:val="22"/>
        </w:rPr>
        <w:noBreakHyphen/>
        <w:t>Abl teigiamomis naviko ląstelėmis junginiui (monoterapijoje) būdingas antinavikinis aktyvumas.</w:t>
      </w:r>
    </w:p>
    <w:p w14:paraId="4294E7E0" w14:textId="77777777" w:rsidR="00314B70" w:rsidRPr="00F93FFA" w:rsidRDefault="00314B70" w:rsidP="00DE16D0">
      <w:pPr>
        <w:widowControl w:val="0"/>
        <w:rPr>
          <w:color w:val="000000"/>
          <w:sz w:val="22"/>
          <w:szCs w:val="22"/>
        </w:rPr>
      </w:pPr>
    </w:p>
    <w:p w14:paraId="65906220" w14:textId="70C76BB1" w:rsidR="00314B70" w:rsidRPr="00F93FFA" w:rsidRDefault="00314B70" w:rsidP="00DE16D0">
      <w:pPr>
        <w:widowControl w:val="0"/>
        <w:rPr>
          <w:color w:val="000000"/>
          <w:sz w:val="22"/>
          <w:szCs w:val="22"/>
        </w:rPr>
      </w:pPr>
      <w:r w:rsidRPr="00F93FFA">
        <w:rPr>
          <w:color w:val="000000"/>
          <w:sz w:val="22"/>
          <w:szCs w:val="22"/>
        </w:rPr>
        <w:t>Imatinibas taip pat yra trombocitų kilmės augimo faktoriaus (</w:t>
      </w:r>
      <w:r w:rsidRPr="00F93FFA">
        <w:rPr>
          <w:i/>
          <w:color w:val="000000"/>
          <w:sz w:val="22"/>
          <w:szCs w:val="22"/>
        </w:rPr>
        <w:t>platelet-derived growth factor</w:t>
      </w:r>
      <w:r w:rsidRPr="00F93FFA">
        <w:rPr>
          <w:color w:val="000000"/>
          <w:sz w:val="22"/>
          <w:szCs w:val="22"/>
        </w:rPr>
        <w:t>, PDGF) tirozinkinazių receptorių, PDGF</w:t>
      </w:r>
      <w:r w:rsidR="003429B0" w:rsidRPr="00F93FFA">
        <w:rPr>
          <w:color w:val="000000"/>
          <w:sz w:val="22"/>
          <w:szCs w:val="22"/>
        </w:rPr>
        <w:noBreakHyphen/>
      </w:r>
      <w:r w:rsidRPr="00F93FFA">
        <w:rPr>
          <w:color w:val="000000"/>
          <w:sz w:val="22"/>
          <w:szCs w:val="22"/>
        </w:rPr>
        <w:t>R, kamieninių ląstelių faktoriaus (</w:t>
      </w:r>
      <w:r w:rsidRPr="00F93FFA">
        <w:rPr>
          <w:i/>
          <w:color w:val="000000"/>
          <w:sz w:val="22"/>
          <w:szCs w:val="22"/>
        </w:rPr>
        <w:t>stem cell factor</w:t>
      </w:r>
      <w:r w:rsidRPr="00F93FFA">
        <w:rPr>
          <w:color w:val="000000"/>
          <w:sz w:val="22"/>
          <w:szCs w:val="22"/>
        </w:rPr>
        <w:t>, SCF), c</w:t>
      </w:r>
      <w:r w:rsidR="003429B0" w:rsidRPr="00F93FFA">
        <w:rPr>
          <w:color w:val="000000"/>
          <w:sz w:val="22"/>
          <w:szCs w:val="22"/>
        </w:rPr>
        <w:noBreakHyphen/>
      </w:r>
      <w:r w:rsidRPr="00F93FFA">
        <w:rPr>
          <w:color w:val="000000"/>
          <w:sz w:val="22"/>
          <w:szCs w:val="22"/>
        </w:rPr>
        <w:t xml:space="preserve">Kit inhibitorius. Jis slopina PDGF ir SCF medijuojamus ląstelių procesus. </w:t>
      </w:r>
      <w:r w:rsidRPr="00F93FFA">
        <w:rPr>
          <w:i/>
          <w:color w:val="000000"/>
          <w:sz w:val="22"/>
          <w:szCs w:val="22"/>
        </w:rPr>
        <w:t>In vitro</w:t>
      </w:r>
      <w:r w:rsidRPr="00F93FFA">
        <w:rPr>
          <w:color w:val="000000"/>
          <w:sz w:val="22"/>
          <w:szCs w:val="22"/>
        </w:rPr>
        <w:t xml:space="preserve"> imatinibas slopina proliferaciją ir indukuoja virškinimo trakto stromos naviko (VTSN) ląstelių, kurios ekspresuoja aktyvintą </w:t>
      </w:r>
      <w:r w:rsidRPr="00F93FFA">
        <w:rPr>
          <w:i/>
          <w:color w:val="000000"/>
          <w:sz w:val="22"/>
          <w:szCs w:val="22"/>
        </w:rPr>
        <w:t>kit</w:t>
      </w:r>
      <w:r w:rsidRPr="00F93FFA">
        <w:rPr>
          <w:color w:val="000000"/>
          <w:sz w:val="22"/>
          <w:szCs w:val="22"/>
        </w:rPr>
        <w:t xml:space="preserve"> mutaciją, apoptozę. MDS/MPL, HES/LEL ir DFSP patogenezėje svarbus PDGF receptorių ar Abl baltymo tirozino kinazės aktyvavymas, kurį gali skatinti jungimasis su įvairiais baltymais ar PDGF gamyba. Imatinibas slopina sutrikusio PDGFR ir Abl kinazės aktyvumo sukeltą signalo perdavimą ir ląstelių dauginimąsi.</w:t>
      </w:r>
    </w:p>
    <w:p w14:paraId="6F115916" w14:textId="77777777" w:rsidR="00314B70" w:rsidRPr="00F93FFA" w:rsidRDefault="00314B70" w:rsidP="00DE16D0">
      <w:pPr>
        <w:widowControl w:val="0"/>
        <w:ind w:left="567" w:hanging="567"/>
        <w:rPr>
          <w:color w:val="000000"/>
          <w:sz w:val="22"/>
          <w:szCs w:val="22"/>
        </w:rPr>
      </w:pPr>
    </w:p>
    <w:p w14:paraId="07939DAD" w14:textId="77777777" w:rsidR="00314B70" w:rsidRPr="00F93FFA" w:rsidRDefault="00314B70" w:rsidP="008B45F8">
      <w:pPr>
        <w:keepNext/>
        <w:widowControl w:val="0"/>
        <w:rPr>
          <w:color w:val="000000"/>
          <w:sz w:val="22"/>
          <w:szCs w:val="22"/>
          <w:u w:val="single"/>
        </w:rPr>
      </w:pPr>
      <w:r w:rsidRPr="00F93FFA">
        <w:rPr>
          <w:color w:val="000000"/>
          <w:sz w:val="22"/>
          <w:szCs w:val="22"/>
          <w:u w:val="single"/>
        </w:rPr>
        <w:t>Klinikiniai lėtinės mieloleukemijos tyrimai</w:t>
      </w:r>
    </w:p>
    <w:p w14:paraId="4514B2EA" w14:textId="77777777" w:rsidR="00314B70" w:rsidRPr="00F93FFA" w:rsidRDefault="00314B70" w:rsidP="00DE16D0">
      <w:pPr>
        <w:widowControl w:val="0"/>
        <w:rPr>
          <w:color w:val="000000"/>
          <w:sz w:val="22"/>
          <w:szCs w:val="22"/>
        </w:rPr>
      </w:pPr>
      <w:r w:rsidRPr="00F93FFA">
        <w:rPr>
          <w:color w:val="000000"/>
          <w:sz w:val="22"/>
          <w:szCs w:val="22"/>
        </w:rPr>
        <w:t>Glivec veiksmingumas nustatomas bendra hematologinio ir citogenetinio atsako dalimi ir gyvenimo trukme be ligos progresavimo. Išskyrus su naujai diagnozuota lėtine LML faze susijusį tyrimą, kontroliuotų klinikinių tyrimų, įrodančių klinikinę naudą, t.</w:t>
      </w:r>
      <w:r w:rsidR="00957B98" w:rsidRPr="00F93FFA">
        <w:rPr>
          <w:color w:val="000000"/>
          <w:sz w:val="22"/>
          <w:szCs w:val="22"/>
        </w:rPr>
        <w:t> </w:t>
      </w:r>
      <w:r w:rsidRPr="00F93FFA">
        <w:rPr>
          <w:color w:val="000000"/>
          <w:sz w:val="22"/>
          <w:szCs w:val="22"/>
        </w:rPr>
        <w:t>y., nuo ligos priklausomų požymių išnykimą ar pailgėjusią gyvenimo trukmę, neatlikta.</w:t>
      </w:r>
    </w:p>
    <w:p w14:paraId="46209645" w14:textId="77777777" w:rsidR="00314B70" w:rsidRPr="00F93FFA" w:rsidRDefault="00314B70" w:rsidP="00DE16D0">
      <w:pPr>
        <w:widowControl w:val="0"/>
        <w:rPr>
          <w:color w:val="000000"/>
          <w:sz w:val="22"/>
          <w:szCs w:val="22"/>
        </w:rPr>
      </w:pPr>
    </w:p>
    <w:p w14:paraId="6B31B80B" w14:textId="77777777" w:rsidR="00314B70" w:rsidRPr="00F93FFA" w:rsidRDefault="00314B70" w:rsidP="00DE16D0">
      <w:pPr>
        <w:widowControl w:val="0"/>
        <w:rPr>
          <w:color w:val="000000"/>
          <w:sz w:val="22"/>
          <w:szCs w:val="22"/>
        </w:rPr>
      </w:pPr>
      <w:r w:rsidRPr="00F93FFA">
        <w:rPr>
          <w:color w:val="000000"/>
          <w:sz w:val="22"/>
          <w:szCs w:val="22"/>
        </w:rPr>
        <w:t xml:space="preserve">Atlikti trys dideli tarptautiniai, atviri, nekontroliuojami II fazės tyrimai pacientams, kuriems buvo </w:t>
      </w:r>
      <w:r w:rsidRPr="00F93FFA">
        <w:rPr>
          <w:i/>
          <w:color w:val="000000"/>
          <w:sz w:val="22"/>
          <w:szCs w:val="22"/>
        </w:rPr>
        <w:t>Philadelphia</w:t>
      </w:r>
      <w:r w:rsidRPr="00F93FFA">
        <w:rPr>
          <w:color w:val="000000"/>
          <w:sz w:val="22"/>
          <w:szCs w:val="22"/>
        </w:rPr>
        <w:t xml:space="preserve"> chromosomai teigiamos (Ph+) LML progresavusi, blastinė ar akceleracijos fazė, kitos Ph+ leukemijos ar LML lėtinė fazė, bet neefektyvus ankstesnis gydymas interferonu alfa (IFN). Vienas didelis, atviras, daugiacentris, tarptautinis randomizuotas III fazės tyrimas atliktas pacientams, kuriems buvo naujai diagnozuota Ph+ LML. Be to, vaikai buvo gydomi dviejų I fazės tyrimų ir vieno II fazės tyrimo metu.</w:t>
      </w:r>
    </w:p>
    <w:p w14:paraId="6D6E7C2C" w14:textId="77777777" w:rsidR="00314B70" w:rsidRPr="00F93FFA" w:rsidRDefault="00314B70" w:rsidP="00DE16D0">
      <w:pPr>
        <w:widowControl w:val="0"/>
        <w:rPr>
          <w:color w:val="000000"/>
          <w:sz w:val="22"/>
          <w:szCs w:val="22"/>
        </w:rPr>
      </w:pPr>
    </w:p>
    <w:p w14:paraId="429E9FB1" w14:textId="77777777" w:rsidR="00314B70" w:rsidRPr="00F93FFA" w:rsidRDefault="00314B70" w:rsidP="00DE16D0">
      <w:pPr>
        <w:widowControl w:val="0"/>
        <w:rPr>
          <w:color w:val="000000"/>
          <w:sz w:val="22"/>
          <w:szCs w:val="22"/>
        </w:rPr>
      </w:pPr>
      <w:r w:rsidRPr="00F93FFA">
        <w:rPr>
          <w:color w:val="000000"/>
          <w:sz w:val="22"/>
          <w:szCs w:val="22"/>
        </w:rPr>
        <w:t xml:space="preserve">38–40 % visuose tyrimuose dalyvavusių pacientų buvo </w:t>
      </w:r>
      <w:r w:rsidRPr="00F93FFA">
        <w:rPr>
          <w:color w:val="000000"/>
          <w:sz w:val="22"/>
          <w:szCs w:val="22"/>
        </w:rPr>
        <w:sym w:font="Symbol" w:char="F0B3"/>
      </w:r>
      <w:r w:rsidRPr="00F93FFA">
        <w:rPr>
          <w:color w:val="000000"/>
          <w:sz w:val="22"/>
          <w:szCs w:val="22"/>
        </w:rPr>
        <w:t xml:space="preserve"> 60 metų ir 10–12 % – </w:t>
      </w:r>
      <w:r w:rsidRPr="00F93FFA">
        <w:rPr>
          <w:color w:val="000000"/>
          <w:sz w:val="22"/>
          <w:szCs w:val="22"/>
        </w:rPr>
        <w:sym w:font="Symbol" w:char="F0B3"/>
      </w:r>
      <w:r w:rsidRPr="00F93FFA">
        <w:rPr>
          <w:color w:val="000000"/>
          <w:sz w:val="22"/>
          <w:szCs w:val="22"/>
        </w:rPr>
        <w:t> 70 metų.</w:t>
      </w:r>
    </w:p>
    <w:p w14:paraId="5A611EF1" w14:textId="77777777" w:rsidR="00314B70" w:rsidRPr="00F93FFA" w:rsidRDefault="00314B70" w:rsidP="00DE16D0">
      <w:pPr>
        <w:widowControl w:val="0"/>
        <w:ind w:left="567" w:hanging="567"/>
        <w:rPr>
          <w:color w:val="000000"/>
          <w:sz w:val="22"/>
          <w:szCs w:val="22"/>
        </w:rPr>
      </w:pPr>
    </w:p>
    <w:p w14:paraId="5AECF4FE" w14:textId="77777777" w:rsidR="00314B70" w:rsidRPr="00F93FFA" w:rsidRDefault="00314B70" w:rsidP="00DE16D0">
      <w:pPr>
        <w:widowControl w:val="0"/>
        <w:rPr>
          <w:color w:val="000000"/>
          <w:sz w:val="22"/>
          <w:szCs w:val="22"/>
        </w:rPr>
      </w:pPr>
      <w:r w:rsidRPr="00F93FFA">
        <w:rPr>
          <w:i/>
          <w:color w:val="000000"/>
          <w:sz w:val="22"/>
          <w:szCs w:val="22"/>
        </w:rPr>
        <w:t>Naujai diagnozuota lėtinė fazė</w:t>
      </w:r>
      <w:r w:rsidRPr="00F93FFA">
        <w:rPr>
          <w:color w:val="000000"/>
          <w:sz w:val="22"/>
          <w:szCs w:val="22"/>
        </w:rPr>
        <w:t xml:space="preserve">. Šio III fazės tyrimo suaugusiųjų tarpe metu buvo lygintas gydymas vienu Glivec ir gydymas interferonu alfa (IFN) su citarabinu (Ara-C). Pacientams, kuriems negauta atsako (po 6 mėnesių gydymo nebuvo visiško hematologinio atsako (VHA), po 24 mėnesių padidėjo BKK, nebuvo ryškaus citogenetinio atsako (MCyR)), atsakas išnyko (išnyko VHA ar MCyR) ar visiškai netoleravo gydymo, buvo leista keisti gydymą į alternatyvų (kitos grupės). Glivec grupės pacientai vartojo po 400 mg </w:t>
      </w:r>
      <w:r w:rsidR="00D62405" w:rsidRPr="00F93FFA">
        <w:rPr>
          <w:color w:val="000000"/>
          <w:sz w:val="22"/>
          <w:szCs w:val="22"/>
        </w:rPr>
        <w:t xml:space="preserve">vaistinio preparato </w:t>
      </w:r>
      <w:r w:rsidRPr="00F93FFA">
        <w:rPr>
          <w:color w:val="000000"/>
          <w:sz w:val="22"/>
          <w:szCs w:val="22"/>
        </w:rPr>
        <w:t>per parą. IFN grupės tiriamieji buvo gydomi po 5 milijonus TV/m</w:t>
      </w:r>
      <w:r w:rsidRPr="00F93FFA">
        <w:rPr>
          <w:color w:val="000000"/>
          <w:sz w:val="22"/>
          <w:szCs w:val="22"/>
          <w:vertAlign w:val="superscript"/>
        </w:rPr>
        <w:t>2</w:t>
      </w:r>
      <w:r w:rsidRPr="00F93FFA">
        <w:rPr>
          <w:color w:val="000000"/>
          <w:sz w:val="22"/>
          <w:szCs w:val="22"/>
        </w:rPr>
        <w:t xml:space="preserve"> IFN per parą į poodį kartu su poodiniu Ara-C po 20 mg/m</w:t>
      </w:r>
      <w:r w:rsidRPr="00F93FFA">
        <w:rPr>
          <w:color w:val="000000"/>
          <w:sz w:val="22"/>
          <w:szCs w:val="22"/>
          <w:vertAlign w:val="superscript"/>
        </w:rPr>
        <w:t>2</w:t>
      </w:r>
      <w:r w:rsidRPr="00F93FFA">
        <w:rPr>
          <w:color w:val="000000"/>
          <w:sz w:val="22"/>
          <w:szCs w:val="22"/>
        </w:rPr>
        <w:t xml:space="preserve"> per parą 10 dienų per mėnesį.</w:t>
      </w:r>
    </w:p>
    <w:p w14:paraId="4F7F8E43" w14:textId="77777777" w:rsidR="00314B70" w:rsidRPr="00F93FFA" w:rsidRDefault="00314B70" w:rsidP="00DE16D0">
      <w:pPr>
        <w:widowControl w:val="0"/>
        <w:rPr>
          <w:color w:val="000000"/>
          <w:sz w:val="22"/>
          <w:szCs w:val="22"/>
        </w:rPr>
      </w:pPr>
    </w:p>
    <w:p w14:paraId="6B817FF2" w14:textId="77777777" w:rsidR="00314B70" w:rsidRPr="00F93FFA" w:rsidRDefault="00314B70" w:rsidP="00DE16D0">
      <w:pPr>
        <w:pStyle w:val="EndnoteText"/>
        <w:widowControl w:val="0"/>
        <w:rPr>
          <w:color w:val="000000"/>
          <w:szCs w:val="22"/>
          <w:lang w:val="lt-LT"/>
        </w:rPr>
      </w:pPr>
      <w:r w:rsidRPr="00F93FFA">
        <w:rPr>
          <w:color w:val="000000"/>
          <w:szCs w:val="22"/>
          <w:lang w:val="lt-LT"/>
        </w:rPr>
        <w:lastRenderedPageBreak/>
        <w:t xml:space="preserve">Iš viso atsitiktinai atrinkti 1 106 pacientai, po 553 kiekvienoje grupėje. Pradinės abiejų grupių pacientų savybės buvo labai panašios. Vidurinis amžius buvo 51 metai (ribos – 18–70 metų), 21,9 % pacientų –≥ 60 metų. Iš jų buvo 59 % vyrų ir 41 % moterų; 89,9 % baltosios rasės ir 4,7 % juodaodžių. Praėjus septyneriems metams po paskutinio paciento įtraukimo į tyrimą, pirmos eilės gydymo trukmės mediana buvo 82 mėnesiai Glivec grupėje ir 8 mėnesiai IFN grupėje. Antros eilės gydymo Glivec trukmės mediana buvo 64 mėnesiai. Pacientų, gavusių pirmos eilės gydymą Glivec, vidutinė paros dozė buvo </w:t>
      </w:r>
      <w:r w:rsidRPr="00F93FFA">
        <w:rPr>
          <w:color w:val="000000"/>
        </w:rPr>
        <w:t>406 </w:t>
      </w:r>
      <w:r w:rsidRPr="00F93FFA">
        <w:rPr>
          <w:color w:val="000000"/>
          <w:szCs w:val="22"/>
          <w:lang w:val="lt-LT"/>
        </w:rPr>
        <w:t xml:space="preserve">± 76 mg. Pagrindinis veiksmingumą atspindintis tyrimo rezultatas yra gyvenimo trukmė be ligos progresavimo. Progresavimas apibūdinamas bet kuriuo iš šių reiškinių: progresavimas iki akceleracijos fazės ar blastinės krizės, mirtis, išnykę VHA ar MCyR, arba pacientams, kuriems negaunama VHA, didėjantis leukocitų skaičius nepaisant tinkamo gydymo. Svarbiausi antriniai rezultatai yra didysis citogenetinis atsakas, hematologinis atsakas, molekulinis atsakas (minimalios liekamosios ligos vertinimas), laikas iki akceleracijos fazės ar blastinės krizės ir gyvenimo trukmė. Atsako duomenys pateikti </w:t>
      </w:r>
      <w:r w:rsidR="00BC035E" w:rsidRPr="00F93FFA">
        <w:rPr>
          <w:color w:val="000000"/>
          <w:szCs w:val="22"/>
          <w:lang w:val="lt-LT"/>
        </w:rPr>
        <w:t>2</w:t>
      </w:r>
      <w:r w:rsidRPr="00F93FFA">
        <w:rPr>
          <w:color w:val="000000"/>
          <w:szCs w:val="22"/>
          <w:lang w:val="lt-LT"/>
        </w:rPr>
        <w:t> lentelėje.</w:t>
      </w:r>
    </w:p>
    <w:p w14:paraId="62165E6C" w14:textId="77777777" w:rsidR="00314B70" w:rsidRPr="00F93FFA" w:rsidRDefault="00314B70" w:rsidP="00DE16D0">
      <w:pPr>
        <w:pStyle w:val="EndnoteText"/>
        <w:widowControl w:val="0"/>
        <w:rPr>
          <w:color w:val="000000"/>
          <w:szCs w:val="22"/>
          <w:lang w:val="lt-LT"/>
        </w:rPr>
      </w:pPr>
    </w:p>
    <w:p w14:paraId="0F314AA6" w14:textId="77777777" w:rsidR="00314B70" w:rsidRPr="00F93FFA" w:rsidRDefault="00BC035E" w:rsidP="0003209B">
      <w:pPr>
        <w:pStyle w:val="EndnoteText"/>
        <w:keepNext/>
        <w:keepLines/>
        <w:widowControl w:val="0"/>
        <w:tabs>
          <w:tab w:val="clear" w:pos="567"/>
          <w:tab w:val="left" w:pos="1134"/>
        </w:tabs>
        <w:rPr>
          <w:color w:val="000000"/>
          <w:szCs w:val="22"/>
          <w:lang w:val="lt-LT"/>
        </w:rPr>
      </w:pPr>
      <w:r w:rsidRPr="00F93FFA">
        <w:rPr>
          <w:b/>
          <w:bCs/>
          <w:color w:val="000000"/>
          <w:szCs w:val="22"/>
          <w:lang w:val="lt-LT"/>
        </w:rPr>
        <w:t>2</w:t>
      </w:r>
      <w:r w:rsidR="00314B70" w:rsidRPr="00F93FFA">
        <w:rPr>
          <w:b/>
          <w:bCs/>
          <w:color w:val="000000"/>
          <w:szCs w:val="22"/>
          <w:lang w:val="lt-LT"/>
        </w:rPr>
        <w:t> lentelė</w:t>
      </w:r>
      <w:r w:rsidR="00314B70" w:rsidRPr="00F93FFA">
        <w:rPr>
          <w:b/>
          <w:bCs/>
          <w:color w:val="000000"/>
          <w:szCs w:val="22"/>
          <w:lang w:val="lt-LT"/>
        </w:rPr>
        <w:tab/>
        <w:t>Atsakas, gautas naujai diagnozuotos LML tyrimo metu (84 mėnesių duomenys)</w:t>
      </w:r>
    </w:p>
    <w:p w14:paraId="71098DFB" w14:textId="77777777" w:rsidR="00314B70" w:rsidRPr="00F93FFA" w:rsidRDefault="00314B70" w:rsidP="0003209B">
      <w:pPr>
        <w:pStyle w:val="EndnoteText"/>
        <w:keepNext/>
        <w:keepLines/>
        <w:widowControl w:val="0"/>
        <w:rPr>
          <w:color w:val="000000"/>
          <w:szCs w:val="22"/>
          <w:lang w:val="lt-LT"/>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14B70" w:rsidRPr="00F93FFA" w14:paraId="5FA7150E" w14:textId="77777777" w:rsidTr="0003209B">
        <w:trPr>
          <w:cantSplit/>
        </w:trPr>
        <w:tc>
          <w:tcPr>
            <w:tcW w:w="3794" w:type="dxa"/>
            <w:tcBorders>
              <w:top w:val="single" w:sz="4" w:space="0" w:color="auto"/>
              <w:left w:val="single" w:sz="4" w:space="0" w:color="auto"/>
              <w:bottom w:val="nil"/>
            </w:tcBorders>
          </w:tcPr>
          <w:p w14:paraId="1698C18F"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693" w:type="dxa"/>
            <w:tcBorders>
              <w:top w:val="single" w:sz="4" w:space="0" w:color="auto"/>
              <w:bottom w:val="nil"/>
            </w:tcBorders>
          </w:tcPr>
          <w:p w14:paraId="7D4649A9"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b/>
                <w:bCs/>
                <w:color w:val="000000"/>
                <w:sz w:val="22"/>
                <w:szCs w:val="22"/>
                <w:lang w:val="lt-LT"/>
              </w:rPr>
              <w:t>Glivec</w:t>
            </w:r>
          </w:p>
        </w:tc>
        <w:tc>
          <w:tcPr>
            <w:tcW w:w="2718" w:type="dxa"/>
            <w:tcBorders>
              <w:top w:val="single" w:sz="4" w:space="0" w:color="auto"/>
              <w:bottom w:val="nil"/>
              <w:right w:val="single" w:sz="4" w:space="0" w:color="auto"/>
            </w:tcBorders>
          </w:tcPr>
          <w:p w14:paraId="0C84D9E0"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b/>
                <w:bCs/>
                <w:color w:val="000000"/>
                <w:sz w:val="22"/>
                <w:szCs w:val="22"/>
                <w:lang w:val="lt-LT"/>
              </w:rPr>
              <w:t>IFN+Ara-C</w:t>
            </w:r>
          </w:p>
        </w:tc>
      </w:tr>
      <w:tr w:rsidR="00314B70" w:rsidRPr="00F93FFA" w14:paraId="6331480F" w14:textId="77777777" w:rsidTr="0003209B">
        <w:trPr>
          <w:cantSplit/>
        </w:trPr>
        <w:tc>
          <w:tcPr>
            <w:tcW w:w="3794" w:type="dxa"/>
            <w:tcBorders>
              <w:top w:val="nil"/>
              <w:left w:val="single" w:sz="4" w:space="0" w:color="auto"/>
              <w:bottom w:val="single" w:sz="4" w:space="0" w:color="auto"/>
            </w:tcBorders>
          </w:tcPr>
          <w:p w14:paraId="27DF9A25"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(Geriausio atsako dažnis)</w:t>
            </w:r>
          </w:p>
        </w:tc>
        <w:tc>
          <w:tcPr>
            <w:tcW w:w="2693" w:type="dxa"/>
            <w:tcBorders>
              <w:top w:val="nil"/>
              <w:bottom w:val="single" w:sz="4" w:space="0" w:color="auto"/>
            </w:tcBorders>
          </w:tcPr>
          <w:p w14:paraId="48295209"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n</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553</w:t>
            </w:r>
          </w:p>
        </w:tc>
        <w:tc>
          <w:tcPr>
            <w:tcW w:w="2718" w:type="dxa"/>
            <w:tcBorders>
              <w:top w:val="nil"/>
              <w:bottom w:val="single" w:sz="4" w:space="0" w:color="auto"/>
              <w:right w:val="single" w:sz="4" w:space="0" w:color="auto"/>
            </w:tcBorders>
          </w:tcPr>
          <w:p w14:paraId="743CFFE1"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n</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553</w:t>
            </w:r>
          </w:p>
        </w:tc>
      </w:tr>
      <w:tr w:rsidR="00314B70" w:rsidRPr="00F93FFA" w14:paraId="62D49368" w14:textId="77777777" w:rsidTr="0003209B">
        <w:trPr>
          <w:cantSplit/>
        </w:trPr>
        <w:tc>
          <w:tcPr>
            <w:tcW w:w="3794" w:type="dxa"/>
            <w:tcBorders>
              <w:top w:val="nil"/>
              <w:left w:val="single" w:sz="4" w:space="0" w:color="auto"/>
            </w:tcBorders>
          </w:tcPr>
          <w:p w14:paraId="74A641E3"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Hematologinis atsakas</w:t>
            </w:r>
          </w:p>
        </w:tc>
        <w:tc>
          <w:tcPr>
            <w:tcW w:w="2693" w:type="dxa"/>
            <w:tcBorders>
              <w:top w:val="nil"/>
            </w:tcBorders>
          </w:tcPr>
          <w:p w14:paraId="293A8486" w14:textId="77777777" w:rsidR="00314B70" w:rsidRPr="00F93FFA" w:rsidRDefault="00314B70" w:rsidP="0003209B">
            <w:pPr>
              <w:pStyle w:val="Table"/>
              <w:widowControl w:val="0"/>
              <w:spacing w:before="0" w:after="0"/>
              <w:jc w:val="center"/>
              <w:rPr>
                <w:rFonts w:ascii="Times New Roman" w:hAnsi="Times New Roman"/>
                <w:b/>
                <w:bCs/>
                <w:color w:val="000000"/>
                <w:sz w:val="22"/>
                <w:szCs w:val="22"/>
                <w:lang w:val="lt-LT"/>
              </w:rPr>
            </w:pPr>
          </w:p>
        </w:tc>
        <w:tc>
          <w:tcPr>
            <w:tcW w:w="2718" w:type="dxa"/>
            <w:tcBorders>
              <w:top w:val="nil"/>
              <w:right w:val="single" w:sz="4" w:space="0" w:color="auto"/>
            </w:tcBorders>
          </w:tcPr>
          <w:p w14:paraId="44FAC140" w14:textId="77777777" w:rsidR="00314B70" w:rsidRPr="00F93FFA" w:rsidRDefault="00314B70" w:rsidP="0003209B">
            <w:pPr>
              <w:pStyle w:val="Table"/>
              <w:widowControl w:val="0"/>
              <w:spacing w:before="0" w:after="0"/>
              <w:jc w:val="center"/>
              <w:rPr>
                <w:rFonts w:ascii="Times New Roman" w:hAnsi="Times New Roman"/>
                <w:b/>
                <w:bCs/>
                <w:color w:val="000000"/>
                <w:sz w:val="22"/>
                <w:szCs w:val="22"/>
                <w:lang w:val="lt-LT"/>
              </w:rPr>
            </w:pPr>
          </w:p>
        </w:tc>
      </w:tr>
      <w:tr w:rsidR="00314B70" w:rsidRPr="00F93FFA" w14:paraId="22034BAD" w14:textId="77777777" w:rsidTr="0003209B">
        <w:trPr>
          <w:cantSplit/>
        </w:trPr>
        <w:tc>
          <w:tcPr>
            <w:tcW w:w="3794" w:type="dxa"/>
            <w:tcBorders>
              <w:top w:val="nil"/>
              <w:left w:val="single" w:sz="4" w:space="0" w:color="auto"/>
            </w:tcBorders>
          </w:tcPr>
          <w:p w14:paraId="1027F0D9"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VHA dalis n (%)</w:t>
            </w:r>
          </w:p>
        </w:tc>
        <w:tc>
          <w:tcPr>
            <w:tcW w:w="2693" w:type="dxa"/>
            <w:tcBorders>
              <w:top w:val="nil"/>
            </w:tcBorders>
          </w:tcPr>
          <w:p w14:paraId="674F762B"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534 (96,6 %)*</w:t>
            </w:r>
          </w:p>
        </w:tc>
        <w:tc>
          <w:tcPr>
            <w:tcW w:w="2718" w:type="dxa"/>
            <w:tcBorders>
              <w:top w:val="nil"/>
              <w:right w:val="single" w:sz="4" w:space="0" w:color="auto"/>
            </w:tcBorders>
          </w:tcPr>
          <w:p w14:paraId="6E753871"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313 (56,6 %)*</w:t>
            </w:r>
          </w:p>
        </w:tc>
      </w:tr>
      <w:tr w:rsidR="00314B70" w:rsidRPr="00F93FFA" w14:paraId="64FCA4AE" w14:textId="77777777" w:rsidTr="0003209B">
        <w:trPr>
          <w:cantSplit/>
        </w:trPr>
        <w:tc>
          <w:tcPr>
            <w:tcW w:w="3794" w:type="dxa"/>
            <w:tcBorders>
              <w:left w:val="single" w:sz="4" w:space="0" w:color="auto"/>
            </w:tcBorders>
          </w:tcPr>
          <w:p w14:paraId="737AF2CD"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[95 % PI]</w:t>
            </w:r>
          </w:p>
        </w:tc>
        <w:tc>
          <w:tcPr>
            <w:tcW w:w="2693" w:type="dxa"/>
          </w:tcPr>
          <w:p w14:paraId="4EC1A333"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[94,7 %, 97,9 %]</w:t>
            </w:r>
          </w:p>
        </w:tc>
        <w:tc>
          <w:tcPr>
            <w:tcW w:w="2718" w:type="dxa"/>
            <w:tcBorders>
              <w:right w:val="single" w:sz="4" w:space="0" w:color="auto"/>
            </w:tcBorders>
          </w:tcPr>
          <w:p w14:paraId="759EB7C3"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[52,4 %, 60,8 %]</w:t>
            </w:r>
          </w:p>
        </w:tc>
      </w:tr>
      <w:tr w:rsidR="00314B70" w:rsidRPr="00F93FFA" w14:paraId="05BFE285" w14:textId="77777777" w:rsidTr="0003209B">
        <w:trPr>
          <w:cantSplit/>
        </w:trPr>
        <w:tc>
          <w:tcPr>
            <w:tcW w:w="3794" w:type="dxa"/>
            <w:tcBorders>
              <w:left w:val="single" w:sz="4" w:space="0" w:color="auto"/>
            </w:tcBorders>
          </w:tcPr>
          <w:p w14:paraId="4B469654"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693" w:type="dxa"/>
          </w:tcPr>
          <w:p w14:paraId="6E01FCAA"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718" w:type="dxa"/>
            <w:tcBorders>
              <w:right w:val="single" w:sz="4" w:space="0" w:color="auto"/>
            </w:tcBorders>
          </w:tcPr>
          <w:p w14:paraId="5D46F207"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r>
      <w:tr w:rsidR="00314B70" w:rsidRPr="00F93FFA" w14:paraId="30107401" w14:textId="77777777" w:rsidTr="0003209B">
        <w:trPr>
          <w:cantSplit/>
        </w:trPr>
        <w:tc>
          <w:tcPr>
            <w:tcW w:w="3794" w:type="dxa"/>
            <w:tcBorders>
              <w:left w:val="single" w:sz="4" w:space="0" w:color="auto"/>
            </w:tcBorders>
          </w:tcPr>
          <w:p w14:paraId="2D61B1FA"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Citogenetinis atsakas</w:t>
            </w:r>
          </w:p>
        </w:tc>
        <w:tc>
          <w:tcPr>
            <w:tcW w:w="2693" w:type="dxa"/>
          </w:tcPr>
          <w:p w14:paraId="17F59D5D" w14:textId="77777777" w:rsidR="00314B70" w:rsidRPr="00F93FFA" w:rsidRDefault="00314B70" w:rsidP="0003209B">
            <w:pPr>
              <w:pStyle w:val="Table"/>
              <w:widowControl w:val="0"/>
              <w:spacing w:before="0" w:after="0"/>
              <w:rPr>
                <w:rFonts w:ascii="Times New Roman" w:hAnsi="Times New Roman"/>
                <w:b/>
                <w:bCs/>
                <w:color w:val="000000"/>
                <w:sz w:val="22"/>
                <w:szCs w:val="22"/>
                <w:lang w:val="lt-LT"/>
              </w:rPr>
            </w:pPr>
          </w:p>
        </w:tc>
        <w:tc>
          <w:tcPr>
            <w:tcW w:w="2718" w:type="dxa"/>
            <w:tcBorders>
              <w:right w:val="single" w:sz="4" w:space="0" w:color="auto"/>
            </w:tcBorders>
          </w:tcPr>
          <w:p w14:paraId="44A2AE95" w14:textId="77777777" w:rsidR="00314B70" w:rsidRPr="00F93FFA" w:rsidRDefault="00314B70" w:rsidP="0003209B">
            <w:pPr>
              <w:pStyle w:val="Table"/>
              <w:widowControl w:val="0"/>
              <w:spacing w:before="0" w:after="0"/>
              <w:rPr>
                <w:rFonts w:ascii="Times New Roman" w:hAnsi="Times New Roman"/>
                <w:b/>
                <w:bCs/>
                <w:color w:val="000000"/>
                <w:sz w:val="22"/>
                <w:szCs w:val="22"/>
                <w:lang w:val="lt-LT"/>
              </w:rPr>
            </w:pPr>
          </w:p>
        </w:tc>
      </w:tr>
      <w:tr w:rsidR="00314B70" w:rsidRPr="00F93FFA" w14:paraId="3B62D423" w14:textId="77777777" w:rsidTr="0003209B">
        <w:trPr>
          <w:cantSplit/>
        </w:trPr>
        <w:tc>
          <w:tcPr>
            <w:tcW w:w="3794" w:type="dxa"/>
            <w:tcBorders>
              <w:left w:val="single" w:sz="4" w:space="0" w:color="auto"/>
            </w:tcBorders>
          </w:tcPr>
          <w:p w14:paraId="023F1718"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n (%)</w:t>
            </w:r>
          </w:p>
        </w:tc>
        <w:tc>
          <w:tcPr>
            <w:tcW w:w="2693" w:type="dxa"/>
          </w:tcPr>
          <w:p w14:paraId="4965A732"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490 (88,6 %)*</w:t>
            </w:r>
          </w:p>
        </w:tc>
        <w:tc>
          <w:tcPr>
            <w:tcW w:w="2718" w:type="dxa"/>
            <w:tcBorders>
              <w:right w:val="single" w:sz="4" w:space="0" w:color="auto"/>
            </w:tcBorders>
          </w:tcPr>
          <w:p w14:paraId="5BCBFAD6"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129 (23,3 %)*</w:t>
            </w:r>
          </w:p>
        </w:tc>
      </w:tr>
      <w:tr w:rsidR="00314B70" w:rsidRPr="00F93FFA" w14:paraId="1675426A" w14:textId="77777777" w:rsidTr="0003209B">
        <w:trPr>
          <w:cantSplit/>
        </w:trPr>
        <w:tc>
          <w:tcPr>
            <w:tcW w:w="3794" w:type="dxa"/>
            <w:tcBorders>
              <w:left w:val="single" w:sz="4" w:space="0" w:color="auto"/>
            </w:tcBorders>
          </w:tcPr>
          <w:p w14:paraId="597107DF"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[95 % PI]</w:t>
            </w:r>
          </w:p>
        </w:tc>
        <w:tc>
          <w:tcPr>
            <w:tcW w:w="2693" w:type="dxa"/>
          </w:tcPr>
          <w:p w14:paraId="6047E8F3"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[85,7 %, 91,1 %]</w:t>
            </w:r>
          </w:p>
        </w:tc>
        <w:tc>
          <w:tcPr>
            <w:tcW w:w="2718" w:type="dxa"/>
            <w:tcBorders>
              <w:right w:val="single" w:sz="4" w:space="0" w:color="auto"/>
            </w:tcBorders>
          </w:tcPr>
          <w:p w14:paraId="41C0A48B"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[19,9 %, 27,1 %]</w:t>
            </w:r>
          </w:p>
        </w:tc>
      </w:tr>
      <w:tr w:rsidR="00314B70" w:rsidRPr="00F93FFA" w14:paraId="3020E847" w14:textId="77777777" w:rsidTr="0003209B">
        <w:trPr>
          <w:cantSplit/>
        </w:trPr>
        <w:tc>
          <w:tcPr>
            <w:tcW w:w="3794" w:type="dxa"/>
            <w:tcBorders>
              <w:left w:val="single" w:sz="4" w:space="0" w:color="auto"/>
            </w:tcBorders>
          </w:tcPr>
          <w:p w14:paraId="2B818EC9"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Visiškas CyR n (%)</w:t>
            </w:r>
          </w:p>
        </w:tc>
        <w:tc>
          <w:tcPr>
            <w:tcW w:w="2693" w:type="dxa"/>
          </w:tcPr>
          <w:p w14:paraId="244F8A4A"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en-GB"/>
              </w:rPr>
              <w:t>456 (82,5 %)*</w:t>
            </w:r>
          </w:p>
        </w:tc>
        <w:tc>
          <w:tcPr>
            <w:tcW w:w="2718" w:type="dxa"/>
            <w:tcBorders>
              <w:right w:val="single" w:sz="4" w:space="0" w:color="auto"/>
            </w:tcBorders>
          </w:tcPr>
          <w:p w14:paraId="1A79077C"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64 (11,6 %)*</w:t>
            </w:r>
          </w:p>
        </w:tc>
      </w:tr>
      <w:tr w:rsidR="00314B70" w:rsidRPr="00F93FFA" w14:paraId="100AB20D" w14:textId="77777777" w:rsidTr="0003209B">
        <w:trPr>
          <w:cantSplit/>
        </w:trPr>
        <w:tc>
          <w:tcPr>
            <w:tcW w:w="3794" w:type="dxa"/>
            <w:tcBorders>
              <w:left w:val="single" w:sz="4" w:space="0" w:color="auto"/>
            </w:tcBorders>
          </w:tcPr>
          <w:p w14:paraId="797BC986"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b/>
              <w:t>Dalinis CyR n (%)</w:t>
            </w:r>
          </w:p>
        </w:tc>
        <w:tc>
          <w:tcPr>
            <w:tcW w:w="2693" w:type="dxa"/>
          </w:tcPr>
          <w:p w14:paraId="1CEF22CD"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en-GB"/>
              </w:rPr>
              <w:t>34 (6,1 %)</w:t>
            </w:r>
          </w:p>
        </w:tc>
        <w:tc>
          <w:tcPr>
            <w:tcW w:w="2718" w:type="dxa"/>
            <w:tcBorders>
              <w:right w:val="single" w:sz="4" w:space="0" w:color="auto"/>
            </w:tcBorders>
          </w:tcPr>
          <w:p w14:paraId="1D16D589"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65 (11,8 %)</w:t>
            </w:r>
          </w:p>
        </w:tc>
      </w:tr>
      <w:tr w:rsidR="00314B70" w:rsidRPr="00F93FFA" w14:paraId="16100796" w14:textId="77777777" w:rsidTr="0003209B">
        <w:trPr>
          <w:cantSplit/>
        </w:trPr>
        <w:tc>
          <w:tcPr>
            <w:tcW w:w="3794" w:type="dxa"/>
            <w:tcBorders>
              <w:left w:val="single" w:sz="4" w:space="0" w:color="auto"/>
              <w:bottom w:val="nil"/>
            </w:tcBorders>
          </w:tcPr>
          <w:p w14:paraId="055D68EE"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693" w:type="dxa"/>
            <w:tcBorders>
              <w:bottom w:val="nil"/>
            </w:tcBorders>
          </w:tcPr>
          <w:p w14:paraId="6B8F1B85"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718" w:type="dxa"/>
            <w:tcBorders>
              <w:bottom w:val="nil"/>
              <w:right w:val="single" w:sz="4" w:space="0" w:color="auto"/>
            </w:tcBorders>
          </w:tcPr>
          <w:p w14:paraId="6C1FABD5"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r>
      <w:tr w:rsidR="00314B70" w:rsidRPr="00F93FFA" w14:paraId="26FF4E87" w14:textId="77777777" w:rsidTr="0003209B">
        <w:trPr>
          <w:cantSplit/>
        </w:trPr>
        <w:tc>
          <w:tcPr>
            <w:tcW w:w="3794" w:type="dxa"/>
            <w:tcBorders>
              <w:left w:val="single" w:sz="4" w:space="0" w:color="auto"/>
              <w:bottom w:val="nil"/>
            </w:tcBorders>
          </w:tcPr>
          <w:p w14:paraId="7FFFCD0C"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Molekulinis atsakas</w:t>
            </w:r>
            <w:r w:rsidRPr="00F93FFA">
              <w:rPr>
                <w:rFonts w:ascii="Times New Roman" w:hAnsi="Times New Roman"/>
                <w:color w:val="000000"/>
                <w:sz w:val="22"/>
                <w:szCs w:val="22"/>
                <w:lang w:val="lt-LT"/>
              </w:rPr>
              <w:t>**</w:t>
            </w:r>
          </w:p>
        </w:tc>
        <w:tc>
          <w:tcPr>
            <w:tcW w:w="2693" w:type="dxa"/>
            <w:tcBorders>
              <w:bottom w:val="nil"/>
            </w:tcBorders>
          </w:tcPr>
          <w:p w14:paraId="136A311C"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c>
          <w:tcPr>
            <w:tcW w:w="2718" w:type="dxa"/>
            <w:tcBorders>
              <w:bottom w:val="nil"/>
              <w:right w:val="single" w:sz="4" w:space="0" w:color="auto"/>
            </w:tcBorders>
          </w:tcPr>
          <w:p w14:paraId="6BEABA70"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p>
        </w:tc>
      </w:tr>
      <w:tr w:rsidR="00314B70" w:rsidRPr="00F93FFA" w14:paraId="23CD0F5D" w14:textId="77777777" w:rsidTr="0003209B">
        <w:trPr>
          <w:cantSplit/>
        </w:trPr>
        <w:tc>
          <w:tcPr>
            <w:tcW w:w="3794" w:type="dxa"/>
            <w:tcBorders>
              <w:left w:val="single" w:sz="4" w:space="0" w:color="auto"/>
              <w:bottom w:val="nil"/>
            </w:tcBorders>
          </w:tcPr>
          <w:p w14:paraId="2B7463FD" w14:textId="2D7B55FF" w:rsidR="00314B70" w:rsidRPr="00F93FFA" w:rsidRDefault="00314B70" w:rsidP="003429B0">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12</w:t>
            </w:r>
            <w:r w:rsidR="003429B0"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2B2CBDAC"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153/305</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50,2 %</w:t>
            </w:r>
          </w:p>
        </w:tc>
        <w:tc>
          <w:tcPr>
            <w:tcW w:w="2718" w:type="dxa"/>
            <w:tcBorders>
              <w:bottom w:val="nil"/>
              <w:right w:val="single" w:sz="4" w:space="0" w:color="auto"/>
            </w:tcBorders>
          </w:tcPr>
          <w:p w14:paraId="6E754460"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8/83</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9,6 %</w:t>
            </w:r>
          </w:p>
        </w:tc>
      </w:tr>
      <w:tr w:rsidR="00314B70" w:rsidRPr="00F93FFA" w14:paraId="00D68B06" w14:textId="77777777" w:rsidTr="0003209B">
        <w:trPr>
          <w:cantSplit/>
        </w:trPr>
        <w:tc>
          <w:tcPr>
            <w:tcW w:w="3794" w:type="dxa"/>
            <w:tcBorders>
              <w:left w:val="single" w:sz="4" w:space="0" w:color="auto"/>
              <w:bottom w:val="nil"/>
            </w:tcBorders>
          </w:tcPr>
          <w:p w14:paraId="0CD31943" w14:textId="6F9ED24E"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24</w:t>
            </w:r>
            <w:r w:rsidR="003429B0"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197CD4D7"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73/104</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70,2 %</w:t>
            </w:r>
          </w:p>
        </w:tc>
        <w:tc>
          <w:tcPr>
            <w:tcW w:w="2718" w:type="dxa"/>
            <w:tcBorders>
              <w:bottom w:val="nil"/>
              <w:right w:val="single" w:sz="4" w:space="0" w:color="auto"/>
            </w:tcBorders>
          </w:tcPr>
          <w:p w14:paraId="64FE0A1B"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sz w:val="22"/>
                <w:szCs w:val="22"/>
                <w:lang w:val="en-GB"/>
              </w:rPr>
              <w:t>3/12</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25 %</w:t>
            </w:r>
          </w:p>
        </w:tc>
      </w:tr>
      <w:tr w:rsidR="00314B70" w:rsidRPr="00F93FFA" w14:paraId="23CA7F0B" w14:textId="77777777" w:rsidTr="0003209B">
        <w:trPr>
          <w:cantSplit/>
        </w:trPr>
        <w:tc>
          <w:tcPr>
            <w:tcW w:w="3794" w:type="dxa"/>
            <w:tcBorders>
              <w:left w:val="single" w:sz="4" w:space="0" w:color="auto"/>
              <w:bottom w:val="nil"/>
            </w:tcBorders>
          </w:tcPr>
          <w:p w14:paraId="41A01728" w14:textId="3AF6DCCB"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Didysis atsakas po 84</w:t>
            </w:r>
            <w:r w:rsidR="003429B0"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mėnesių (%)</w:t>
            </w:r>
          </w:p>
        </w:tc>
        <w:tc>
          <w:tcPr>
            <w:tcW w:w="2693" w:type="dxa"/>
            <w:tcBorders>
              <w:bottom w:val="nil"/>
            </w:tcBorders>
          </w:tcPr>
          <w:p w14:paraId="35A5394B" w14:textId="77777777" w:rsidR="00314B70" w:rsidRPr="00F93FFA" w:rsidRDefault="00314B70" w:rsidP="0003209B">
            <w:pPr>
              <w:pStyle w:val="Table"/>
              <w:widowControl w:val="0"/>
              <w:spacing w:before="0" w:after="0"/>
              <w:jc w:val="center"/>
              <w:rPr>
                <w:rFonts w:ascii="Times New Roman" w:hAnsi="Times New Roman"/>
                <w:sz w:val="22"/>
                <w:szCs w:val="22"/>
                <w:lang w:val="en-GB"/>
              </w:rPr>
            </w:pPr>
            <w:r w:rsidRPr="00F93FFA">
              <w:rPr>
                <w:rFonts w:ascii="Times New Roman" w:hAnsi="Times New Roman"/>
                <w:sz w:val="22"/>
                <w:szCs w:val="22"/>
                <w:lang w:val="en-GB"/>
              </w:rPr>
              <w:t>102/116</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87,9 %</w:t>
            </w:r>
          </w:p>
        </w:tc>
        <w:tc>
          <w:tcPr>
            <w:tcW w:w="2718" w:type="dxa"/>
            <w:tcBorders>
              <w:bottom w:val="nil"/>
              <w:right w:val="single" w:sz="4" w:space="0" w:color="auto"/>
            </w:tcBorders>
          </w:tcPr>
          <w:p w14:paraId="1E93B66F" w14:textId="77777777" w:rsidR="00314B70" w:rsidRPr="00F93FFA" w:rsidRDefault="00314B70" w:rsidP="0003209B">
            <w:pPr>
              <w:pStyle w:val="Table"/>
              <w:widowControl w:val="0"/>
              <w:spacing w:before="0" w:after="0"/>
              <w:jc w:val="center"/>
              <w:rPr>
                <w:rFonts w:ascii="Times New Roman" w:hAnsi="Times New Roman"/>
                <w:sz w:val="22"/>
                <w:szCs w:val="22"/>
                <w:lang w:val="en-GB"/>
              </w:rPr>
            </w:pPr>
            <w:r w:rsidRPr="00F93FFA">
              <w:rPr>
                <w:rFonts w:ascii="Times New Roman" w:hAnsi="Times New Roman"/>
                <w:sz w:val="22"/>
                <w:szCs w:val="22"/>
                <w:lang w:val="en-GB"/>
              </w:rPr>
              <w:t>3/4</w:t>
            </w:r>
            <w:r w:rsidR="00B37342" w:rsidRPr="00F93FFA">
              <w:rPr>
                <w:rFonts w:ascii="Times New Roman" w:hAnsi="Times New Roman"/>
                <w:sz w:val="22"/>
                <w:szCs w:val="22"/>
                <w:lang w:val="en-GB"/>
              </w:rPr>
              <w:t> </w:t>
            </w:r>
            <w:r w:rsidRPr="00F93FFA">
              <w:rPr>
                <w:rFonts w:ascii="Times New Roman" w:hAnsi="Times New Roman"/>
                <w:sz w:val="22"/>
                <w:szCs w:val="22"/>
                <w:lang w:val="en-GB"/>
              </w:rPr>
              <w:t>=</w:t>
            </w:r>
            <w:r w:rsidR="00B37342" w:rsidRPr="00F93FFA">
              <w:rPr>
                <w:rFonts w:ascii="Times New Roman" w:hAnsi="Times New Roman"/>
                <w:sz w:val="22"/>
                <w:szCs w:val="22"/>
                <w:lang w:val="en-GB"/>
              </w:rPr>
              <w:t> </w:t>
            </w:r>
            <w:r w:rsidRPr="00F93FFA">
              <w:rPr>
                <w:rFonts w:ascii="Times New Roman" w:hAnsi="Times New Roman"/>
                <w:sz w:val="22"/>
                <w:szCs w:val="22"/>
                <w:lang w:val="en-GB"/>
              </w:rPr>
              <w:t>75 %</w:t>
            </w:r>
          </w:p>
        </w:tc>
      </w:tr>
      <w:tr w:rsidR="00314B70" w:rsidRPr="00F93FFA" w14:paraId="008FE319" w14:textId="77777777" w:rsidTr="0003209B">
        <w:trPr>
          <w:cantSplit/>
        </w:trPr>
        <w:tc>
          <w:tcPr>
            <w:tcW w:w="9205" w:type="dxa"/>
            <w:gridSpan w:val="3"/>
            <w:tcBorders>
              <w:top w:val="single" w:sz="4" w:space="0" w:color="auto"/>
              <w:left w:val="single" w:sz="4" w:space="0" w:color="auto"/>
              <w:bottom w:val="single" w:sz="4" w:space="0" w:color="auto"/>
              <w:right w:val="single" w:sz="4" w:space="0" w:color="auto"/>
            </w:tcBorders>
          </w:tcPr>
          <w:p w14:paraId="2A787DBF"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 xml:space="preserve">* p&lt;0,001, </w:t>
            </w:r>
            <w:r w:rsidRPr="00F93FFA">
              <w:rPr>
                <w:rFonts w:ascii="Times New Roman" w:hAnsi="Times New Roman"/>
                <w:i/>
                <w:iCs/>
                <w:color w:val="000000"/>
                <w:sz w:val="22"/>
                <w:szCs w:val="22"/>
                <w:lang w:val="lt-LT"/>
              </w:rPr>
              <w:t>Fischer</w:t>
            </w:r>
            <w:r w:rsidRPr="00F93FFA">
              <w:rPr>
                <w:rFonts w:ascii="Times New Roman" w:hAnsi="Times New Roman"/>
                <w:color w:val="000000"/>
                <w:sz w:val="22"/>
                <w:szCs w:val="22"/>
                <w:lang w:val="lt-LT"/>
              </w:rPr>
              <w:t xml:space="preserve"> tikslus testas</w:t>
            </w:r>
          </w:p>
          <w:p w14:paraId="6B7CDD6E"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 procentinė molekulinio atsako dalis paremta turimomis imtimis</w:t>
            </w:r>
          </w:p>
          <w:p w14:paraId="3047A505" w14:textId="77777777" w:rsidR="00314B70" w:rsidRPr="00F93FFA" w:rsidRDefault="00314B70" w:rsidP="0003209B">
            <w:pPr>
              <w:pStyle w:val="Table"/>
              <w:widowControl w:val="0"/>
              <w:spacing w:before="0" w:after="0"/>
              <w:rPr>
                <w:rFonts w:ascii="Times New Roman" w:hAnsi="Times New Roman"/>
                <w:b/>
                <w:bCs/>
                <w:color w:val="000000"/>
                <w:sz w:val="22"/>
                <w:szCs w:val="22"/>
                <w:lang w:val="lt-LT"/>
              </w:rPr>
            </w:pPr>
            <w:r w:rsidRPr="00F93FFA">
              <w:rPr>
                <w:rFonts w:ascii="Times New Roman" w:hAnsi="Times New Roman"/>
                <w:b/>
                <w:bCs/>
                <w:color w:val="000000"/>
                <w:sz w:val="22"/>
                <w:szCs w:val="22"/>
                <w:lang w:val="lt-LT"/>
              </w:rPr>
              <w:t xml:space="preserve">Hematologinio atsako kriterijai (bet koks atsakas turi būti patvirtintas po </w:t>
            </w:r>
            <w:r w:rsidRPr="00F93FFA">
              <w:rPr>
                <w:rFonts w:ascii="Times New Roman" w:hAnsi="Times New Roman"/>
                <w:b/>
                <w:bCs/>
                <w:color w:val="000000"/>
                <w:sz w:val="22"/>
                <w:szCs w:val="22"/>
                <w:lang w:val="lt-LT"/>
              </w:rPr>
              <w:sym w:font="Symbol" w:char="F0B3"/>
            </w:r>
            <w:r w:rsidRPr="00F93FFA">
              <w:rPr>
                <w:rFonts w:ascii="Times New Roman" w:hAnsi="Times New Roman"/>
                <w:b/>
                <w:bCs/>
                <w:color w:val="000000"/>
                <w:sz w:val="22"/>
                <w:szCs w:val="22"/>
                <w:lang w:val="lt-LT"/>
              </w:rPr>
              <w:t> 4 savaičių):</w:t>
            </w:r>
          </w:p>
          <w:p w14:paraId="4792858F"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BKK&lt;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trombocitų &lt; 450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mielocitų+metamielocitų &lt; 5 % kraujyje, kraujyje nėra blastų ir promielocitų, bazofilų &lt; 20 %, nėra ekstramedulinių židinių.</w:t>
            </w:r>
          </w:p>
          <w:p w14:paraId="5B1AA97F"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 xml:space="preserve">Citogenetinio atsako kriterijai: </w:t>
            </w:r>
            <w:r w:rsidRPr="00F93FFA">
              <w:rPr>
                <w:rFonts w:ascii="Times New Roman" w:hAnsi="Times New Roman"/>
                <w:color w:val="000000"/>
                <w:sz w:val="22"/>
                <w:szCs w:val="22"/>
                <w:lang w:val="lt-LT"/>
              </w:rPr>
              <w:t>visiškas (0 % Ph+ metafazės), dalinis (1–35 %), mažas (36–65 %) ar mažiausias (66–95 %). Didysis atsakas (0–35 %) apima visišką ir dalinį atsaką.</w:t>
            </w:r>
          </w:p>
          <w:p w14:paraId="28E55237"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bCs/>
                <w:color w:val="000000"/>
                <w:sz w:val="22"/>
                <w:szCs w:val="22"/>
                <w:lang w:val="lt-LT"/>
              </w:rPr>
              <w:t>Didžiojo molekulinio atsako kriterijai</w:t>
            </w:r>
            <w:r w:rsidRPr="00F93FFA">
              <w:rPr>
                <w:rFonts w:ascii="Times New Roman" w:hAnsi="Times New Roman"/>
                <w:color w:val="000000"/>
                <w:sz w:val="22"/>
                <w:szCs w:val="22"/>
                <w:lang w:val="lt-LT"/>
              </w:rPr>
              <w:t>: periferiniame kraujyje Bcr-Abl transkriptų kiekio sumažėjimas ≥ 3 logaritmais (matuojama realaus laiko kiekybiniu atvirkštinės transkriptazės PGR tyrimu), lyginant su standartizuota pradine reikšme.</w:t>
            </w:r>
          </w:p>
        </w:tc>
      </w:tr>
    </w:tbl>
    <w:p w14:paraId="2B07E4C4" w14:textId="77777777" w:rsidR="00314B70" w:rsidRPr="00F93FFA" w:rsidRDefault="00314B70" w:rsidP="00DE16D0">
      <w:pPr>
        <w:widowControl w:val="0"/>
        <w:rPr>
          <w:color w:val="000000"/>
        </w:rPr>
      </w:pPr>
    </w:p>
    <w:p w14:paraId="68DFECE6" w14:textId="77777777" w:rsidR="00314B70" w:rsidRPr="00F93FFA" w:rsidRDefault="00314B70" w:rsidP="00DE16D0">
      <w:pPr>
        <w:pStyle w:val="EndnoteText"/>
        <w:widowControl w:val="0"/>
        <w:rPr>
          <w:color w:val="000000"/>
          <w:szCs w:val="22"/>
          <w:lang w:val="lt-LT"/>
        </w:rPr>
      </w:pPr>
      <w:r w:rsidRPr="00F93FFA">
        <w:rPr>
          <w:color w:val="000000"/>
          <w:szCs w:val="22"/>
          <w:lang w:val="lt-LT"/>
        </w:rPr>
        <w:t xml:space="preserve">Skyrus pirmos eilės gydymą, visiško hematologinio atsako, didžiojo citogenetinio atsako ir visiško citogenetinio atsako dalis nustatyta naudojant Kaplan-Meier metodą, atsako nebuvimo atvejus cenzūruojant pagal paskutinės apžiūros duomenis. Naudojant šį metodą nustatyti nuo 12 iki 84 gydymo mėnesiais suminiai atsako į pirmos eilės gydymą Glivec dažniai: VHA nuo 96,4 % iki 98,4 % ir CCyR nuo 69,5 % iki </w:t>
      </w:r>
      <w:r w:rsidRPr="00F93FFA">
        <w:rPr>
          <w:color w:val="000000"/>
          <w:szCs w:val="22"/>
        </w:rPr>
        <w:t>87,2</w:t>
      </w:r>
      <w:r w:rsidRPr="00F93FFA">
        <w:rPr>
          <w:color w:val="000000"/>
          <w:szCs w:val="22"/>
          <w:lang w:val="lt-LT"/>
        </w:rPr>
        <w:t> % atitinkamai.</w:t>
      </w:r>
    </w:p>
    <w:p w14:paraId="719013A6" w14:textId="77777777" w:rsidR="00314B70" w:rsidRPr="00F93FFA" w:rsidRDefault="00314B70" w:rsidP="00DE16D0">
      <w:pPr>
        <w:pStyle w:val="EndnoteText"/>
        <w:widowControl w:val="0"/>
        <w:rPr>
          <w:color w:val="000000"/>
          <w:szCs w:val="22"/>
          <w:lang w:val="lt-LT"/>
        </w:rPr>
      </w:pPr>
    </w:p>
    <w:p w14:paraId="3F4EB29A" w14:textId="2B81254C" w:rsidR="00314B70" w:rsidRPr="00F93FFA" w:rsidRDefault="00314B70" w:rsidP="00DE16D0">
      <w:pPr>
        <w:pStyle w:val="EndnoteText"/>
        <w:widowControl w:val="0"/>
        <w:rPr>
          <w:color w:val="000000"/>
          <w:szCs w:val="22"/>
          <w:lang w:val="lt-LT"/>
        </w:rPr>
      </w:pPr>
      <w:r w:rsidRPr="00F93FFA">
        <w:rPr>
          <w:color w:val="000000"/>
          <w:szCs w:val="22"/>
          <w:lang w:val="lt-LT"/>
        </w:rPr>
        <w:t xml:space="preserve">Per 7 metų stebėjimo laikotarpį Glivec grupėje nustatyti </w:t>
      </w:r>
      <w:r w:rsidRPr="00F93FFA">
        <w:rPr>
          <w:color w:val="000000"/>
        </w:rPr>
        <w:t xml:space="preserve">93 </w:t>
      </w:r>
      <w:r w:rsidRPr="00F93FFA">
        <w:rPr>
          <w:color w:val="000000"/>
          <w:szCs w:val="22"/>
          <w:lang w:val="lt-LT"/>
        </w:rPr>
        <w:t>(</w:t>
      </w:r>
      <w:r w:rsidRPr="00F93FFA">
        <w:rPr>
          <w:color w:val="000000"/>
        </w:rPr>
        <w:t>16,8 </w:t>
      </w:r>
      <w:r w:rsidRPr="00F93FFA">
        <w:rPr>
          <w:color w:val="000000"/>
          <w:szCs w:val="22"/>
          <w:lang w:val="lt-LT"/>
        </w:rPr>
        <w:t xml:space="preserve">%) ligos progresavimo reiškiniai: </w:t>
      </w:r>
      <w:r w:rsidRPr="00F93FFA">
        <w:rPr>
          <w:color w:val="000000"/>
        </w:rPr>
        <w:t xml:space="preserve">37 </w:t>
      </w:r>
      <w:r w:rsidRPr="00F93FFA">
        <w:rPr>
          <w:color w:val="000000"/>
          <w:szCs w:val="22"/>
          <w:lang w:val="lt-LT"/>
        </w:rPr>
        <w:t>(</w:t>
      </w:r>
      <w:r w:rsidRPr="00F93FFA">
        <w:rPr>
          <w:color w:val="000000"/>
        </w:rPr>
        <w:t>6,7 </w:t>
      </w:r>
      <w:r w:rsidRPr="00F93FFA">
        <w:rPr>
          <w:color w:val="000000"/>
          <w:szCs w:val="22"/>
          <w:lang w:val="lt-LT"/>
        </w:rPr>
        <w:t xml:space="preserve">%) ligos progresavimo iki akceleracijos fazės ar blastinės krizės atvejai, </w:t>
      </w:r>
      <w:r w:rsidRPr="00F93FFA">
        <w:rPr>
          <w:color w:val="000000"/>
        </w:rPr>
        <w:t xml:space="preserve">31 </w:t>
      </w:r>
      <w:r w:rsidRPr="00F93FFA">
        <w:rPr>
          <w:color w:val="000000"/>
          <w:szCs w:val="22"/>
          <w:lang w:val="lt-LT"/>
        </w:rPr>
        <w:t>(</w:t>
      </w:r>
      <w:r w:rsidRPr="00F93FFA">
        <w:rPr>
          <w:color w:val="000000"/>
        </w:rPr>
        <w:t>5,6</w:t>
      </w:r>
      <w:r w:rsidRPr="00F93FFA">
        <w:rPr>
          <w:color w:val="000000"/>
          <w:szCs w:val="22"/>
          <w:lang w:val="lt-LT"/>
        </w:rPr>
        <w:t> %) MCyR išnykimo atvejai, 15 (</w:t>
      </w:r>
      <w:r w:rsidRPr="00F93FFA">
        <w:rPr>
          <w:color w:val="000000"/>
        </w:rPr>
        <w:t>2,7</w:t>
      </w:r>
      <w:r w:rsidRPr="00F93FFA">
        <w:rPr>
          <w:color w:val="000000"/>
          <w:szCs w:val="22"/>
          <w:lang w:val="lt-LT"/>
        </w:rPr>
        <w:t> %) VHA išnykimo arba BKK skaičiaus padidėjimo atvejų ir 10 (</w:t>
      </w:r>
      <w:r w:rsidRPr="00F93FFA">
        <w:rPr>
          <w:color w:val="000000"/>
        </w:rPr>
        <w:t>1,8</w:t>
      </w:r>
      <w:r w:rsidRPr="00F93FFA">
        <w:rPr>
          <w:color w:val="000000"/>
          <w:szCs w:val="22"/>
          <w:lang w:val="lt-LT"/>
        </w:rPr>
        <w:t xml:space="preserve"> %) su LML nesusijusios mirties atvejų. Tuo tarpu IFN+Ara-C grupėje nustatyti </w:t>
      </w:r>
      <w:r w:rsidRPr="00F93FFA">
        <w:rPr>
          <w:color w:val="000000"/>
        </w:rPr>
        <w:t xml:space="preserve">165 </w:t>
      </w:r>
      <w:r w:rsidRPr="00F93FFA">
        <w:rPr>
          <w:color w:val="000000"/>
          <w:szCs w:val="22"/>
          <w:lang w:val="lt-LT"/>
        </w:rPr>
        <w:t>(</w:t>
      </w:r>
      <w:r w:rsidRPr="00F93FFA">
        <w:rPr>
          <w:color w:val="000000"/>
        </w:rPr>
        <w:t>29,8</w:t>
      </w:r>
      <w:r w:rsidRPr="00F93FFA">
        <w:rPr>
          <w:color w:val="000000"/>
          <w:szCs w:val="22"/>
          <w:lang w:val="lt-LT"/>
        </w:rPr>
        <w:t xml:space="preserve"> %) reiškiniai, iš kurių </w:t>
      </w:r>
      <w:r w:rsidRPr="00F93FFA">
        <w:rPr>
          <w:color w:val="000000"/>
        </w:rPr>
        <w:t>130 </w:t>
      </w:r>
      <w:r w:rsidRPr="00F93FFA">
        <w:rPr>
          <w:color w:val="000000"/>
          <w:szCs w:val="22"/>
          <w:lang w:val="lt-LT"/>
        </w:rPr>
        <w:t>kilo pirmos eilės gydymo IFN+Ara</w:t>
      </w:r>
      <w:r w:rsidR="003429B0" w:rsidRPr="00F93FFA">
        <w:rPr>
          <w:color w:val="000000"/>
          <w:szCs w:val="22"/>
          <w:lang w:val="lt-LT"/>
        </w:rPr>
        <w:noBreakHyphen/>
      </w:r>
      <w:r w:rsidRPr="00F93FFA">
        <w:rPr>
          <w:color w:val="000000"/>
          <w:szCs w:val="22"/>
          <w:lang w:val="lt-LT"/>
        </w:rPr>
        <w:t>C metu.</w:t>
      </w:r>
    </w:p>
    <w:p w14:paraId="49269BFB" w14:textId="77777777" w:rsidR="00314B70" w:rsidRPr="00F93FFA" w:rsidRDefault="00314B70" w:rsidP="00DE16D0">
      <w:pPr>
        <w:pStyle w:val="EndnoteText"/>
        <w:widowControl w:val="0"/>
        <w:rPr>
          <w:color w:val="000000"/>
          <w:szCs w:val="22"/>
          <w:lang w:val="lt-LT"/>
        </w:rPr>
      </w:pPr>
    </w:p>
    <w:p w14:paraId="693AC472" w14:textId="77777777" w:rsidR="00314B70" w:rsidRPr="00F93FFA" w:rsidRDefault="00314B70" w:rsidP="00DE16D0">
      <w:pPr>
        <w:pStyle w:val="EndnoteText"/>
        <w:widowControl w:val="0"/>
        <w:rPr>
          <w:color w:val="000000"/>
          <w:szCs w:val="22"/>
          <w:lang w:val="lt-LT"/>
        </w:rPr>
      </w:pPr>
      <w:r w:rsidRPr="00F93FFA">
        <w:rPr>
          <w:color w:val="000000"/>
          <w:szCs w:val="22"/>
          <w:lang w:val="lt-LT"/>
        </w:rPr>
        <w:t>Nustatyta pacientų dalis, kuriems liga neprogresavo iki akceleracijos fazės ar blastinės krizės praėjus 84 mėnesiams, buvo reikšmingai didesnė Glivec grupėje, lyginant su IFN grupe (</w:t>
      </w:r>
      <w:r w:rsidRPr="00F93FFA">
        <w:rPr>
          <w:color w:val="000000"/>
          <w:szCs w:val="22"/>
        </w:rPr>
        <w:t>92,5</w:t>
      </w:r>
      <w:r w:rsidRPr="00F93FFA">
        <w:rPr>
          <w:color w:val="000000"/>
          <w:szCs w:val="22"/>
          <w:lang w:val="lt-LT"/>
        </w:rPr>
        <w:t xml:space="preserve"> %, lyginant su </w:t>
      </w:r>
      <w:r w:rsidRPr="00F93FFA">
        <w:rPr>
          <w:color w:val="000000"/>
          <w:szCs w:val="22"/>
        </w:rPr>
        <w:lastRenderedPageBreak/>
        <w:t>85,1</w:t>
      </w:r>
      <w:r w:rsidRPr="00F93FFA">
        <w:rPr>
          <w:color w:val="000000"/>
          <w:szCs w:val="22"/>
          <w:lang w:val="lt-LT"/>
        </w:rPr>
        <w:t xml:space="preserve"> %, p&lt;0,001). Gydymo laikui ilgėjant, kasmet nustatomas ligos progresavimo iki akceleracijos fazės arba blastų krizės dažnis mažėjo ir buvo mažesnis kaip 1 % kasmet ketvirtaisiais ir penktaisiais metais. Praėjus </w:t>
      </w:r>
      <w:r w:rsidRPr="00F93FFA">
        <w:rPr>
          <w:color w:val="000000"/>
          <w:szCs w:val="22"/>
        </w:rPr>
        <w:t>84 </w:t>
      </w:r>
      <w:r w:rsidRPr="00F93FFA">
        <w:rPr>
          <w:color w:val="000000"/>
          <w:szCs w:val="22"/>
          <w:lang w:val="lt-LT"/>
        </w:rPr>
        <w:t xml:space="preserve">mėnesiams, išgyvenusiųjų be ligos progresavimo dalis buvo tokia: </w:t>
      </w:r>
      <w:r w:rsidRPr="00F93FFA">
        <w:rPr>
          <w:color w:val="000000"/>
          <w:szCs w:val="22"/>
        </w:rPr>
        <w:t>81,2</w:t>
      </w:r>
      <w:r w:rsidRPr="00F93FFA">
        <w:rPr>
          <w:color w:val="000000"/>
          <w:szCs w:val="22"/>
          <w:lang w:val="lt-LT"/>
        </w:rPr>
        <w:t xml:space="preserve"> % Glivec grupėje ir </w:t>
      </w:r>
      <w:r w:rsidRPr="00F93FFA">
        <w:rPr>
          <w:color w:val="000000"/>
          <w:szCs w:val="22"/>
        </w:rPr>
        <w:t>60,6</w:t>
      </w:r>
      <w:r w:rsidRPr="00F93FFA">
        <w:rPr>
          <w:color w:val="000000"/>
          <w:szCs w:val="22"/>
          <w:lang w:val="lt-LT"/>
        </w:rPr>
        <w:t> % kontrolinėje grupėje (p&lt;0,001).</w:t>
      </w:r>
      <w:r w:rsidRPr="00F93FFA">
        <w:rPr>
          <w:rStyle w:val="Char0"/>
          <w:color w:val="000000"/>
          <w:sz w:val="22"/>
          <w:szCs w:val="22"/>
          <w:lang w:val="lt-LT"/>
        </w:rPr>
        <w:t xml:space="preserve"> Ligos bet kokio progresavimo dažnis Glivec grupėje taip pat mažėjo visą laiką.</w:t>
      </w:r>
    </w:p>
    <w:p w14:paraId="0E8F4892" w14:textId="77777777" w:rsidR="00314B70" w:rsidRPr="00F93FFA" w:rsidRDefault="00314B70" w:rsidP="00DE16D0">
      <w:pPr>
        <w:pStyle w:val="EndnoteText"/>
        <w:widowControl w:val="0"/>
        <w:rPr>
          <w:color w:val="000000"/>
          <w:szCs w:val="22"/>
          <w:lang w:val="lt-LT"/>
        </w:rPr>
      </w:pPr>
    </w:p>
    <w:p w14:paraId="29DFC5E2" w14:textId="77777777" w:rsidR="00314B70" w:rsidRPr="00F93FFA" w:rsidRDefault="00314B70" w:rsidP="00DE16D0">
      <w:pPr>
        <w:pStyle w:val="EndnoteText"/>
        <w:widowControl w:val="0"/>
        <w:rPr>
          <w:color w:val="000000"/>
          <w:szCs w:val="22"/>
          <w:lang w:val="lt-LT"/>
        </w:rPr>
      </w:pPr>
      <w:r w:rsidRPr="00F93FFA">
        <w:rPr>
          <w:color w:val="000000"/>
          <w:szCs w:val="22"/>
          <w:lang w:val="lt-LT"/>
        </w:rPr>
        <w:t xml:space="preserve">Iš viso Glivec ir IFN-Ara-C grupėse mirė atitinkamai </w:t>
      </w:r>
      <w:r w:rsidRPr="00F93FFA">
        <w:rPr>
          <w:color w:val="000000"/>
        </w:rPr>
        <w:t xml:space="preserve">71 </w:t>
      </w:r>
      <w:r w:rsidRPr="00F93FFA">
        <w:rPr>
          <w:color w:val="000000"/>
          <w:szCs w:val="22"/>
          <w:lang w:val="lt-LT"/>
        </w:rPr>
        <w:t>(</w:t>
      </w:r>
      <w:r w:rsidRPr="00F93FFA">
        <w:rPr>
          <w:color w:val="000000"/>
        </w:rPr>
        <w:t>12,8</w:t>
      </w:r>
      <w:r w:rsidRPr="00F93FFA">
        <w:rPr>
          <w:color w:val="000000"/>
          <w:szCs w:val="22"/>
          <w:lang w:val="lt-LT"/>
        </w:rPr>
        <w:t xml:space="preserve"> %) ir </w:t>
      </w:r>
      <w:r w:rsidRPr="00F93FFA">
        <w:rPr>
          <w:color w:val="000000"/>
        </w:rPr>
        <w:t xml:space="preserve">85 </w:t>
      </w:r>
      <w:r w:rsidRPr="00F93FFA">
        <w:rPr>
          <w:color w:val="000000"/>
          <w:szCs w:val="22"/>
          <w:lang w:val="lt-LT"/>
        </w:rPr>
        <w:t>(</w:t>
      </w:r>
      <w:r w:rsidRPr="00F93FFA">
        <w:rPr>
          <w:color w:val="000000"/>
        </w:rPr>
        <w:t>15,4</w:t>
      </w:r>
      <w:r w:rsidRPr="00F93FFA">
        <w:rPr>
          <w:color w:val="000000"/>
          <w:szCs w:val="22"/>
          <w:lang w:val="lt-LT"/>
        </w:rPr>
        <w:t xml:space="preserve"> %) pacientai. Praėjus </w:t>
      </w:r>
      <w:r w:rsidRPr="00F93FFA">
        <w:rPr>
          <w:color w:val="000000"/>
        </w:rPr>
        <w:t>84 </w:t>
      </w:r>
      <w:r w:rsidRPr="00F93FFA">
        <w:rPr>
          <w:color w:val="000000"/>
          <w:szCs w:val="22"/>
          <w:lang w:val="lt-LT"/>
        </w:rPr>
        <w:t xml:space="preserve">mėnesiams, nustatytas toks bendrasis išgyvenamumas: </w:t>
      </w:r>
      <w:r w:rsidRPr="00F93FFA">
        <w:rPr>
          <w:color w:val="000000"/>
        </w:rPr>
        <w:t>86,4</w:t>
      </w:r>
      <w:r w:rsidRPr="00F93FFA">
        <w:rPr>
          <w:color w:val="000000"/>
          <w:szCs w:val="22"/>
          <w:lang w:val="lt-LT"/>
        </w:rPr>
        <w:t> % (</w:t>
      </w:r>
      <w:r w:rsidRPr="00F93FFA">
        <w:rPr>
          <w:color w:val="000000"/>
        </w:rPr>
        <w:t>83</w:t>
      </w:r>
      <w:r w:rsidRPr="00F93FFA">
        <w:rPr>
          <w:color w:val="000000"/>
          <w:szCs w:val="22"/>
          <w:lang w:val="lt-LT"/>
        </w:rPr>
        <w:t xml:space="preserve">, </w:t>
      </w:r>
      <w:r w:rsidRPr="00F93FFA">
        <w:rPr>
          <w:color w:val="000000"/>
        </w:rPr>
        <w:t>90</w:t>
      </w:r>
      <w:r w:rsidRPr="00F93FFA">
        <w:rPr>
          <w:color w:val="000000"/>
          <w:szCs w:val="22"/>
          <w:lang w:val="lt-LT"/>
        </w:rPr>
        <w:t xml:space="preserve">) Glivec grupėje ir </w:t>
      </w:r>
      <w:r w:rsidRPr="00F93FFA">
        <w:rPr>
          <w:color w:val="000000"/>
        </w:rPr>
        <w:t>83,3</w:t>
      </w:r>
      <w:r w:rsidRPr="00F93FFA">
        <w:rPr>
          <w:color w:val="000000"/>
          <w:szCs w:val="22"/>
          <w:lang w:val="lt-LT"/>
        </w:rPr>
        <w:t> % (</w:t>
      </w:r>
      <w:r w:rsidRPr="00F93FFA">
        <w:rPr>
          <w:color w:val="000000"/>
        </w:rPr>
        <w:t>80</w:t>
      </w:r>
      <w:r w:rsidRPr="00F93FFA">
        <w:rPr>
          <w:color w:val="000000"/>
          <w:szCs w:val="22"/>
          <w:lang w:val="lt-LT"/>
        </w:rPr>
        <w:t xml:space="preserve">, </w:t>
      </w:r>
      <w:r w:rsidRPr="00F93FFA">
        <w:rPr>
          <w:color w:val="000000"/>
        </w:rPr>
        <w:t>87</w:t>
      </w:r>
      <w:r w:rsidRPr="00F93FFA">
        <w:rPr>
          <w:color w:val="000000"/>
          <w:szCs w:val="22"/>
          <w:lang w:val="lt-LT"/>
        </w:rPr>
        <w:t>) IFN+Ara-C grupėje, (p</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0,0</w:t>
      </w:r>
      <w:r w:rsidRPr="00F93FFA">
        <w:rPr>
          <w:color w:val="000000"/>
        </w:rPr>
        <w:t>73</w:t>
      </w:r>
      <w:r w:rsidRPr="00F93FFA">
        <w:rPr>
          <w:color w:val="000000"/>
          <w:szCs w:val="22"/>
          <w:lang w:val="lt-LT"/>
        </w:rPr>
        <w:t xml:space="preserve">, logaritminio rango kriterijus). Šį </w:t>
      </w:r>
      <w:r w:rsidRPr="00F93FFA">
        <w:t>“</w:t>
      </w:r>
      <w:r w:rsidRPr="00F93FFA">
        <w:rPr>
          <w:color w:val="000000"/>
          <w:szCs w:val="22"/>
          <w:lang w:val="lt-LT"/>
        </w:rPr>
        <w:t>laiko iki reiškinio</w:t>
      </w:r>
      <w:r w:rsidRPr="00F93FFA">
        <w:rPr>
          <w:color w:val="000000"/>
          <w:szCs w:val="22"/>
        </w:rPr>
        <w:t>”</w:t>
      </w:r>
      <w:r w:rsidRPr="00F93FFA">
        <w:rPr>
          <w:color w:val="000000"/>
          <w:szCs w:val="22"/>
          <w:lang w:val="lt-LT"/>
        </w:rPr>
        <w:t xml:space="preserve"> tyrimo tikslą smarkiai veikė didelis gydymo IFN+Ara-C keitimo gydymu Glivec dažnis. Toliau tiriant naujai diagnozuotos lėtinės LML fazės gydymo Glivec poveikį gyvenimo trukmei, atlikta aukščiau minėtų duomenų apie Glivec vartojimą ir kito III fazės tyrimo, kuriame naudojamas tokia pat tvarka skiriamas IFN-Ara-C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325), pirminių duomenų retrospektyvioji analizė. Atlikus šią retrospektyviąją analizę, įrodytas Glivec pranašumas, lyginant su IFN-Ara-C, bendrojo išgyvenamumo atžvilgiu (p&lt;0,001); per 42 mėnesius mirė 47 (8,5 %) Glivec vartoję pacientai ir 63 (19,4 %) IFN+Ara-C vartoję pacientai.</w:t>
      </w:r>
    </w:p>
    <w:p w14:paraId="08B73577" w14:textId="77777777" w:rsidR="00314B70" w:rsidRPr="00F93FFA" w:rsidRDefault="00314B70" w:rsidP="00DE16D0">
      <w:pPr>
        <w:pStyle w:val="EndnoteText"/>
        <w:widowControl w:val="0"/>
        <w:rPr>
          <w:color w:val="000000"/>
          <w:szCs w:val="22"/>
          <w:lang w:val="lt-LT"/>
        </w:rPr>
      </w:pPr>
    </w:p>
    <w:p w14:paraId="778AB8D8" w14:textId="1480AE60" w:rsidR="00314B70" w:rsidRPr="00F93FFA" w:rsidRDefault="00314B70" w:rsidP="00DE16D0">
      <w:pPr>
        <w:pStyle w:val="EndnoteText"/>
        <w:widowControl w:val="0"/>
        <w:rPr>
          <w:color w:val="000000"/>
          <w:szCs w:val="22"/>
        </w:rPr>
      </w:pPr>
      <w:r w:rsidRPr="00F93FFA">
        <w:rPr>
          <w:color w:val="000000"/>
          <w:szCs w:val="22"/>
          <w:lang w:val="lt-LT"/>
        </w:rPr>
        <w:t xml:space="preserve">Nustatyta, kad citogenetinio ir molekulinio atsako laipsnis turi akivaizdų poveikį ilgalaikiams gydymo Glivec rezultatams. Nors nustatyta, kad </w:t>
      </w:r>
      <w:r w:rsidRPr="00F93FFA">
        <w:rPr>
          <w:color w:val="000000"/>
        </w:rPr>
        <w:t>96</w:t>
      </w:r>
      <w:r w:rsidRPr="00F93FFA">
        <w:rPr>
          <w:color w:val="000000"/>
          <w:szCs w:val="22"/>
          <w:lang w:val="lt-LT"/>
        </w:rPr>
        <w:t xml:space="preserve">% (93 %) pacientų, kuriems po 12 mėnesių buvo stebimas CCyR (PCyR), liga neprogresavo iki akceleracijos fazės ar blastinės krizės praėjus </w:t>
      </w:r>
      <w:r w:rsidRPr="00F93FFA">
        <w:rPr>
          <w:color w:val="000000"/>
        </w:rPr>
        <w:t>84 </w:t>
      </w:r>
      <w:r w:rsidRPr="00F93FFA">
        <w:rPr>
          <w:color w:val="000000"/>
          <w:szCs w:val="22"/>
          <w:lang w:val="lt-LT"/>
        </w:rPr>
        <w:t xml:space="preserve">mėnesiams, tik 81 % pacientų, kuriems po 12 mėnesių nebuvo stebima MCyR, liga neprogresavo iki išplitusios LML praėjus </w:t>
      </w:r>
      <w:r w:rsidRPr="00F93FFA">
        <w:rPr>
          <w:color w:val="000000"/>
        </w:rPr>
        <w:t>84 </w:t>
      </w:r>
      <w:r w:rsidRPr="00F93FFA">
        <w:rPr>
          <w:color w:val="000000"/>
          <w:szCs w:val="22"/>
          <w:lang w:val="lt-LT"/>
        </w:rPr>
        <w:t>mėnesiams (bendrasis p&lt;0,001, tarp CCyR ir PCyR p</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0,25). Pacientams su Bcr</w:t>
      </w:r>
      <w:r w:rsidR="00B37342" w:rsidRPr="00F93FFA">
        <w:rPr>
          <w:color w:val="000000"/>
          <w:szCs w:val="22"/>
          <w:lang w:val="lt-LT"/>
        </w:rPr>
        <w:noBreakHyphen/>
      </w:r>
      <w:r w:rsidRPr="00F93FFA">
        <w:rPr>
          <w:color w:val="000000"/>
          <w:szCs w:val="22"/>
          <w:lang w:val="lt-LT"/>
        </w:rPr>
        <w:t xml:space="preserve">Abl transkriptų sumažėjimu mažiausiai 3 logaritmais per 12 mėnesių tikimybė išlikti be ligos progresijos iki akceleracijos fazės/blastinės krizės buvo </w:t>
      </w:r>
      <w:r w:rsidRPr="00F93FFA">
        <w:rPr>
          <w:color w:val="000000"/>
          <w:szCs w:val="22"/>
        </w:rPr>
        <w:t>99</w:t>
      </w:r>
      <w:r w:rsidRPr="00F93FFA">
        <w:rPr>
          <w:color w:val="000000"/>
          <w:szCs w:val="22"/>
          <w:lang w:val="lt-LT"/>
        </w:rPr>
        <w:t xml:space="preserve">% per </w:t>
      </w:r>
      <w:r w:rsidRPr="00F93FFA">
        <w:rPr>
          <w:color w:val="000000"/>
          <w:szCs w:val="22"/>
        </w:rPr>
        <w:t>84 </w:t>
      </w:r>
      <w:r w:rsidRPr="00F93FFA">
        <w:rPr>
          <w:color w:val="000000"/>
          <w:szCs w:val="22"/>
          <w:lang w:val="lt-LT"/>
        </w:rPr>
        <w:t>mėnesius. Panašūs rezultatai gauti, remiantis per 18 mėnesių laikotarpį gautų duomenų analize.</w:t>
      </w:r>
    </w:p>
    <w:p w14:paraId="1FE23387" w14:textId="77777777" w:rsidR="00314B70" w:rsidRPr="00F93FFA" w:rsidRDefault="00314B70" w:rsidP="00DE16D0">
      <w:pPr>
        <w:widowControl w:val="0"/>
        <w:rPr>
          <w:color w:val="000000"/>
        </w:rPr>
      </w:pPr>
    </w:p>
    <w:p w14:paraId="43DF7BAA" w14:textId="77777777" w:rsidR="00314B70" w:rsidRPr="00F93FFA" w:rsidRDefault="00314B70" w:rsidP="00DE16D0">
      <w:pPr>
        <w:pStyle w:val="EndnoteText"/>
        <w:widowControl w:val="0"/>
        <w:rPr>
          <w:color w:val="000000"/>
          <w:szCs w:val="22"/>
          <w:lang w:val="lt-LT"/>
        </w:rPr>
      </w:pPr>
      <w:r w:rsidRPr="00F93FFA">
        <w:rPr>
          <w:color w:val="000000"/>
          <w:szCs w:val="22"/>
          <w:lang w:val="lt-LT"/>
        </w:rPr>
        <w:t>Šio tyrimo metu dozę buvo galima didinti nuo 400 mg per parą iki 600 mg per parą, po to nuo 600 mg per parą iki 800 mg per parą. Per 42 mėnesių stebėjimo laikotarpį 11 pacientų buvo registruotas citogenetinio atsako netekimas (per 4 savaites). Iš šių 11 pacientų 4 pacientams dozė buvo padidinta iki 800 mg per parą, iš jų dviem buvo vėl gautas citogenetinis atsakas (vienam – dalinis ir kitam - visiškas, vėliau pastarajam buvo gautas ir molekulinis atsakas), tuo tarpu iš 7 pacientų, kuriems dozė nebuvo didinta, tik vienam vėl buvo gautas visiškas citogenetinis atsakas. Kai kurių nepageidaujamų reakcijų procentas buvo didesnis tarp 40 pacientų, kuriems dozė buvo padidinta iki 800 mg per parą, lyginant su pacientų populiacija iki dozės didinimo (n = 551). Dažnesnės buvo šios nepageidaujamos reakcijos: kraujavimas į virškinimo traktą, konjunktyvitas bei transaminazių ar bilirubino koncentracijos padidėjimas. Kitos nepageidaujamos reakcijos registruotos tuo pačiu dažniu ar rečiau.</w:t>
      </w:r>
    </w:p>
    <w:p w14:paraId="6F97F662" w14:textId="77777777" w:rsidR="00314B70" w:rsidRPr="00F93FFA" w:rsidRDefault="00314B70" w:rsidP="00DE16D0">
      <w:pPr>
        <w:pStyle w:val="EndnoteText"/>
        <w:widowControl w:val="0"/>
        <w:rPr>
          <w:color w:val="000000"/>
          <w:szCs w:val="22"/>
          <w:lang w:val="lt-LT"/>
        </w:rPr>
      </w:pPr>
    </w:p>
    <w:p w14:paraId="33D3EE56" w14:textId="77777777" w:rsidR="00314B70" w:rsidRPr="00F93FFA" w:rsidRDefault="00314B70" w:rsidP="00DE16D0">
      <w:pPr>
        <w:widowControl w:val="0"/>
        <w:rPr>
          <w:color w:val="000000"/>
          <w:sz w:val="22"/>
          <w:szCs w:val="22"/>
        </w:rPr>
      </w:pPr>
      <w:r w:rsidRPr="00F93FFA">
        <w:rPr>
          <w:i/>
          <w:color w:val="000000"/>
          <w:sz w:val="22"/>
          <w:szCs w:val="22"/>
        </w:rPr>
        <w:t>Lėtinė fazė, nesėkmingas gydymas interferonu</w:t>
      </w:r>
      <w:r w:rsidRPr="00F93FFA">
        <w:rPr>
          <w:color w:val="000000"/>
          <w:sz w:val="22"/>
          <w:szCs w:val="22"/>
        </w:rPr>
        <w:t xml:space="preserve">. 532 suaugusieji pacientai buvo gydomi pradine 400 mg doze. Jie buvo suskirstyti į tris pagrindines kategorijas: hematologinės nesėkmės (29 %), citogenetinės nesėkmės (35 %) ar interferono netoleravimo (36 %). Prieš tai pacientai buvo gydyti interferono doze </w:t>
      </w:r>
      <w:r w:rsidRPr="00F93FFA">
        <w:rPr>
          <w:color w:val="000000"/>
          <w:sz w:val="22"/>
          <w:szCs w:val="22"/>
        </w:rPr>
        <w:sym w:font="Symbol" w:char="F0B3"/>
      </w:r>
      <w:r w:rsidRPr="00F93FFA">
        <w:rPr>
          <w:color w:val="000000"/>
          <w:sz w:val="22"/>
          <w:szCs w:val="22"/>
        </w:rPr>
        <w:t> 25 x 10</w:t>
      </w:r>
      <w:r w:rsidRPr="00F93FFA">
        <w:rPr>
          <w:color w:val="000000"/>
          <w:sz w:val="22"/>
          <w:szCs w:val="22"/>
          <w:vertAlign w:val="superscript"/>
        </w:rPr>
        <w:t>6</w:t>
      </w:r>
      <w:r w:rsidRPr="00F93FFA">
        <w:rPr>
          <w:color w:val="000000"/>
          <w:sz w:val="22"/>
          <w:szCs w:val="22"/>
        </w:rPr>
        <w:t> TV per savaitę (vidurinė gydymo trukmė 14 mėnesių), visiems jiems buvo vėlyvoji lėtinė ligos fazė, vidutinė ligos trukmė nuo diagnozės patvirtinimo – 32 mėnesiai. Svarbiausias tyrimo efektyvumo kintamasis buvo didžiojo citogenetinio atsako (visiško ir dalinio astako, 0–35 % Ph+ metafazių kaulų čiulpuose) dažnis.</w:t>
      </w:r>
    </w:p>
    <w:p w14:paraId="646B1FE6" w14:textId="77777777" w:rsidR="00314B70" w:rsidRPr="00F93FFA" w:rsidRDefault="00314B70" w:rsidP="00DE16D0">
      <w:pPr>
        <w:widowControl w:val="0"/>
        <w:rPr>
          <w:color w:val="000000"/>
          <w:sz w:val="22"/>
          <w:szCs w:val="22"/>
        </w:rPr>
      </w:pPr>
    </w:p>
    <w:p w14:paraId="7CB39F68" w14:textId="77777777" w:rsidR="00314B70" w:rsidRPr="00F93FFA" w:rsidRDefault="00314B70" w:rsidP="00DE16D0">
      <w:pPr>
        <w:widowControl w:val="0"/>
        <w:rPr>
          <w:color w:val="000000"/>
          <w:sz w:val="22"/>
          <w:szCs w:val="22"/>
        </w:rPr>
      </w:pPr>
      <w:r w:rsidRPr="00F93FFA">
        <w:rPr>
          <w:color w:val="000000"/>
          <w:sz w:val="22"/>
          <w:szCs w:val="22"/>
        </w:rPr>
        <w:t>Šio tyrimo metu 65 % pacientų gautas didysis citogenetinis atsakas: visiškas – 53 % (patvirtintas 43 %) pacientų (</w:t>
      </w:r>
      <w:r w:rsidR="00BC035E" w:rsidRPr="00F93FFA">
        <w:rPr>
          <w:color w:val="000000"/>
          <w:sz w:val="22"/>
          <w:szCs w:val="22"/>
        </w:rPr>
        <w:t>3</w:t>
      </w:r>
      <w:r w:rsidRPr="00F93FFA">
        <w:rPr>
          <w:color w:val="000000"/>
          <w:sz w:val="22"/>
          <w:szCs w:val="22"/>
        </w:rPr>
        <w:t> lentelė). Visiškas hematologinis atsakas gautas 95 % pacientų.</w:t>
      </w:r>
    </w:p>
    <w:p w14:paraId="11F7455B" w14:textId="77777777" w:rsidR="00314B70" w:rsidRPr="00F93FFA" w:rsidRDefault="00314B70" w:rsidP="00DE16D0">
      <w:pPr>
        <w:widowControl w:val="0"/>
        <w:rPr>
          <w:color w:val="000000"/>
          <w:sz w:val="22"/>
          <w:szCs w:val="22"/>
        </w:rPr>
      </w:pPr>
    </w:p>
    <w:p w14:paraId="562C6F2D" w14:textId="77777777" w:rsidR="00314B70" w:rsidRPr="00F93FFA" w:rsidRDefault="00314B70" w:rsidP="00DE16D0">
      <w:pPr>
        <w:widowControl w:val="0"/>
        <w:rPr>
          <w:color w:val="000000"/>
          <w:sz w:val="22"/>
          <w:szCs w:val="22"/>
        </w:rPr>
      </w:pPr>
      <w:r w:rsidRPr="00F93FFA">
        <w:rPr>
          <w:i/>
          <w:color w:val="000000"/>
          <w:sz w:val="22"/>
          <w:szCs w:val="22"/>
        </w:rPr>
        <w:t>Akceleracijos fazė</w:t>
      </w:r>
      <w:r w:rsidRPr="00F93FFA">
        <w:rPr>
          <w:color w:val="000000"/>
          <w:sz w:val="22"/>
          <w:szCs w:val="22"/>
        </w:rPr>
        <w:t>. Tyrime dalyvavo 235 suaugusieji pacientai, kuriems buvo ligos akceleracijos fazė. Pirmieji 77 pacientai buvo pradėti gydyti 400 mg doze, paskui protokolas buvo papildytas, ir kitiems 158 pacientams leista vartoti pradinę 600 mg dozę.</w:t>
      </w:r>
    </w:p>
    <w:p w14:paraId="01B1F741" w14:textId="77777777" w:rsidR="00314B70" w:rsidRPr="00F93FFA" w:rsidRDefault="00314B70" w:rsidP="00DE16D0">
      <w:pPr>
        <w:widowControl w:val="0"/>
        <w:rPr>
          <w:color w:val="000000"/>
          <w:sz w:val="22"/>
          <w:szCs w:val="22"/>
        </w:rPr>
      </w:pPr>
    </w:p>
    <w:p w14:paraId="23672D4A" w14:textId="77777777" w:rsidR="00314B70" w:rsidRPr="00F93FFA" w:rsidRDefault="00314B70" w:rsidP="00DE16D0">
      <w:pPr>
        <w:widowControl w:val="0"/>
        <w:rPr>
          <w:color w:val="000000"/>
          <w:sz w:val="22"/>
          <w:szCs w:val="22"/>
        </w:rPr>
      </w:pPr>
      <w:r w:rsidRPr="00F93FFA">
        <w:rPr>
          <w:color w:val="000000"/>
          <w:sz w:val="22"/>
          <w:szCs w:val="22"/>
        </w:rPr>
        <w:t>Svarbiausias veiksmingumo kintamasis buvo hematologinio atsako, apibūdinamo visišku hematologiniu atsaku, išnykusiais leukemijos požymiais (t.</w:t>
      </w:r>
      <w:r w:rsidR="00957B98" w:rsidRPr="00F93FFA">
        <w:rPr>
          <w:color w:val="000000"/>
          <w:sz w:val="22"/>
          <w:szCs w:val="22"/>
        </w:rPr>
        <w:t> </w:t>
      </w:r>
      <w:r w:rsidRPr="00F93FFA">
        <w:rPr>
          <w:color w:val="000000"/>
          <w:sz w:val="22"/>
          <w:szCs w:val="22"/>
        </w:rPr>
        <w:t>y. išnykusiais blastais iš kaulų čiulpų ir kraujo, bet nevisiškai atsigavusiam periferiniam kraujui kaip esant visiškam atsakui) ar grįžimu į lėtinę LML fazę, dažnis. Visiškas hematologinis atsakas patvirtintas 71,5 % pacientų (</w:t>
      </w:r>
      <w:r w:rsidR="00BC035E" w:rsidRPr="00F93FFA">
        <w:rPr>
          <w:color w:val="000000"/>
          <w:sz w:val="22"/>
          <w:szCs w:val="22"/>
        </w:rPr>
        <w:t>3</w:t>
      </w:r>
      <w:r w:rsidRPr="00F93FFA">
        <w:rPr>
          <w:color w:val="000000"/>
          <w:sz w:val="22"/>
          <w:szCs w:val="22"/>
        </w:rPr>
        <w:t xml:space="preserve"> lentelė). Svarbu tai, kad 27,7 % tiriamųjų gautas didysis citogenetinis atsakas, kuris visiškas buvo 20,4 % (patvirtintas 16 %). Pacientams, gydytiems 600 mg doze, nustatyta išgyvenamumo be ligos progresavimo ir bendro </w:t>
      </w:r>
      <w:r w:rsidRPr="00F93FFA">
        <w:rPr>
          <w:color w:val="000000"/>
          <w:sz w:val="22"/>
          <w:szCs w:val="22"/>
        </w:rPr>
        <w:lastRenderedPageBreak/>
        <w:t>išgyvenamumo mediana buvo atitinkamai 22,9 ir 42,5 mėnesių.</w:t>
      </w:r>
    </w:p>
    <w:p w14:paraId="48413DF6" w14:textId="77777777" w:rsidR="00314B70" w:rsidRPr="00F93FFA" w:rsidRDefault="00314B70" w:rsidP="00DE16D0">
      <w:pPr>
        <w:widowControl w:val="0"/>
        <w:rPr>
          <w:color w:val="000000"/>
          <w:sz w:val="22"/>
          <w:szCs w:val="22"/>
        </w:rPr>
      </w:pPr>
    </w:p>
    <w:p w14:paraId="09F2DB31" w14:textId="77777777" w:rsidR="00314B70" w:rsidRPr="00F93FFA" w:rsidRDefault="00314B70" w:rsidP="00DE16D0">
      <w:pPr>
        <w:widowControl w:val="0"/>
        <w:rPr>
          <w:color w:val="000000"/>
          <w:sz w:val="22"/>
          <w:szCs w:val="22"/>
        </w:rPr>
      </w:pPr>
      <w:r w:rsidRPr="00F93FFA">
        <w:rPr>
          <w:i/>
          <w:color w:val="000000"/>
          <w:sz w:val="22"/>
          <w:szCs w:val="22"/>
        </w:rPr>
        <w:t>Mieloblastinė krizė</w:t>
      </w:r>
      <w:r w:rsidRPr="00F93FFA">
        <w:rPr>
          <w:color w:val="000000"/>
          <w:sz w:val="22"/>
          <w:szCs w:val="22"/>
        </w:rPr>
        <w:t>. Tyrime dalyvavo 260 pacientų, kuriems buvo mieloblastinė krizė. 95 (37 %) pacientai anksčiau gavo chemoterapiją dėl akceleracijos fazės ar blastinės krizės (“anksčiau gydyti pacientai”) ir 165 (63 %) negydyti (“negydyti pacientai”). Pirmieji 37 pacientai pradėti gydyti 400 mg doze. Paskui protokolas buvo papildytas, kad galima būtų skirti didesnę dozę, taigi kiti 223 pacientai buvo pradėti gydyti 600 mg doze.</w:t>
      </w:r>
    </w:p>
    <w:p w14:paraId="44CF8B97" w14:textId="77777777" w:rsidR="00314B70" w:rsidRPr="00F93FFA" w:rsidRDefault="00314B70" w:rsidP="00DE16D0">
      <w:pPr>
        <w:widowControl w:val="0"/>
        <w:rPr>
          <w:color w:val="000000"/>
          <w:sz w:val="22"/>
          <w:szCs w:val="22"/>
        </w:rPr>
      </w:pPr>
    </w:p>
    <w:p w14:paraId="692B00CF" w14:textId="77777777" w:rsidR="00314B70" w:rsidRPr="00F93FFA" w:rsidRDefault="00314B70" w:rsidP="00DE16D0">
      <w:pPr>
        <w:widowControl w:val="0"/>
        <w:rPr>
          <w:color w:val="000000"/>
          <w:sz w:val="22"/>
          <w:szCs w:val="22"/>
        </w:rPr>
      </w:pPr>
      <w:r w:rsidRPr="00F93FFA">
        <w:rPr>
          <w:color w:val="000000"/>
          <w:sz w:val="22"/>
          <w:szCs w:val="22"/>
        </w:rPr>
        <w:t>Svarbiausias veiksmingumo kintamasis buvo hematologinio atsako, apibūdinamo visišku hematologiniu atsaku, išnykusia leukemija ar grįžimu į lėtinę LML fazę, vertinant pagal tuos pačius kriterijus kaip ir akceleracijos fazės tyrimo metu, dažnis. Šio tyrimo metu hematologinis atsakas gautas 31 % pacientų (36 % – anksčiau negydytiems ir 22 % – anksčiau gydytiems). Atsako dažnis taip pat buvo didesnis pacientams, gydytiems 600 mg doze (33 %), lyginant su gydytais 400 mg doze (16 %, p</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0,0220). Nustatyta vidutinė anksčiau negydytų ir anksčiau gydytų pacientų išgyvenamumo trukmė buvo atitinkamai 7,7 mėn. ir 4,7 mėn.</w:t>
      </w:r>
    </w:p>
    <w:p w14:paraId="31CB070D" w14:textId="77777777" w:rsidR="00314B70" w:rsidRPr="00F93FFA" w:rsidRDefault="00314B70" w:rsidP="00DE16D0">
      <w:pPr>
        <w:widowControl w:val="0"/>
        <w:rPr>
          <w:color w:val="000000"/>
          <w:sz w:val="22"/>
          <w:szCs w:val="22"/>
        </w:rPr>
      </w:pPr>
    </w:p>
    <w:p w14:paraId="54DA4F3E" w14:textId="77777777" w:rsidR="00314B70" w:rsidRPr="00F93FFA" w:rsidRDefault="00314B70" w:rsidP="00DE16D0">
      <w:pPr>
        <w:widowControl w:val="0"/>
        <w:rPr>
          <w:color w:val="000000"/>
          <w:sz w:val="22"/>
          <w:szCs w:val="22"/>
        </w:rPr>
      </w:pPr>
      <w:r w:rsidRPr="00F93FFA">
        <w:rPr>
          <w:i/>
          <w:color w:val="000000"/>
          <w:sz w:val="22"/>
          <w:szCs w:val="22"/>
        </w:rPr>
        <w:t>Limfoblastinė krizė</w:t>
      </w:r>
      <w:r w:rsidRPr="00F93FFA">
        <w:rPr>
          <w:color w:val="000000"/>
          <w:sz w:val="22"/>
          <w:szCs w:val="22"/>
        </w:rPr>
        <w:t>. Nedaug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10) pacientų buvo įtraukta į I fazės tyrimą. Hematologinio atsako dažnis buvo 70 %, jo trukmė – 2–3 mėnesiai.</w:t>
      </w:r>
    </w:p>
    <w:p w14:paraId="561EEF57" w14:textId="77777777" w:rsidR="00314B70" w:rsidRPr="00F93FFA" w:rsidRDefault="00314B70" w:rsidP="00DE16D0">
      <w:pPr>
        <w:widowControl w:val="0"/>
        <w:rPr>
          <w:color w:val="000000"/>
          <w:sz w:val="22"/>
          <w:szCs w:val="22"/>
        </w:rPr>
      </w:pPr>
    </w:p>
    <w:p w14:paraId="7BD0B312" w14:textId="77777777" w:rsidR="00314B70" w:rsidRPr="00F93FFA" w:rsidRDefault="00BC035E" w:rsidP="0003209B">
      <w:pPr>
        <w:keepNext/>
        <w:keepLines/>
        <w:widowControl w:val="0"/>
        <w:tabs>
          <w:tab w:val="left" w:pos="1080"/>
        </w:tabs>
        <w:rPr>
          <w:b/>
          <w:color w:val="000000"/>
          <w:sz w:val="22"/>
          <w:szCs w:val="22"/>
        </w:rPr>
      </w:pPr>
      <w:r w:rsidRPr="00F93FFA">
        <w:rPr>
          <w:b/>
          <w:color w:val="000000"/>
          <w:sz w:val="22"/>
          <w:szCs w:val="22"/>
        </w:rPr>
        <w:t>3</w:t>
      </w:r>
      <w:r w:rsidR="00314B70" w:rsidRPr="00F93FFA">
        <w:rPr>
          <w:b/>
          <w:color w:val="000000"/>
          <w:sz w:val="22"/>
          <w:szCs w:val="22"/>
        </w:rPr>
        <w:t> lentelė</w:t>
      </w:r>
      <w:r w:rsidR="00314B70" w:rsidRPr="00F93FFA">
        <w:rPr>
          <w:b/>
          <w:color w:val="000000"/>
          <w:sz w:val="22"/>
          <w:szCs w:val="22"/>
        </w:rPr>
        <w:tab/>
        <w:t>LML tyrimų suaugusiųjų tarpe atsakas</w:t>
      </w:r>
    </w:p>
    <w:p w14:paraId="1072AAE9" w14:textId="77777777" w:rsidR="00314B70" w:rsidRPr="00F93FFA" w:rsidRDefault="00314B70" w:rsidP="0003209B">
      <w:pPr>
        <w:keepNext/>
        <w:keepLines/>
        <w:widowControl w:val="0"/>
        <w:rPr>
          <w:color w:val="000000"/>
          <w:sz w:val="22"/>
          <w:szCs w:val="22"/>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9"/>
        <w:gridCol w:w="2101"/>
        <w:gridCol w:w="1980"/>
        <w:gridCol w:w="1980"/>
      </w:tblGrid>
      <w:tr w:rsidR="00314B70" w:rsidRPr="00F93FFA" w14:paraId="4489BFDD" w14:textId="77777777" w:rsidTr="008D42AF">
        <w:tc>
          <w:tcPr>
            <w:tcW w:w="3299" w:type="dxa"/>
            <w:tcBorders>
              <w:bottom w:val="nil"/>
            </w:tcBorders>
          </w:tcPr>
          <w:p w14:paraId="1A135961" w14:textId="77777777" w:rsidR="00314B70" w:rsidRPr="00F93FFA" w:rsidRDefault="00314B70" w:rsidP="0003209B">
            <w:pPr>
              <w:pStyle w:val="EndnoteText"/>
              <w:keepNext/>
              <w:keepLines/>
              <w:widowControl w:val="0"/>
              <w:tabs>
                <w:tab w:val="clear" w:pos="567"/>
              </w:tabs>
              <w:rPr>
                <w:color w:val="000000"/>
                <w:szCs w:val="22"/>
                <w:lang w:val="lt-LT"/>
              </w:rPr>
            </w:pPr>
          </w:p>
        </w:tc>
        <w:tc>
          <w:tcPr>
            <w:tcW w:w="2101" w:type="dxa"/>
            <w:tcBorders>
              <w:bottom w:val="nil"/>
            </w:tcBorders>
          </w:tcPr>
          <w:p w14:paraId="7358A292"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Tyrimas 0110</w:t>
            </w:r>
          </w:p>
          <w:p w14:paraId="2A61AE0E" w14:textId="77777777" w:rsidR="00314B70" w:rsidRPr="00F93FFA" w:rsidRDefault="00314B70" w:rsidP="0003209B">
            <w:pPr>
              <w:pStyle w:val="Table"/>
              <w:widowControl w:val="0"/>
              <w:spacing w:before="0" w:after="0"/>
              <w:jc w:val="center"/>
              <w:rPr>
                <w:rFonts w:ascii="Times New Roman" w:hAnsi="Times New Roman"/>
                <w:color w:val="000000"/>
                <w:sz w:val="22"/>
                <w:szCs w:val="22"/>
                <w:lang w:val="lt-LT"/>
              </w:rPr>
            </w:pPr>
            <w:r w:rsidRPr="00F93FFA">
              <w:rPr>
                <w:rFonts w:ascii="Times New Roman" w:hAnsi="Times New Roman"/>
                <w:color w:val="000000"/>
                <w:sz w:val="22"/>
                <w:szCs w:val="22"/>
                <w:lang w:val="lt-LT"/>
              </w:rPr>
              <w:t>37 mėnesių duomenys</w:t>
            </w:r>
          </w:p>
          <w:p w14:paraId="005F2209"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Lėtinė fazė, nesėkmingas gydymas IFN</w:t>
            </w:r>
          </w:p>
          <w:p w14:paraId="5CA969AB"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532)</w:t>
            </w:r>
          </w:p>
        </w:tc>
        <w:tc>
          <w:tcPr>
            <w:tcW w:w="1980" w:type="dxa"/>
            <w:tcBorders>
              <w:bottom w:val="nil"/>
            </w:tcBorders>
          </w:tcPr>
          <w:p w14:paraId="6A479A04"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Tyrimas 0109</w:t>
            </w:r>
          </w:p>
          <w:p w14:paraId="57EC6BF6"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40,5 mėnesių duomenys</w:t>
            </w:r>
          </w:p>
          <w:p w14:paraId="23F69469"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Akceleracijos fazė</w:t>
            </w:r>
          </w:p>
          <w:p w14:paraId="45A84408"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235)</w:t>
            </w:r>
          </w:p>
        </w:tc>
        <w:tc>
          <w:tcPr>
            <w:tcW w:w="1980" w:type="dxa"/>
            <w:tcBorders>
              <w:bottom w:val="nil"/>
            </w:tcBorders>
          </w:tcPr>
          <w:p w14:paraId="6346B01C"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Tyrimas 0102</w:t>
            </w:r>
          </w:p>
          <w:p w14:paraId="29DF0DC5"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38 mėnesių duomenys</w:t>
            </w:r>
          </w:p>
          <w:p w14:paraId="6D20121C"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Mieloblastinė krizė</w:t>
            </w:r>
          </w:p>
          <w:p w14:paraId="0263AA52"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260)</w:t>
            </w:r>
          </w:p>
        </w:tc>
      </w:tr>
      <w:tr w:rsidR="00314B70" w:rsidRPr="00F93FFA" w14:paraId="3D2C11D9" w14:textId="77777777" w:rsidTr="008D42AF">
        <w:tc>
          <w:tcPr>
            <w:tcW w:w="3299" w:type="dxa"/>
            <w:tcBorders>
              <w:bottom w:val="nil"/>
            </w:tcBorders>
          </w:tcPr>
          <w:p w14:paraId="73926457" w14:textId="77777777" w:rsidR="00314B70" w:rsidRPr="00F93FFA" w:rsidRDefault="00314B70" w:rsidP="0003209B">
            <w:pPr>
              <w:pStyle w:val="EndnoteText"/>
              <w:keepNext/>
              <w:keepLines/>
              <w:widowControl w:val="0"/>
              <w:tabs>
                <w:tab w:val="clear" w:pos="567"/>
              </w:tabs>
              <w:rPr>
                <w:color w:val="000000"/>
                <w:szCs w:val="22"/>
                <w:lang w:val="lt-LT"/>
              </w:rPr>
            </w:pPr>
          </w:p>
        </w:tc>
        <w:tc>
          <w:tcPr>
            <w:tcW w:w="6061" w:type="dxa"/>
            <w:gridSpan w:val="3"/>
            <w:tcBorders>
              <w:bottom w:val="nil"/>
            </w:tcBorders>
          </w:tcPr>
          <w:p w14:paraId="52205364"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 pacientų (PI</w:t>
            </w:r>
            <w:r w:rsidRPr="00F93FFA">
              <w:rPr>
                <w:color w:val="000000"/>
                <w:szCs w:val="22"/>
                <w:vertAlign w:val="subscript"/>
                <w:lang w:val="lt-LT"/>
              </w:rPr>
              <w:t>95 %</w:t>
            </w:r>
            <w:r w:rsidRPr="00F93FFA">
              <w:rPr>
                <w:color w:val="000000"/>
                <w:szCs w:val="22"/>
                <w:lang w:val="lt-LT"/>
              </w:rPr>
              <w:t>)</w:t>
            </w:r>
          </w:p>
        </w:tc>
      </w:tr>
      <w:tr w:rsidR="00314B70" w:rsidRPr="00F93FFA" w14:paraId="597B0BFD" w14:textId="77777777" w:rsidTr="008D42AF">
        <w:tc>
          <w:tcPr>
            <w:tcW w:w="3299" w:type="dxa"/>
            <w:tcBorders>
              <w:bottom w:val="nil"/>
            </w:tcBorders>
          </w:tcPr>
          <w:p w14:paraId="5EB58899"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lang w:val="lt-LT"/>
              </w:rPr>
              <w:t>Hematologinis atsakas</w:t>
            </w:r>
          </w:p>
        </w:tc>
        <w:tc>
          <w:tcPr>
            <w:tcW w:w="2101" w:type="dxa"/>
            <w:tcBorders>
              <w:bottom w:val="nil"/>
            </w:tcBorders>
          </w:tcPr>
          <w:p w14:paraId="75463C75"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95 % (92,3–96,3)</w:t>
            </w:r>
          </w:p>
        </w:tc>
        <w:tc>
          <w:tcPr>
            <w:tcW w:w="1980" w:type="dxa"/>
            <w:tcBorders>
              <w:bottom w:val="nil"/>
            </w:tcBorders>
          </w:tcPr>
          <w:p w14:paraId="228A3D68"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71 % (65,3–77,2)</w:t>
            </w:r>
          </w:p>
        </w:tc>
        <w:tc>
          <w:tcPr>
            <w:tcW w:w="1980" w:type="dxa"/>
            <w:tcBorders>
              <w:bottom w:val="nil"/>
            </w:tcBorders>
          </w:tcPr>
          <w:p w14:paraId="2C627DA6"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31 % (25,2–36,8)</w:t>
            </w:r>
          </w:p>
        </w:tc>
      </w:tr>
      <w:tr w:rsidR="00314B70" w:rsidRPr="00F93FFA" w14:paraId="06E1E82C" w14:textId="77777777" w:rsidTr="008D42AF">
        <w:tc>
          <w:tcPr>
            <w:tcW w:w="3299" w:type="dxa"/>
            <w:tcBorders>
              <w:top w:val="nil"/>
              <w:bottom w:val="nil"/>
            </w:tcBorders>
          </w:tcPr>
          <w:p w14:paraId="6087DC13" w14:textId="77777777" w:rsidR="00314B70" w:rsidRPr="00F93FFA" w:rsidRDefault="00314B70" w:rsidP="0003209B">
            <w:pPr>
              <w:pStyle w:val="EndnoteText"/>
              <w:keepNext/>
              <w:keepLines/>
              <w:widowControl w:val="0"/>
              <w:tabs>
                <w:tab w:val="clear" w:pos="567"/>
              </w:tabs>
              <w:ind w:left="284"/>
              <w:rPr>
                <w:color w:val="000000"/>
                <w:szCs w:val="22"/>
                <w:lang w:val="lt-LT"/>
              </w:rPr>
            </w:pPr>
            <w:r w:rsidRPr="00F93FFA">
              <w:rPr>
                <w:color w:val="000000"/>
                <w:szCs w:val="22"/>
                <w:lang w:val="lt-LT"/>
              </w:rPr>
              <w:t>Visiškas hematologinis atsakas (VHA)</w:t>
            </w:r>
          </w:p>
        </w:tc>
        <w:tc>
          <w:tcPr>
            <w:tcW w:w="2101" w:type="dxa"/>
            <w:tcBorders>
              <w:top w:val="nil"/>
              <w:bottom w:val="nil"/>
            </w:tcBorders>
          </w:tcPr>
          <w:p w14:paraId="5712A5B5"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95 %</w:t>
            </w:r>
          </w:p>
        </w:tc>
        <w:tc>
          <w:tcPr>
            <w:tcW w:w="1980" w:type="dxa"/>
            <w:tcBorders>
              <w:top w:val="nil"/>
              <w:bottom w:val="nil"/>
            </w:tcBorders>
          </w:tcPr>
          <w:p w14:paraId="016C04AC"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42 %</w:t>
            </w:r>
          </w:p>
        </w:tc>
        <w:tc>
          <w:tcPr>
            <w:tcW w:w="1980" w:type="dxa"/>
            <w:tcBorders>
              <w:top w:val="nil"/>
              <w:bottom w:val="nil"/>
            </w:tcBorders>
          </w:tcPr>
          <w:p w14:paraId="27FBEDE3"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8 %</w:t>
            </w:r>
          </w:p>
        </w:tc>
      </w:tr>
      <w:tr w:rsidR="00314B70" w:rsidRPr="00F93FFA" w14:paraId="6BEF8841" w14:textId="77777777" w:rsidTr="008D42AF">
        <w:tc>
          <w:tcPr>
            <w:tcW w:w="3299" w:type="dxa"/>
            <w:tcBorders>
              <w:top w:val="nil"/>
              <w:bottom w:val="nil"/>
            </w:tcBorders>
          </w:tcPr>
          <w:p w14:paraId="2394A2A3" w14:textId="77777777" w:rsidR="00314B70" w:rsidRPr="00F93FFA" w:rsidRDefault="00314B70" w:rsidP="0003209B">
            <w:pPr>
              <w:pStyle w:val="EndnoteText"/>
              <w:keepNext/>
              <w:keepLines/>
              <w:widowControl w:val="0"/>
              <w:tabs>
                <w:tab w:val="clear" w:pos="567"/>
              </w:tabs>
              <w:ind w:left="284"/>
              <w:rPr>
                <w:color w:val="000000"/>
                <w:szCs w:val="22"/>
                <w:lang w:val="lt-LT"/>
              </w:rPr>
            </w:pPr>
            <w:r w:rsidRPr="00F93FFA">
              <w:rPr>
                <w:color w:val="000000"/>
                <w:szCs w:val="22"/>
                <w:lang w:val="lt-LT"/>
              </w:rPr>
              <w:t>Išnykusi leukemija (NEL)</w:t>
            </w:r>
          </w:p>
        </w:tc>
        <w:tc>
          <w:tcPr>
            <w:tcW w:w="2101" w:type="dxa"/>
            <w:tcBorders>
              <w:top w:val="nil"/>
              <w:bottom w:val="nil"/>
            </w:tcBorders>
          </w:tcPr>
          <w:p w14:paraId="182FFD5A"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Nepateikiama</w:t>
            </w:r>
          </w:p>
        </w:tc>
        <w:tc>
          <w:tcPr>
            <w:tcW w:w="1980" w:type="dxa"/>
            <w:tcBorders>
              <w:top w:val="nil"/>
              <w:bottom w:val="nil"/>
            </w:tcBorders>
          </w:tcPr>
          <w:p w14:paraId="04173563"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12 %</w:t>
            </w:r>
          </w:p>
        </w:tc>
        <w:tc>
          <w:tcPr>
            <w:tcW w:w="1980" w:type="dxa"/>
            <w:tcBorders>
              <w:top w:val="nil"/>
              <w:bottom w:val="nil"/>
            </w:tcBorders>
          </w:tcPr>
          <w:p w14:paraId="0967BDF8"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5 %</w:t>
            </w:r>
          </w:p>
        </w:tc>
      </w:tr>
      <w:tr w:rsidR="00314B70" w:rsidRPr="00F93FFA" w14:paraId="5C1A1BDE" w14:textId="77777777" w:rsidTr="008D42AF">
        <w:tc>
          <w:tcPr>
            <w:tcW w:w="3299" w:type="dxa"/>
            <w:tcBorders>
              <w:top w:val="nil"/>
              <w:bottom w:val="nil"/>
            </w:tcBorders>
          </w:tcPr>
          <w:p w14:paraId="5F4B0DCD" w14:textId="77777777" w:rsidR="00314B70" w:rsidRPr="00F93FFA" w:rsidRDefault="00314B70" w:rsidP="0003209B">
            <w:pPr>
              <w:pStyle w:val="EndnoteText"/>
              <w:keepNext/>
              <w:keepLines/>
              <w:widowControl w:val="0"/>
              <w:tabs>
                <w:tab w:val="clear" w:pos="567"/>
              </w:tabs>
              <w:ind w:left="284"/>
              <w:rPr>
                <w:color w:val="000000"/>
                <w:szCs w:val="22"/>
                <w:lang w:val="lt-LT"/>
              </w:rPr>
            </w:pPr>
            <w:r w:rsidRPr="00F93FFA">
              <w:rPr>
                <w:color w:val="000000"/>
                <w:szCs w:val="22"/>
                <w:lang w:val="lt-LT"/>
              </w:rPr>
              <w:t>Grįžimas į lėtinę fazę (GLF)</w:t>
            </w:r>
          </w:p>
        </w:tc>
        <w:tc>
          <w:tcPr>
            <w:tcW w:w="2101" w:type="dxa"/>
            <w:tcBorders>
              <w:top w:val="nil"/>
              <w:bottom w:val="nil"/>
            </w:tcBorders>
          </w:tcPr>
          <w:p w14:paraId="5D5D4E28"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Nepateikiama</w:t>
            </w:r>
          </w:p>
        </w:tc>
        <w:tc>
          <w:tcPr>
            <w:tcW w:w="1980" w:type="dxa"/>
            <w:tcBorders>
              <w:top w:val="nil"/>
              <w:bottom w:val="nil"/>
            </w:tcBorders>
          </w:tcPr>
          <w:p w14:paraId="5F8C48D1"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17 %</w:t>
            </w:r>
          </w:p>
        </w:tc>
        <w:tc>
          <w:tcPr>
            <w:tcW w:w="1980" w:type="dxa"/>
            <w:tcBorders>
              <w:top w:val="nil"/>
              <w:bottom w:val="nil"/>
            </w:tcBorders>
          </w:tcPr>
          <w:p w14:paraId="23D27689"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18 %</w:t>
            </w:r>
          </w:p>
        </w:tc>
      </w:tr>
      <w:tr w:rsidR="00314B70" w:rsidRPr="00F93FFA" w14:paraId="59DCBE0E" w14:textId="77777777" w:rsidTr="008D42AF">
        <w:tc>
          <w:tcPr>
            <w:tcW w:w="3299" w:type="dxa"/>
            <w:tcBorders>
              <w:bottom w:val="nil"/>
            </w:tcBorders>
          </w:tcPr>
          <w:p w14:paraId="70ABF308"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lang w:val="lt-LT"/>
              </w:rPr>
              <w:t>Didysis citogenetinis atsakas</w:t>
            </w:r>
            <w:r w:rsidRPr="00F93FFA">
              <w:rPr>
                <w:color w:val="000000"/>
                <w:szCs w:val="22"/>
                <w:vertAlign w:val="superscript"/>
                <w:lang w:val="lt-LT"/>
              </w:rPr>
              <w:t>2</w:t>
            </w:r>
          </w:p>
        </w:tc>
        <w:tc>
          <w:tcPr>
            <w:tcW w:w="2101" w:type="dxa"/>
            <w:tcBorders>
              <w:bottom w:val="nil"/>
            </w:tcBorders>
          </w:tcPr>
          <w:p w14:paraId="0F975C84"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65 % (61,2–69,5)</w:t>
            </w:r>
          </w:p>
        </w:tc>
        <w:tc>
          <w:tcPr>
            <w:tcW w:w="1980" w:type="dxa"/>
            <w:tcBorders>
              <w:bottom w:val="nil"/>
            </w:tcBorders>
          </w:tcPr>
          <w:p w14:paraId="3CC4E8EE"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28 % (22,0–33,9)</w:t>
            </w:r>
          </w:p>
        </w:tc>
        <w:tc>
          <w:tcPr>
            <w:tcW w:w="1980" w:type="dxa"/>
            <w:tcBorders>
              <w:bottom w:val="nil"/>
            </w:tcBorders>
          </w:tcPr>
          <w:p w14:paraId="6928B60B"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15 % (11,2–20,4)</w:t>
            </w:r>
          </w:p>
        </w:tc>
      </w:tr>
      <w:tr w:rsidR="00314B70" w:rsidRPr="00F93FFA" w14:paraId="4BC15DA2" w14:textId="77777777" w:rsidTr="008D42AF">
        <w:tc>
          <w:tcPr>
            <w:tcW w:w="3299" w:type="dxa"/>
            <w:tcBorders>
              <w:top w:val="nil"/>
              <w:bottom w:val="nil"/>
            </w:tcBorders>
          </w:tcPr>
          <w:p w14:paraId="0473F4CF" w14:textId="77777777" w:rsidR="00314B70" w:rsidRPr="00F93FFA" w:rsidRDefault="00314B70" w:rsidP="0003209B">
            <w:pPr>
              <w:pStyle w:val="EndnoteText"/>
              <w:keepNext/>
              <w:keepLines/>
              <w:widowControl w:val="0"/>
              <w:tabs>
                <w:tab w:val="clear" w:pos="567"/>
              </w:tabs>
              <w:ind w:left="284"/>
              <w:rPr>
                <w:color w:val="000000"/>
                <w:szCs w:val="22"/>
                <w:lang w:val="lt-LT"/>
              </w:rPr>
            </w:pPr>
            <w:r w:rsidRPr="00F93FFA">
              <w:rPr>
                <w:color w:val="000000"/>
                <w:szCs w:val="22"/>
                <w:lang w:val="lt-LT"/>
              </w:rPr>
              <w:t>Visiškas</w:t>
            </w:r>
          </w:p>
        </w:tc>
        <w:tc>
          <w:tcPr>
            <w:tcW w:w="2101" w:type="dxa"/>
            <w:tcBorders>
              <w:top w:val="nil"/>
              <w:bottom w:val="nil"/>
            </w:tcBorders>
          </w:tcPr>
          <w:p w14:paraId="6F8354E1"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53 %</w:t>
            </w:r>
          </w:p>
        </w:tc>
        <w:tc>
          <w:tcPr>
            <w:tcW w:w="1980" w:type="dxa"/>
            <w:tcBorders>
              <w:top w:val="nil"/>
              <w:bottom w:val="nil"/>
            </w:tcBorders>
          </w:tcPr>
          <w:p w14:paraId="1C5C37F9"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20 %</w:t>
            </w:r>
          </w:p>
        </w:tc>
        <w:tc>
          <w:tcPr>
            <w:tcW w:w="1980" w:type="dxa"/>
            <w:tcBorders>
              <w:top w:val="nil"/>
              <w:bottom w:val="nil"/>
            </w:tcBorders>
          </w:tcPr>
          <w:p w14:paraId="18DC053B"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i w:val="0"/>
                <w:color w:val="000000"/>
                <w:szCs w:val="22"/>
                <w:lang w:val="lt-LT"/>
              </w:rPr>
              <w:t>7 %</w:t>
            </w:r>
          </w:p>
        </w:tc>
      </w:tr>
      <w:tr w:rsidR="00314B70" w:rsidRPr="00F93FFA" w14:paraId="216B2A90" w14:textId="77777777" w:rsidTr="008D42AF">
        <w:tc>
          <w:tcPr>
            <w:tcW w:w="3299" w:type="dxa"/>
            <w:tcBorders>
              <w:top w:val="nil"/>
              <w:bottom w:val="nil"/>
            </w:tcBorders>
          </w:tcPr>
          <w:p w14:paraId="5431E857" w14:textId="77777777" w:rsidR="00314B70" w:rsidRPr="00F93FFA" w:rsidRDefault="00314B70" w:rsidP="0003209B">
            <w:pPr>
              <w:pStyle w:val="BodyTextIndent2"/>
              <w:keepNext/>
              <w:keepLines/>
              <w:widowControl w:val="0"/>
              <w:tabs>
                <w:tab w:val="clear" w:pos="567"/>
              </w:tabs>
              <w:spacing w:line="240" w:lineRule="auto"/>
              <w:ind w:left="284" w:firstLine="0"/>
              <w:rPr>
                <w:b w:val="0"/>
                <w:color w:val="000000"/>
                <w:szCs w:val="22"/>
                <w:lang w:val="lt-LT"/>
              </w:rPr>
            </w:pPr>
            <w:r w:rsidRPr="00F93FFA">
              <w:rPr>
                <w:b w:val="0"/>
                <w:color w:val="000000"/>
                <w:szCs w:val="22"/>
                <w:lang w:val="lt-LT"/>
              </w:rPr>
              <w:t>(Patvirtintas</w:t>
            </w:r>
            <w:r w:rsidRPr="00F93FFA">
              <w:rPr>
                <w:b w:val="0"/>
                <w:color w:val="000000"/>
                <w:szCs w:val="22"/>
                <w:vertAlign w:val="superscript"/>
                <w:lang w:val="lt-LT"/>
              </w:rPr>
              <w:t>3</w:t>
            </w:r>
            <w:r w:rsidRPr="00F93FFA">
              <w:rPr>
                <w:b w:val="0"/>
                <w:color w:val="000000"/>
                <w:szCs w:val="22"/>
                <w:lang w:val="lt-LT"/>
              </w:rPr>
              <w:t>) [95 % PI]</w:t>
            </w:r>
          </w:p>
        </w:tc>
        <w:tc>
          <w:tcPr>
            <w:tcW w:w="2101" w:type="dxa"/>
            <w:tcBorders>
              <w:top w:val="nil"/>
              <w:bottom w:val="nil"/>
            </w:tcBorders>
          </w:tcPr>
          <w:p w14:paraId="19AB3F4E" w14:textId="77777777" w:rsidR="00314B70" w:rsidRPr="00F93FFA" w:rsidRDefault="00314B70" w:rsidP="0003209B">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(43 %) [38,6–47,2]</w:t>
            </w:r>
          </w:p>
        </w:tc>
        <w:tc>
          <w:tcPr>
            <w:tcW w:w="1980" w:type="dxa"/>
            <w:tcBorders>
              <w:top w:val="nil"/>
              <w:bottom w:val="nil"/>
            </w:tcBorders>
          </w:tcPr>
          <w:p w14:paraId="59A843D0" w14:textId="77777777" w:rsidR="00314B70" w:rsidRPr="00F93FFA" w:rsidRDefault="00314B70" w:rsidP="0003209B">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(16 %) [11,3–21,0]</w:t>
            </w:r>
          </w:p>
        </w:tc>
        <w:tc>
          <w:tcPr>
            <w:tcW w:w="1980" w:type="dxa"/>
            <w:tcBorders>
              <w:top w:val="nil"/>
              <w:bottom w:val="nil"/>
            </w:tcBorders>
          </w:tcPr>
          <w:p w14:paraId="273E7069" w14:textId="77777777" w:rsidR="00314B70" w:rsidRPr="00F93FFA" w:rsidRDefault="00314B70" w:rsidP="0003209B">
            <w:pPr>
              <w:pStyle w:val="BodyTextIndent2"/>
              <w:keepNext/>
              <w:keepLines/>
              <w:widowControl w:val="0"/>
              <w:tabs>
                <w:tab w:val="clear" w:pos="567"/>
              </w:tabs>
              <w:spacing w:line="240" w:lineRule="auto"/>
              <w:jc w:val="center"/>
              <w:rPr>
                <w:b w:val="0"/>
                <w:color w:val="000000"/>
                <w:szCs w:val="22"/>
                <w:lang w:val="lt-LT"/>
              </w:rPr>
            </w:pPr>
            <w:r w:rsidRPr="00F93FFA">
              <w:rPr>
                <w:b w:val="0"/>
                <w:color w:val="000000"/>
                <w:szCs w:val="22"/>
                <w:lang w:val="lt-LT"/>
              </w:rPr>
              <w:t>(2 %) [0,6–4,4]</w:t>
            </w:r>
          </w:p>
        </w:tc>
      </w:tr>
      <w:tr w:rsidR="00314B70" w:rsidRPr="00F93FFA" w14:paraId="2025278C" w14:textId="77777777" w:rsidTr="008D42AF">
        <w:tc>
          <w:tcPr>
            <w:tcW w:w="3299" w:type="dxa"/>
            <w:tcBorders>
              <w:top w:val="nil"/>
              <w:bottom w:val="nil"/>
            </w:tcBorders>
          </w:tcPr>
          <w:p w14:paraId="274C958E" w14:textId="77777777" w:rsidR="00314B70" w:rsidRPr="00F93FFA" w:rsidRDefault="00314B70" w:rsidP="0003209B">
            <w:pPr>
              <w:pStyle w:val="EndnoteText"/>
              <w:keepNext/>
              <w:keepLines/>
              <w:widowControl w:val="0"/>
              <w:tabs>
                <w:tab w:val="clear" w:pos="567"/>
              </w:tabs>
              <w:ind w:left="284"/>
              <w:rPr>
                <w:color w:val="000000"/>
                <w:szCs w:val="22"/>
                <w:lang w:val="lt-LT"/>
              </w:rPr>
            </w:pPr>
            <w:r w:rsidRPr="00F93FFA">
              <w:rPr>
                <w:color w:val="000000"/>
                <w:szCs w:val="22"/>
                <w:lang w:val="lt-LT"/>
              </w:rPr>
              <w:t>Dalinis</w:t>
            </w:r>
          </w:p>
        </w:tc>
        <w:tc>
          <w:tcPr>
            <w:tcW w:w="2101" w:type="dxa"/>
            <w:tcBorders>
              <w:top w:val="nil"/>
              <w:bottom w:val="nil"/>
            </w:tcBorders>
          </w:tcPr>
          <w:p w14:paraId="401227C0"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12 %</w:t>
            </w:r>
          </w:p>
        </w:tc>
        <w:tc>
          <w:tcPr>
            <w:tcW w:w="1980" w:type="dxa"/>
            <w:tcBorders>
              <w:top w:val="nil"/>
              <w:bottom w:val="nil"/>
            </w:tcBorders>
          </w:tcPr>
          <w:p w14:paraId="138BCF50"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7 %</w:t>
            </w:r>
          </w:p>
        </w:tc>
        <w:tc>
          <w:tcPr>
            <w:tcW w:w="1980" w:type="dxa"/>
            <w:tcBorders>
              <w:top w:val="nil"/>
              <w:bottom w:val="nil"/>
            </w:tcBorders>
          </w:tcPr>
          <w:p w14:paraId="759CEC60"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8 %</w:t>
            </w:r>
          </w:p>
        </w:tc>
      </w:tr>
      <w:tr w:rsidR="00314B70" w:rsidRPr="00F93FFA" w14:paraId="5793A329" w14:textId="77777777" w:rsidTr="008D42AF">
        <w:tc>
          <w:tcPr>
            <w:tcW w:w="9360" w:type="dxa"/>
            <w:gridSpan w:val="4"/>
            <w:tcBorders>
              <w:top w:val="single" w:sz="4" w:space="0" w:color="auto"/>
              <w:bottom w:val="single" w:sz="4" w:space="0" w:color="auto"/>
            </w:tcBorders>
          </w:tcPr>
          <w:p w14:paraId="4C6AE553" w14:textId="77777777" w:rsidR="00314B70" w:rsidRPr="00F93FFA" w:rsidRDefault="00314B70" w:rsidP="0003209B">
            <w:pPr>
              <w:pStyle w:val="Table"/>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vertAlign w:val="superscript"/>
                <w:lang w:val="lt-LT"/>
              </w:rPr>
              <w:t xml:space="preserve">1 </w:t>
            </w:r>
            <w:r w:rsidRPr="00F93FFA">
              <w:rPr>
                <w:rFonts w:ascii="Times New Roman" w:hAnsi="Times New Roman"/>
                <w:b/>
                <w:color w:val="000000"/>
                <w:sz w:val="22"/>
                <w:szCs w:val="22"/>
                <w:lang w:val="lt-LT"/>
              </w:rPr>
              <w:t xml:space="preserve">Hematologinio atsako kriterijai (visi atsakai turi būti patvirtinti po </w:t>
            </w:r>
            <w:r w:rsidRPr="00F93FFA">
              <w:rPr>
                <w:rFonts w:ascii="Times New Roman" w:hAnsi="Times New Roman"/>
                <w:b/>
                <w:color w:val="000000"/>
                <w:sz w:val="22"/>
                <w:szCs w:val="22"/>
                <w:lang w:val="lt-LT"/>
              </w:rPr>
              <w:sym w:font="Symbol" w:char="F0B3"/>
            </w:r>
            <w:r w:rsidRPr="00F93FFA">
              <w:rPr>
                <w:rFonts w:ascii="Times New Roman" w:hAnsi="Times New Roman"/>
                <w:b/>
                <w:color w:val="000000"/>
                <w:sz w:val="22"/>
                <w:szCs w:val="22"/>
                <w:lang w:val="lt-LT"/>
              </w:rPr>
              <w:t> 4 savaičių):</w:t>
            </w:r>
          </w:p>
          <w:p w14:paraId="3BEC7539" w14:textId="77777777" w:rsidR="00314B70" w:rsidRPr="00F93FFA" w:rsidRDefault="00314B70" w:rsidP="0003209B">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VHA</w:t>
            </w:r>
            <w:r w:rsidRPr="00F93FFA">
              <w:rPr>
                <w:rFonts w:ascii="Times New Roman" w:hAnsi="Times New Roman"/>
                <w:color w:val="000000"/>
                <w:sz w:val="22"/>
                <w:szCs w:val="22"/>
                <w:lang w:val="lt-LT"/>
              </w:rPr>
              <w:tab/>
              <w:t>Tyrimas 0110 [BKK &lt; 10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trombocitų &lt; 450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mielocitų+metamielocitų &lt; 5 % kraujyje, nėra blastų ir promielocitų kraujyje, bazofilų &lt; 20 %, nėra ekstramedulinių židinių] ir tyrimuose 0102 bei 0109 [ANS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1,5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100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nėra blastų kraujyje, blastų &lt; 5 % kaulų čiulpuose, nėra ekstramedulinės ligos]</w:t>
            </w:r>
          </w:p>
          <w:p w14:paraId="7959DDE6" w14:textId="77777777" w:rsidR="00314B70" w:rsidRPr="00F93FFA" w:rsidRDefault="00314B70" w:rsidP="0003209B">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NEL</w:t>
            </w:r>
            <w:r w:rsidRPr="00F93FFA">
              <w:rPr>
                <w:rFonts w:ascii="Times New Roman" w:hAnsi="Times New Roman"/>
                <w:color w:val="000000"/>
                <w:sz w:val="22"/>
                <w:szCs w:val="22"/>
                <w:lang w:val="lt-LT"/>
              </w:rPr>
              <w:tab/>
              <w:t xml:space="preserve">Tokie pat kriterijai kaip VHA bet ANS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1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 xml:space="preserve">/l ir trombocitų </w:t>
            </w:r>
            <w:r w:rsidRPr="00F93FFA">
              <w:rPr>
                <w:rFonts w:ascii="Times New Roman" w:hAnsi="Times New Roman"/>
                <w:color w:val="000000"/>
                <w:sz w:val="22"/>
                <w:szCs w:val="22"/>
                <w:lang w:val="lt-LT"/>
              </w:rPr>
              <w:sym w:font="Symbol" w:char="F0B3"/>
            </w:r>
            <w:r w:rsidRPr="00F93FFA">
              <w:rPr>
                <w:rFonts w:ascii="Times New Roman" w:hAnsi="Times New Roman"/>
                <w:color w:val="000000"/>
                <w:sz w:val="22"/>
                <w:szCs w:val="22"/>
                <w:lang w:val="lt-LT"/>
              </w:rPr>
              <w:t> 20 x 10</w:t>
            </w:r>
            <w:r w:rsidRPr="00F93FFA">
              <w:rPr>
                <w:rFonts w:ascii="Times New Roman" w:hAnsi="Times New Roman"/>
                <w:color w:val="000000"/>
                <w:sz w:val="22"/>
                <w:szCs w:val="22"/>
                <w:vertAlign w:val="superscript"/>
                <w:lang w:val="lt-LT"/>
              </w:rPr>
              <w:t>9</w:t>
            </w:r>
            <w:r w:rsidRPr="00F93FFA">
              <w:rPr>
                <w:rFonts w:ascii="Times New Roman" w:hAnsi="Times New Roman"/>
                <w:color w:val="000000"/>
                <w:sz w:val="22"/>
                <w:szCs w:val="22"/>
                <w:lang w:val="lt-LT"/>
              </w:rPr>
              <w:t>/l (tik 0102 ir 0109)</w:t>
            </w:r>
          </w:p>
          <w:p w14:paraId="07A2CABA" w14:textId="77777777" w:rsidR="00314B70" w:rsidRPr="00F93FFA" w:rsidRDefault="00314B70" w:rsidP="0003209B">
            <w:pPr>
              <w:pStyle w:val="Table"/>
              <w:widowControl w:val="0"/>
              <w:tabs>
                <w:tab w:val="clear" w:pos="284"/>
              </w:tabs>
              <w:spacing w:before="0" w:after="0"/>
              <w:ind w:left="720" w:hanging="720"/>
              <w:rPr>
                <w:rFonts w:ascii="Times New Roman" w:hAnsi="Times New Roman"/>
                <w:color w:val="000000"/>
                <w:sz w:val="22"/>
                <w:szCs w:val="22"/>
                <w:lang w:val="lt-LT"/>
              </w:rPr>
            </w:pPr>
            <w:r w:rsidRPr="00F93FFA">
              <w:rPr>
                <w:rFonts w:ascii="Times New Roman" w:hAnsi="Times New Roman"/>
                <w:color w:val="000000"/>
                <w:sz w:val="22"/>
                <w:szCs w:val="22"/>
                <w:lang w:val="lt-LT"/>
              </w:rPr>
              <w:t>GLF</w:t>
            </w:r>
            <w:r w:rsidRPr="00F93FFA">
              <w:rPr>
                <w:rFonts w:ascii="Times New Roman" w:hAnsi="Times New Roman"/>
                <w:color w:val="000000"/>
                <w:sz w:val="22"/>
                <w:szCs w:val="22"/>
                <w:lang w:val="lt-LT"/>
              </w:rPr>
              <w:tab/>
              <w:t>&lt; 15 % blastų KČ ir PK, &lt; 30 % blastų+promielocitų KČ ir PK, &lt; 20 % bazofilų PK, nėra kitos, išskyrus blužnies ir kepenų, ekstramedulinės ligos (tik 0102 ir 0109).</w:t>
            </w:r>
          </w:p>
          <w:p w14:paraId="0B47F2F4" w14:textId="6CD22837" w:rsidR="00314B70" w:rsidRPr="00F93FFA" w:rsidRDefault="00314B70" w:rsidP="0003209B">
            <w:pPr>
              <w:pStyle w:val="Table"/>
              <w:widowControl w:val="0"/>
              <w:tabs>
                <w:tab w:val="clear" w:pos="284"/>
              </w:tabs>
              <w:spacing w:before="0" w:after="0"/>
              <w:ind w:left="567" w:hanging="567"/>
              <w:rPr>
                <w:rFonts w:ascii="Times New Roman" w:hAnsi="Times New Roman"/>
                <w:color w:val="000000"/>
                <w:sz w:val="22"/>
                <w:szCs w:val="22"/>
                <w:lang w:val="lt-LT"/>
              </w:rPr>
            </w:pPr>
            <w:r w:rsidRPr="00F93FFA">
              <w:rPr>
                <w:rFonts w:ascii="Times New Roman" w:hAnsi="Times New Roman"/>
                <w:color w:val="000000"/>
                <w:sz w:val="22"/>
                <w:szCs w:val="22"/>
                <w:lang w:val="lt-LT"/>
              </w:rPr>
              <w:t>KČ</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kaulų čiulpai, PK</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w:t>
            </w:r>
            <w:r w:rsidR="00B37342" w:rsidRPr="00F93FFA">
              <w:rPr>
                <w:rFonts w:ascii="Times New Roman" w:hAnsi="Times New Roman"/>
                <w:color w:val="000000"/>
                <w:sz w:val="22"/>
                <w:szCs w:val="22"/>
                <w:lang w:val="lt-LT"/>
              </w:rPr>
              <w:t> </w:t>
            </w:r>
            <w:r w:rsidRPr="00F93FFA">
              <w:rPr>
                <w:rFonts w:ascii="Times New Roman" w:hAnsi="Times New Roman"/>
                <w:color w:val="000000"/>
                <w:sz w:val="22"/>
                <w:szCs w:val="22"/>
                <w:lang w:val="lt-LT"/>
              </w:rPr>
              <w:t>periferinis kraujas</w:t>
            </w:r>
          </w:p>
          <w:p w14:paraId="624022A7" w14:textId="77777777" w:rsidR="00314B70" w:rsidRPr="00F93FFA" w:rsidRDefault="00314B70" w:rsidP="0003209B">
            <w:pPr>
              <w:pStyle w:val="Table"/>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vertAlign w:val="superscript"/>
                <w:lang w:val="lt-LT"/>
              </w:rPr>
              <w:t xml:space="preserve">2 </w:t>
            </w:r>
            <w:r w:rsidRPr="00F93FFA">
              <w:rPr>
                <w:rFonts w:ascii="Times New Roman" w:hAnsi="Times New Roman"/>
                <w:b/>
                <w:color w:val="000000"/>
                <w:sz w:val="22"/>
                <w:szCs w:val="22"/>
                <w:lang w:val="lt-LT"/>
              </w:rPr>
              <w:t>Citogenetinio atsako kriterijai:</w:t>
            </w:r>
          </w:p>
          <w:p w14:paraId="517E3A5B"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lang w:val="lt-LT"/>
              </w:rPr>
              <w:t>Didįjį atsaką sudaro visiškas ir dalinis atsakas: visiškas (0 % Ph+ metafazių), dalinis (1–35 %)</w:t>
            </w:r>
          </w:p>
          <w:p w14:paraId="72919F27"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vertAlign w:val="superscript"/>
                <w:lang w:val="lt-LT"/>
              </w:rPr>
              <w:t>3</w:t>
            </w:r>
            <w:r w:rsidRPr="00F93FFA">
              <w:rPr>
                <w:color w:val="000000"/>
                <w:szCs w:val="22"/>
                <w:lang w:val="lt-LT"/>
              </w:rPr>
              <w:t xml:space="preserve"> Visiškas citogenetinis atsakas patvirtinamas antrą kartą citogenetiškai vertinant kaulų čiulpus praėjus mažiausiai vienam mėnesiui po pirminio kaulų čiulpų tyrimo.</w:t>
            </w:r>
          </w:p>
        </w:tc>
      </w:tr>
    </w:tbl>
    <w:p w14:paraId="55E74FCF" w14:textId="77777777" w:rsidR="00314B70" w:rsidRPr="00F93FFA" w:rsidRDefault="00314B70" w:rsidP="00DE16D0">
      <w:pPr>
        <w:widowControl w:val="0"/>
        <w:rPr>
          <w:color w:val="000000"/>
          <w:sz w:val="22"/>
          <w:szCs w:val="22"/>
        </w:rPr>
      </w:pPr>
    </w:p>
    <w:p w14:paraId="25ED91F7" w14:textId="77777777" w:rsidR="00314B70" w:rsidRPr="00F93FFA" w:rsidRDefault="00314B70" w:rsidP="00DE16D0">
      <w:pPr>
        <w:widowControl w:val="0"/>
        <w:rPr>
          <w:color w:val="000000"/>
          <w:sz w:val="22"/>
          <w:szCs w:val="22"/>
        </w:rPr>
      </w:pPr>
      <w:r w:rsidRPr="00F93FFA">
        <w:rPr>
          <w:i/>
          <w:color w:val="000000"/>
          <w:sz w:val="22"/>
          <w:szCs w:val="22"/>
        </w:rPr>
        <w:t>Vaikai ir paaugliai</w:t>
      </w:r>
      <w:r w:rsidRPr="00F93FFA">
        <w:rPr>
          <w:color w:val="000000"/>
          <w:sz w:val="22"/>
          <w:szCs w:val="22"/>
        </w:rPr>
        <w:t>. Iš viso 26 jaunesni kaip 18 metų vaikai, kuriems buvo lėtinė LML fazė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11) ar LML blastinė krizė, ar Ph+ ūminė leukemiija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 xml:space="preserve">15), buvo įtraukti į dozės didinimo I fazės tyrimą. Tai buvo intensyviai gydyti vaikai: 46 % – buvo transplantuoti kaulų čiulpai, 73 % – buvo gavę kelių </w:t>
      </w:r>
      <w:r w:rsidR="00D62405" w:rsidRPr="00F93FFA">
        <w:rPr>
          <w:color w:val="000000"/>
          <w:sz w:val="22"/>
          <w:szCs w:val="22"/>
        </w:rPr>
        <w:t xml:space="preserve">vaistinių preparatų </w:t>
      </w:r>
      <w:r w:rsidRPr="00F93FFA">
        <w:rPr>
          <w:color w:val="000000"/>
          <w:sz w:val="22"/>
          <w:szCs w:val="22"/>
        </w:rPr>
        <w:t>chemoterapiją. Pacientams buvo skirta Glivec po 260 mg/m</w:t>
      </w:r>
      <w:r w:rsidRPr="00F93FFA">
        <w:rPr>
          <w:color w:val="000000"/>
          <w:sz w:val="22"/>
          <w:szCs w:val="22"/>
          <w:vertAlign w:val="superscript"/>
        </w:rPr>
        <w:t>2</w:t>
      </w:r>
      <w:r w:rsidRPr="00F93FFA">
        <w:rPr>
          <w:color w:val="000000"/>
          <w:sz w:val="22"/>
          <w:szCs w:val="22"/>
        </w:rPr>
        <w:t xml:space="preserve"> per parą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5), 340 mg/m</w:t>
      </w:r>
      <w:r w:rsidRPr="00F93FFA">
        <w:rPr>
          <w:color w:val="000000"/>
          <w:sz w:val="22"/>
          <w:szCs w:val="22"/>
          <w:vertAlign w:val="superscript"/>
        </w:rPr>
        <w:t>2</w:t>
      </w:r>
      <w:r w:rsidRPr="00F93FFA">
        <w:rPr>
          <w:color w:val="000000"/>
          <w:sz w:val="22"/>
          <w:szCs w:val="22"/>
        </w:rPr>
        <w:t xml:space="preserve"> per parą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9), 440 mg/m</w:t>
      </w:r>
      <w:r w:rsidRPr="00F93FFA">
        <w:rPr>
          <w:color w:val="000000"/>
          <w:sz w:val="22"/>
          <w:szCs w:val="22"/>
          <w:vertAlign w:val="superscript"/>
        </w:rPr>
        <w:t>2</w:t>
      </w:r>
      <w:r w:rsidRPr="00F93FFA">
        <w:rPr>
          <w:color w:val="000000"/>
          <w:sz w:val="22"/>
          <w:szCs w:val="22"/>
        </w:rPr>
        <w:t xml:space="preserve"> per parą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7), 570 mg/m</w:t>
      </w:r>
      <w:r w:rsidRPr="00F93FFA">
        <w:rPr>
          <w:color w:val="000000"/>
          <w:sz w:val="22"/>
          <w:szCs w:val="22"/>
          <w:vertAlign w:val="superscript"/>
        </w:rPr>
        <w:t>2</w:t>
      </w:r>
      <w:r w:rsidRPr="00F93FFA">
        <w:rPr>
          <w:color w:val="000000"/>
          <w:sz w:val="22"/>
          <w:szCs w:val="22"/>
        </w:rPr>
        <w:t xml:space="preserve"> per parą (n</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 xml:space="preserve">5). Iš 9 pacientų, </w:t>
      </w:r>
      <w:r w:rsidRPr="00F93FFA">
        <w:rPr>
          <w:color w:val="000000"/>
          <w:sz w:val="22"/>
          <w:szCs w:val="22"/>
        </w:rPr>
        <w:lastRenderedPageBreak/>
        <w:t>kuriems buvo lėtinė LML fazė ir prieinami citogenetiniai rodikliai, 4 (44 %) ir 3 (33 %) buvo gautas atitinkamai visiškas ir dalinis citogenetinis atsakas, MCyR dažnis – 77 %.</w:t>
      </w:r>
    </w:p>
    <w:p w14:paraId="26057B70" w14:textId="77777777" w:rsidR="00314B70" w:rsidRPr="00F93FFA" w:rsidRDefault="00314B70" w:rsidP="00DE16D0">
      <w:pPr>
        <w:widowControl w:val="0"/>
        <w:ind w:left="567" w:hanging="567"/>
        <w:rPr>
          <w:color w:val="000000"/>
          <w:sz w:val="22"/>
          <w:szCs w:val="22"/>
        </w:rPr>
      </w:pPr>
    </w:p>
    <w:p w14:paraId="3B5D2ED6" w14:textId="77777777" w:rsidR="00314B70" w:rsidRPr="00F93FFA" w:rsidRDefault="00314B70" w:rsidP="00DE16D0">
      <w:pPr>
        <w:widowControl w:val="0"/>
        <w:rPr>
          <w:color w:val="000000"/>
          <w:sz w:val="22"/>
          <w:szCs w:val="22"/>
        </w:rPr>
      </w:pPr>
      <w:r w:rsidRPr="00F93FFA">
        <w:rPr>
          <w:color w:val="000000"/>
          <w:sz w:val="22"/>
          <w:szCs w:val="22"/>
        </w:rPr>
        <w:t>II fazės atvirame, daugiacentriame, vienos grupės tyrime dalyvavo 51 vaikas, sergantis naujai diagnozuota ir negydyta lėtinės fazės LML. Pacientai buvo gydomi Glivec 340 mg/m</w:t>
      </w:r>
      <w:r w:rsidRPr="00F93FFA">
        <w:rPr>
          <w:color w:val="000000"/>
          <w:sz w:val="22"/>
          <w:szCs w:val="22"/>
          <w:vertAlign w:val="superscript"/>
        </w:rPr>
        <w:t>2</w:t>
      </w:r>
      <w:r w:rsidRPr="00F93FFA">
        <w:rPr>
          <w:color w:val="000000"/>
          <w:sz w:val="22"/>
          <w:szCs w:val="22"/>
        </w:rPr>
        <w:t xml:space="preserve"> doze be pertraukų, nes nebuvo dozės ribojančio nepageidaujamo poveikio. Gydymas Glivec sukėlė greitą atsaką vaikų, sergančių naujai diagnozuota LML su 78 % VHA, tarpe po 8 gydymo savaičių. Aukštas VHA lygis yra susijęs su išsivysčiusiu 65 % visišku citogenetiniu atsaku (CCyR), kuris lygintinas su duomenimis suagusiųjų tarpe. Be to, buvo stebimas 16 % dalinis citogenetinis atsakas (PCyR), kai MCyR dažnis – 81 %. Daugumai pacientų, pasiekusių CCyR, tarp 3 ir 10 mėnesių išsivystė CCyR su atsako trukmės mediana, remiantis Kaplan-Meier 5,6 mėnesių išgyvenamumo rodikliu.</w:t>
      </w:r>
    </w:p>
    <w:p w14:paraId="00DA9599" w14:textId="77777777" w:rsidR="00314B70" w:rsidRPr="00F93FFA" w:rsidRDefault="00314B70" w:rsidP="00DE16D0">
      <w:pPr>
        <w:pStyle w:val="EndnoteText"/>
        <w:widowControl w:val="0"/>
        <w:rPr>
          <w:color w:val="000000"/>
          <w:szCs w:val="22"/>
          <w:u w:val="single"/>
          <w:lang w:val="lt-LT"/>
        </w:rPr>
      </w:pPr>
    </w:p>
    <w:p w14:paraId="5CA9B77E" w14:textId="555DA6B6" w:rsidR="00314B70" w:rsidRPr="00F93FFA" w:rsidRDefault="00314B70" w:rsidP="00DE16D0">
      <w:pPr>
        <w:widowControl w:val="0"/>
        <w:rPr>
          <w:sz w:val="22"/>
          <w:szCs w:val="22"/>
        </w:rPr>
      </w:pPr>
      <w:r w:rsidRPr="00F93FFA">
        <w:rPr>
          <w:sz w:val="22"/>
          <w:szCs w:val="22"/>
        </w:rPr>
        <w:t xml:space="preserve">Europos vaistų agentūra atleido nuo įsipareigojimo pateikti Glivec tyrimų su visais vaikų populiacijos pogrupiais duomenis, sergantiesiems </w:t>
      </w:r>
      <w:r w:rsidRPr="00F93FFA">
        <w:rPr>
          <w:i/>
          <w:color w:val="000000"/>
          <w:sz w:val="22"/>
          <w:szCs w:val="22"/>
        </w:rPr>
        <w:t>Philadelphia</w:t>
      </w:r>
      <w:r w:rsidRPr="00F93FFA">
        <w:rPr>
          <w:color w:val="000000"/>
          <w:sz w:val="22"/>
          <w:szCs w:val="22"/>
        </w:rPr>
        <w:t xml:space="preserve"> chromosomai (bcr-abl</w:t>
      </w:r>
      <w:r w:rsidRPr="00F93FFA">
        <w:rPr>
          <w:rFonts w:cs="TimesNewRomanPSMT"/>
          <w:sz w:val="22"/>
          <w:szCs w:val="22"/>
          <w:lang w:bidi="th-TH"/>
        </w:rPr>
        <w:t xml:space="preserve"> translokacija</w:t>
      </w:r>
      <w:r w:rsidRPr="00F93FFA">
        <w:rPr>
          <w:color w:val="000000"/>
          <w:sz w:val="22"/>
          <w:szCs w:val="22"/>
        </w:rPr>
        <w:t>) teigiama lėtine mieloleukemija</w:t>
      </w:r>
      <w:r w:rsidRPr="00F93FFA">
        <w:rPr>
          <w:sz w:val="22"/>
          <w:szCs w:val="22"/>
        </w:rPr>
        <w:t xml:space="preserve"> (vartojimo vaikams informacija pateikiama</w:t>
      </w:r>
      <w:r w:rsidR="00C02151" w:rsidRPr="00F93FFA">
        <w:rPr>
          <w:sz w:val="22"/>
          <w:szCs w:val="22"/>
        </w:rPr>
        <w:t> </w:t>
      </w:r>
      <w:r w:rsidRPr="00F93FFA">
        <w:rPr>
          <w:sz w:val="22"/>
          <w:szCs w:val="22"/>
        </w:rPr>
        <w:t>4.2</w:t>
      </w:r>
      <w:r w:rsidR="00957B98" w:rsidRPr="00F93FFA">
        <w:rPr>
          <w:sz w:val="22"/>
          <w:szCs w:val="22"/>
        </w:rPr>
        <w:t> </w:t>
      </w:r>
      <w:r w:rsidRPr="00F93FFA">
        <w:rPr>
          <w:sz w:val="22"/>
          <w:szCs w:val="22"/>
        </w:rPr>
        <w:t>skyriuje).</w:t>
      </w:r>
    </w:p>
    <w:p w14:paraId="75F13D5B" w14:textId="77777777" w:rsidR="00314B70" w:rsidRPr="00F93FFA" w:rsidRDefault="00314B70" w:rsidP="00DE16D0">
      <w:pPr>
        <w:widowControl w:val="0"/>
        <w:rPr>
          <w:sz w:val="22"/>
          <w:szCs w:val="22"/>
        </w:rPr>
      </w:pPr>
    </w:p>
    <w:p w14:paraId="42CBB688" w14:textId="77777777" w:rsidR="00314B70" w:rsidRPr="00F93FFA" w:rsidRDefault="00314B70" w:rsidP="0003209B">
      <w:pPr>
        <w:pStyle w:val="EndnoteText"/>
        <w:keepNext/>
        <w:widowControl w:val="0"/>
        <w:rPr>
          <w:color w:val="000000"/>
          <w:szCs w:val="22"/>
          <w:u w:val="single"/>
          <w:lang w:val="lt-LT"/>
        </w:rPr>
      </w:pPr>
      <w:r w:rsidRPr="00F93FFA">
        <w:rPr>
          <w:color w:val="000000"/>
          <w:szCs w:val="22"/>
          <w:u w:val="single"/>
          <w:lang w:val="lt-LT"/>
        </w:rPr>
        <w:t>Klinikiniai Ph+ ŪLL tyrimai</w:t>
      </w:r>
    </w:p>
    <w:p w14:paraId="1C265D98" w14:textId="77777777" w:rsidR="00314B70" w:rsidRPr="00F93FFA" w:rsidRDefault="00314B70" w:rsidP="00DE16D0">
      <w:pPr>
        <w:pStyle w:val="Text"/>
        <w:widowControl w:val="0"/>
        <w:spacing w:before="0"/>
        <w:jc w:val="left"/>
        <w:rPr>
          <w:color w:val="000000"/>
          <w:sz w:val="22"/>
          <w:szCs w:val="22"/>
          <w:lang w:val="lt-LT"/>
        </w:rPr>
      </w:pPr>
      <w:r w:rsidRPr="00F93FFA">
        <w:rPr>
          <w:i/>
          <w:color w:val="000000"/>
          <w:sz w:val="22"/>
          <w:szCs w:val="22"/>
          <w:lang w:val="lt-LT"/>
        </w:rPr>
        <w:t>Pirmą kartą diagnozuota Ph+ ŪLL</w:t>
      </w:r>
      <w:r w:rsidRPr="00F93FFA">
        <w:rPr>
          <w:color w:val="000000"/>
          <w:sz w:val="22"/>
          <w:szCs w:val="22"/>
          <w:lang w:val="lt-LT"/>
        </w:rPr>
        <w:t>: Kontroliuojamo (ADE10) tyrimo metu, kuriame imatinibas buvo lygintas su pradine chemoterapija penkiasdešimt penkiems 55 metų ir vyresniems pacientams, kuriems diagnozė nustatyta pirmą kartą, vartojant vieną imatinibą buvo gautas reikšmingai didesnis pilno hematologinio atsako dažnis lyginant su chemoterapiją gavusiaisias (96,3 % lyginant su 50 %; p</w:t>
      </w:r>
      <w:r w:rsidR="00B37342" w:rsidRPr="00F93FFA">
        <w:rPr>
          <w:color w:val="000000"/>
          <w:sz w:val="22"/>
          <w:szCs w:val="22"/>
          <w:lang w:val="lt-LT"/>
        </w:rPr>
        <w:t> </w:t>
      </w:r>
      <w:r w:rsidRPr="00F93FFA">
        <w:rPr>
          <w:color w:val="000000"/>
          <w:sz w:val="22"/>
          <w:szCs w:val="22"/>
          <w:lang w:val="lt-LT"/>
        </w:rPr>
        <w:t>=</w:t>
      </w:r>
      <w:r w:rsidR="00B37342" w:rsidRPr="00F93FFA">
        <w:rPr>
          <w:color w:val="000000"/>
          <w:sz w:val="22"/>
          <w:szCs w:val="22"/>
          <w:lang w:val="lt-LT"/>
        </w:rPr>
        <w:t> </w:t>
      </w:r>
      <w:r w:rsidRPr="00F93FFA">
        <w:rPr>
          <w:color w:val="000000"/>
          <w:sz w:val="22"/>
          <w:szCs w:val="22"/>
          <w:lang w:val="lt-LT"/>
        </w:rPr>
        <w:t>0,0001). Kai pacientams, kuriems nebuvo gautas atsakas ar gautas silpnas atsakas, buvo paskirtas pagalbinis gydymas imatinibu, pilnas hematologinis atsakas buvo gautas 9 pacientams (81,8 %) iš 11. Šis klinikinis efektas buvo susijęs su didesniu bcr-abl transkriptų sumažėjimu po 2 gydymo savaičių imatinibą vartojusių pacientų grupėje (p</w:t>
      </w:r>
      <w:r w:rsidR="00B37342" w:rsidRPr="00F93FFA">
        <w:rPr>
          <w:color w:val="000000"/>
          <w:sz w:val="22"/>
          <w:szCs w:val="22"/>
          <w:lang w:val="lt-LT"/>
        </w:rPr>
        <w:t> </w:t>
      </w:r>
      <w:r w:rsidRPr="00F93FFA">
        <w:rPr>
          <w:color w:val="000000"/>
          <w:sz w:val="22"/>
          <w:szCs w:val="22"/>
          <w:lang w:val="lt-LT"/>
        </w:rPr>
        <w:t>=</w:t>
      </w:r>
      <w:r w:rsidR="00B37342" w:rsidRPr="00F93FFA">
        <w:rPr>
          <w:color w:val="000000"/>
          <w:sz w:val="22"/>
          <w:szCs w:val="22"/>
          <w:lang w:val="lt-LT"/>
        </w:rPr>
        <w:t> </w:t>
      </w:r>
      <w:r w:rsidRPr="00F93FFA">
        <w:rPr>
          <w:color w:val="000000"/>
          <w:sz w:val="22"/>
          <w:szCs w:val="22"/>
          <w:lang w:val="lt-LT"/>
        </w:rPr>
        <w:t xml:space="preserve">0,02) lyginant su chemoterapiją gavusiaisias. Po pradinio gydymo visi pacientai gavo imatinibą bei papildomą chemoterapiją (žr. </w:t>
      </w:r>
      <w:r w:rsidR="00BC035E" w:rsidRPr="00F93FFA">
        <w:rPr>
          <w:color w:val="000000"/>
          <w:sz w:val="22"/>
          <w:szCs w:val="22"/>
          <w:lang w:val="lt-LT"/>
        </w:rPr>
        <w:t>4</w:t>
      </w:r>
      <w:r w:rsidRPr="00F93FFA">
        <w:rPr>
          <w:color w:val="000000"/>
          <w:sz w:val="22"/>
          <w:szCs w:val="22"/>
          <w:lang w:val="lt-LT"/>
        </w:rPr>
        <w:t xml:space="preserve"> lentelę), po 8 savaičių bcr-abl transkriptų kiekis buvo vienodas abiejose grupėse. </w:t>
      </w:r>
      <w:r w:rsidRPr="00F93FFA">
        <w:rPr>
          <w:rFonts w:eastAsia="MS Mincho"/>
          <w:color w:val="000000"/>
          <w:sz w:val="22"/>
          <w:szCs w:val="22"/>
          <w:lang w:val="lt-LT" w:eastAsia="ja-JP"/>
        </w:rPr>
        <w:t xml:space="preserve">Kaip ir tikėtasi planuojant tyrimą, skirtumo tarp remisijos trukmės, laiko be ligos ir gyvenimo trukmės nebuvo, nors pacientų, kuriems buvo pasiektas pilnas molekulinis atsakas ir išliko </w:t>
      </w:r>
      <w:r w:rsidRPr="00F93FFA">
        <w:rPr>
          <w:color w:val="000000"/>
          <w:sz w:val="22"/>
          <w:szCs w:val="22"/>
          <w:lang w:val="lt-LT"/>
        </w:rPr>
        <w:t xml:space="preserve">minimali liekamoji liga, buvo geresni ir remisijos trukmės </w:t>
      </w:r>
      <w:r w:rsidRPr="00F93FFA">
        <w:rPr>
          <w:rFonts w:eastAsia="MS Mincho"/>
          <w:color w:val="000000"/>
          <w:sz w:val="22"/>
          <w:szCs w:val="22"/>
          <w:lang w:val="lt-LT" w:eastAsia="ja-JP"/>
        </w:rPr>
        <w:t>(p</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0,01) ir laiko be ligos (p</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0,02) rezultatai</w:t>
      </w:r>
      <w:r w:rsidRPr="00F93FFA">
        <w:rPr>
          <w:color w:val="000000"/>
          <w:sz w:val="22"/>
          <w:szCs w:val="22"/>
          <w:lang w:val="lt-LT"/>
        </w:rPr>
        <w:t>.</w:t>
      </w:r>
    </w:p>
    <w:p w14:paraId="06E15010" w14:textId="77777777" w:rsidR="00314B70" w:rsidRPr="00F93FFA" w:rsidRDefault="00314B70" w:rsidP="00DE16D0">
      <w:pPr>
        <w:pStyle w:val="Text"/>
        <w:widowControl w:val="0"/>
        <w:spacing w:before="0"/>
        <w:jc w:val="left"/>
        <w:rPr>
          <w:color w:val="000000"/>
          <w:sz w:val="22"/>
          <w:szCs w:val="22"/>
          <w:lang w:val="lt-LT"/>
        </w:rPr>
      </w:pPr>
    </w:p>
    <w:p w14:paraId="0CC92000" w14:textId="77777777" w:rsidR="00314B70" w:rsidRPr="00F93FFA" w:rsidRDefault="00314B70" w:rsidP="00DE16D0">
      <w:pPr>
        <w:pStyle w:val="EndnoteText"/>
        <w:widowControl w:val="0"/>
        <w:rPr>
          <w:color w:val="000000"/>
          <w:szCs w:val="22"/>
          <w:lang w:val="lt-LT"/>
        </w:rPr>
      </w:pPr>
      <w:r w:rsidRPr="00F93FFA">
        <w:rPr>
          <w:color w:val="000000"/>
          <w:szCs w:val="22"/>
          <w:lang w:val="lt-LT"/>
        </w:rPr>
        <w:t xml:space="preserve">Keturių nekontroliuojamų tyrimų (AAU02, ADE04, AJP01 ir AUS01), kuriuose dalyvavo 211 pacientų, kuriems pirmą kartą diagnozuota Ph+ ŪLL, rezultatai atitinka aukščiau paminėto tyrimo rezultatus. Skiriant imatinibą kartu su pradine chemoterapija (žr. </w:t>
      </w:r>
      <w:r w:rsidR="00BC035E" w:rsidRPr="00F93FFA">
        <w:rPr>
          <w:color w:val="000000"/>
          <w:szCs w:val="22"/>
          <w:lang w:val="lt-LT"/>
        </w:rPr>
        <w:t>4</w:t>
      </w:r>
      <w:r w:rsidRPr="00F93FFA">
        <w:rPr>
          <w:color w:val="000000"/>
          <w:szCs w:val="22"/>
          <w:lang w:val="lt-LT"/>
        </w:rPr>
        <w:t> lentelę) pilno hematologinio atsako dažnis buvo 93 % (147 iš 158 pacientų, kuriuos buvo galima vertinti), o didžiojo citogenetinio atsako dažnis buvo 90 % (19 iš 21 paciento, kuriuos buvo galima įvertinti). Pilno molekulinio atsako dažnis buvo 48 % (49 iš 102 pacientų, kuriuos buvo galima vertinti). Laikas be ligos (DSF) ir gyvenimo trukmė (OS) pastoviai viršijo 1 metus ir buvo aukštesni kaip anksčiau nustatyti (DFS p&lt;0,001; OS p&lt;0,0001) dvejuose tyrimuose (AJP01 ir AUS01).</w:t>
      </w:r>
    </w:p>
    <w:p w14:paraId="1ADD5D98" w14:textId="77777777" w:rsidR="00314B70" w:rsidRPr="00F93FFA" w:rsidRDefault="00314B70" w:rsidP="00DE16D0">
      <w:pPr>
        <w:widowControl w:val="0"/>
        <w:rPr>
          <w:color w:val="000000"/>
          <w:sz w:val="22"/>
          <w:szCs w:val="22"/>
        </w:rPr>
      </w:pPr>
    </w:p>
    <w:p w14:paraId="395C4F89" w14:textId="77777777" w:rsidR="00314B70" w:rsidRPr="00F93FFA" w:rsidRDefault="00BC035E" w:rsidP="0003209B">
      <w:pPr>
        <w:keepNext/>
        <w:widowControl w:val="0"/>
        <w:tabs>
          <w:tab w:val="left" w:pos="1080"/>
        </w:tabs>
        <w:rPr>
          <w:b/>
          <w:color w:val="000000"/>
          <w:sz w:val="22"/>
          <w:szCs w:val="22"/>
        </w:rPr>
      </w:pPr>
      <w:r w:rsidRPr="00F93FFA">
        <w:rPr>
          <w:b/>
          <w:color w:val="000000"/>
          <w:sz w:val="22"/>
          <w:szCs w:val="22"/>
        </w:rPr>
        <w:lastRenderedPageBreak/>
        <w:t>4</w:t>
      </w:r>
      <w:r w:rsidR="00314B70" w:rsidRPr="00F93FFA">
        <w:rPr>
          <w:b/>
          <w:color w:val="000000"/>
          <w:sz w:val="22"/>
          <w:szCs w:val="22"/>
        </w:rPr>
        <w:t> lentelė</w:t>
      </w:r>
      <w:r w:rsidR="00314B70" w:rsidRPr="00F93FFA">
        <w:rPr>
          <w:b/>
          <w:color w:val="000000"/>
          <w:sz w:val="22"/>
          <w:szCs w:val="22"/>
        </w:rPr>
        <w:tab/>
        <w:t>Chemoterapijos gydymas, taikomas kartu su imatinibu</w:t>
      </w:r>
    </w:p>
    <w:p w14:paraId="256400E8" w14:textId="77777777" w:rsidR="00314B70" w:rsidRPr="00F93FFA" w:rsidRDefault="00314B70" w:rsidP="0003209B">
      <w:pPr>
        <w:keepNext/>
        <w:widowControl w:val="0"/>
        <w:rPr>
          <w:color w:val="000000"/>
          <w:sz w:val="22"/>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314B70" w:rsidRPr="00F93FFA" w14:paraId="2A691D52" w14:textId="77777777" w:rsidTr="008D42AF">
        <w:tc>
          <w:tcPr>
            <w:tcW w:w="2148" w:type="dxa"/>
            <w:tcBorders>
              <w:top w:val="single" w:sz="4" w:space="0" w:color="auto"/>
              <w:bottom w:val="single" w:sz="4" w:space="0" w:color="auto"/>
            </w:tcBorders>
          </w:tcPr>
          <w:p w14:paraId="0883785C"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lang w:val="lt-LT"/>
              </w:rPr>
              <w:t>ADE10 tyrimas</w:t>
            </w:r>
          </w:p>
        </w:tc>
        <w:tc>
          <w:tcPr>
            <w:tcW w:w="6732" w:type="dxa"/>
            <w:gridSpan w:val="4"/>
            <w:tcBorders>
              <w:top w:val="single" w:sz="4" w:space="0" w:color="auto"/>
              <w:bottom w:val="single" w:sz="4" w:space="0" w:color="auto"/>
            </w:tcBorders>
          </w:tcPr>
          <w:p w14:paraId="36AD1E1D"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r>
      <w:tr w:rsidR="00314B70" w:rsidRPr="00F93FFA" w14:paraId="6A2B45B4" w14:textId="77777777" w:rsidTr="008D42AF">
        <w:tc>
          <w:tcPr>
            <w:tcW w:w="2148" w:type="dxa"/>
            <w:tcBorders>
              <w:top w:val="single" w:sz="4" w:space="0" w:color="auto"/>
              <w:bottom w:val="single" w:sz="4" w:space="0" w:color="auto"/>
            </w:tcBorders>
          </w:tcPr>
          <w:p w14:paraId="1D96A404"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Prefazė</w:t>
            </w:r>
          </w:p>
        </w:tc>
        <w:tc>
          <w:tcPr>
            <w:tcW w:w="6732" w:type="dxa"/>
            <w:gridSpan w:val="4"/>
            <w:tcBorders>
              <w:top w:val="single" w:sz="4" w:space="0" w:color="auto"/>
              <w:bottom w:val="single" w:sz="4" w:space="0" w:color="auto"/>
            </w:tcBorders>
          </w:tcPr>
          <w:p w14:paraId="371EDD0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361262DC"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4, 5 dieną;</w:t>
            </w:r>
          </w:p>
          <w:p w14:paraId="7A675B6C"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12 mg intratekaliai, 1 dieną.</w:t>
            </w:r>
          </w:p>
        </w:tc>
      </w:tr>
      <w:tr w:rsidR="00314B70" w:rsidRPr="00F93FFA" w14:paraId="00B16223" w14:textId="77777777" w:rsidTr="008D42AF">
        <w:tc>
          <w:tcPr>
            <w:tcW w:w="2148" w:type="dxa"/>
            <w:tcBorders>
              <w:top w:val="single" w:sz="4" w:space="0" w:color="auto"/>
              <w:bottom w:val="single" w:sz="4" w:space="0" w:color="auto"/>
            </w:tcBorders>
          </w:tcPr>
          <w:p w14:paraId="191DF3D1"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Remisijos sukėlimas</w:t>
            </w:r>
          </w:p>
        </w:tc>
        <w:tc>
          <w:tcPr>
            <w:tcW w:w="6732" w:type="dxa"/>
            <w:gridSpan w:val="4"/>
            <w:tcBorders>
              <w:top w:val="single" w:sz="4" w:space="0" w:color="auto"/>
              <w:bottom w:val="single" w:sz="4" w:space="0" w:color="auto"/>
            </w:tcBorders>
          </w:tcPr>
          <w:p w14:paraId="2D1F6235"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6-7 dieną, 13-16 dieną;</w:t>
            </w:r>
          </w:p>
          <w:p w14:paraId="28075775"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1 mg i.v., 7, 14 dieną;</w:t>
            </w:r>
          </w:p>
          <w:p w14:paraId="3CB2F2EE"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IDA 8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(0,5 valandos), 7, 8, 14, 15 dieną;</w:t>
            </w:r>
          </w:p>
          <w:p w14:paraId="381E5C9E"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500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i.v.(1 valanda) 1 dieną;</w:t>
            </w:r>
          </w:p>
          <w:p w14:paraId="7FD3F02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22-25, 29-32 dienas.</w:t>
            </w:r>
          </w:p>
        </w:tc>
      </w:tr>
      <w:tr w:rsidR="00314B70" w:rsidRPr="00F93FFA" w14:paraId="184FC5B4" w14:textId="77777777" w:rsidTr="008D42AF">
        <w:tc>
          <w:tcPr>
            <w:tcW w:w="2148" w:type="dxa"/>
            <w:tcBorders>
              <w:top w:val="single" w:sz="4" w:space="0" w:color="auto"/>
              <w:bottom w:val="single" w:sz="4" w:space="0" w:color="auto"/>
            </w:tcBorders>
          </w:tcPr>
          <w:p w14:paraId="300E9B54"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I, III, V</w:t>
            </w:r>
          </w:p>
        </w:tc>
        <w:tc>
          <w:tcPr>
            <w:tcW w:w="6732" w:type="dxa"/>
            <w:gridSpan w:val="4"/>
            <w:tcBorders>
              <w:top w:val="single" w:sz="4" w:space="0" w:color="auto"/>
              <w:bottom w:val="single" w:sz="4" w:space="0" w:color="auto"/>
            </w:tcBorders>
          </w:tcPr>
          <w:p w14:paraId="3B69AB5A"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500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15 dieną;</w:t>
            </w:r>
          </w:p>
          <w:p w14:paraId="5FDF65C3"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6-MP 25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1-20 dieną.</w:t>
            </w:r>
          </w:p>
        </w:tc>
      </w:tr>
      <w:tr w:rsidR="00314B70" w:rsidRPr="00F93FFA" w14:paraId="60E4C8B7" w14:textId="77777777" w:rsidTr="008D42AF">
        <w:tc>
          <w:tcPr>
            <w:tcW w:w="2148" w:type="dxa"/>
            <w:tcBorders>
              <w:top w:val="single" w:sz="4" w:space="0" w:color="auto"/>
              <w:bottom w:val="single" w:sz="4" w:space="0" w:color="auto"/>
            </w:tcBorders>
          </w:tcPr>
          <w:p w14:paraId="47605864"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II, IV</w:t>
            </w:r>
          </w:p>
        </w:tc>
        <w:tc>
          <w:tcPr>
            <w:tcW w:w="6732" w:type="dxa"/>
            <w:gridSpan w:val="4"/>
            <w:tcBorders>
              <w:top w:val="single" w:sz="4" w:space="0" w:color="auto"/>
              <w:bottom w:val="single" w:sz="4" w:space="0" w:color="auto"/>
            </w:tcBorders>
          </w:tcPr>
          <w:p w14:paraId="562BD18A"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75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1-5 dienas;</w:t>
            </w:r>
          </w:p>
          <w:p w14:paraId="6A12737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VM26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1-5 dienas.</w:t>
            </w:r>
          </w:p>
        </w:tc>
      </w:tr>
      <w:tr w:rsidR="00314B70" w:rsidRPr="00F93FFA" w14:paraId="3FD31A5F" w14:textId="77777777" w:rsidTr="008D42AF">
        <w:tc>
          <w:tcPr>
            <w:tcW w:w="2148" w:type="dxa"/>
            <w:tcBorders>
              <w:top w:val="single" w:sz="4" w:space="0" w:color="auto"/>
              <w:bottom w:val="single" w:sz="4" w:space="0" w:color="auto"/>
            </w:tcBorders>
          </w:tcPr>
          <w:p w14:paraId="43F4F391" w14:textId="77777777" w:rsidR="00314B70" w:rsidRPr="00F93FFA" w:rsidRDefault="00314B70" w:rsidP="0003209B">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AAU02 tyrimas</w:t>
            </w:r>
          </w:p>
        </w:tc>
        <w:tc>
          <w:tcPr>
            <w:tcW w:w="2652" w:type="dxa"/>
            <w:tcBorders>
              <w:top w:val="single" w:sz="4" w:space="0" w:color="auto"/>
              <w:bottom w:val="single" w:sz="4" w:space="0" w:color="auto"/>
            </w:tcBorders>
          </w:tcPr>
          <w:p w14:paraId="2730C86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080" w:type="dxa"/>
            <w:tcBorders>
              <w:top w:val="single" w:sz="4" w:space="0" w:color="auto"/>
              <w:bottom w:val="single" w:sz="4" w:space="0" w:color="auto"/>
            </w:tcBorders>
          </w:tcPr>
          <w:p w14:paraId="1585299B"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3099E16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1A68C17A"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r>
      <w:tr w:rsidR="00314B70" w:rsidRPr="00F93FFA" w14:paraId="1D61B167" w14:textId="77777777" w:rsidTr="008D42AF">
        <w:tc>
          <w:tcPr>
            <w:tcW w:w="2148" w:type="dxa"/>
            <w:tcBorders>
              <w:top w:val="single" w:sz="4" w:space="0" w:color="auto"/>
              <w:bottom w:val="single" w:sz="4" w:space="0" w:color="auto"/>
            </w:tcBorders>
          </w:tcPr>
          <w:p w14:paraId="20A77911"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w:t>
            </w:r>
            <w:r w:rsidRPr="00F93FFA">
              <w:rPr>
                <w:rFonts w:ascii="Times New Roman" w:hAnsi="Times New Roman"/>
                <w:i/>
                <w:color w:val="000000"/>
                <w:sz w:val="22"/>
                <w:szCs w:val="22"/>
                <w:lang w:val="lt-LT"/>
              </w:rPr>
              <w:t>de novo</w:t>
            </w:r>
            <w:r w:rsidRPr="00F93FFA">
              <w:rPr>
                <w:rFonts w:ascii="Times New Roman" w:hAnsi="Times New Roman"/>
                <w:color w:val="000000"/>
                <w:sz w:val="22"/>
                <w:szCs w:val="22"/>
                <w:lang w:val="lt-LT"/>
              </w:rPr>
              <w:t xml:space="preserve"> Ph+ ALL)</w:t>
            </w:r>
          </w:p>
        </w:tc>
        <w:tc>
          <w:tcPr>
            <w:tcW w:w="6732" w:type="dxa"/>
            <w:gridSpan w:val="4"/>
            <w:tcBorders>
              <w:top w:val="single" w:sz="4" w:space="0" w:color="auto"/>
              <w:bottom w:val="single" w:sz="4" w:space="0" w:color="auto"/>
            </w:tcBorders>
          </w:tcPr>
          <w:p w14:paraId="53DC50C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30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1-3 dienas, 15-16 dienas;</w:t>
            </w:r>
          </w:p>
          <w:p w14:paraId="4612ABD8"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bendra dozė 2 mg i.v., 1, 8, 15, 22 dieną;</w:t>
            </w:r>
          </w:p>
          <w:p w14:paraId="55574BFE"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750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8 dieną;</w:t>
            </w:r>
          </w:p>
          <w:p w14:paraId="110B36E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1-7, 15-21 dienas;</w:t>
            </w:r>
          </w:p>
          <w:p w14:paraId="7645F768"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IDA 9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1-28 dienas;</w:t>
            </w:r>
          </w:p>
          <w:p w14:paraId="7531598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8, 15, 22 dieną;</w:t>
            </w:r>
          </w:p>
          <w:p w14:paraId="0144568E"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40 mg intratekaliai, 1, 8, 15, 22 dieną;</w:t>
            </w:r>
          </w:p>
          <w:p w14:paraId="35B9363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metilprednizolonas 40 mg intratekaliai, 1, 8, 15, 22 dieną.</w:t>
            </w:r>
          </w:p>
        </w:tc>
      </w:tr>
      <w:tr w:rsidR="00314B70" w:rsidRPr="00F93FFA" w14:paraId="23881D54" w14:textId="77777777" w:rsidTr="008D42AF">
        <w:tc>
          <w:tcPr>
            <w:tcW w:w="2148" w:type="dxa"/>
            <w:tcBorders>
              <w:top w:val="single" w:sz="4" w:space="0" w:color="auto"/>
              <w:bottom w:val="single" w:sz="4" w:space="0" w:color="auto"/>
            </w:tcBorders>
          </w:tcPr>
          <w:p w14:paraId="47DF7E0E"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 (</w:t>
            </w:r>
            <w:r w:rsidRPr="00F93FFA">
              <w:rPr>
                <w:rFonts w:ascii="Times New Roman" w:hAnsi="Times New Roman"/>
                <w:i/>
                <w:color w:val="000000"/>
                <w:sz w:val="22"/>
                <w:szCs w:val="22"/>
                <w:lang w:val="lt-LT"/>
              </w:rPr>
              <w:t>de novo</w:t>
            </w:r>
            <w:r w:rsidRPr="00F93FFA">
              <w:rPr>
                <w:rFonts w:ascii="Times New Roman" w:hAnsi="Times New Roman"/>
                <w:color w:val="000000"/>
                <w:sz w:val="22"/>
                <w:szCs w:val="22"/>
                <w:lang w:val="lt-LT"/>
              </w:rPr>
              <w:t xml:space="preserve"> Ph+ ALL)</w:t>
            </w:r>
          </w:p>
        </w:tc>
        <w:tc>
          <w:tcPr>
            <w:tcW w:w="6732" w:type="dxa"/>
            <w:gridSpan w:val="4"/>
            <w:tcBorders>
              <w:top w:val="single" w:sz="4" w:space="0" w:color="auto"/>
              <w:bottom w:val="single" w:sz="4" w:space="0" w:color="auto"/>
            </w:tcBorders>
          </w:tcPr>
          <w:p w14:paraId="63F3BD6B"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1 000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/12 h i.v.(3 valandos), 1-4 dienas;</w:t>
            </w:r>
          </w:p>
          <w:p w14:paraId="18B6A603"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mitoksantronas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3-5 dienas;</w:t>
            </w:r>
          </w:p>
          <w:p w14:paraId="320B8966"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dieną;</w:t>
            </w:r>
          </w:p>
          <w:p w14:paraId="7FA2CC64"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metilprednizolonas 40 mg intratekaliai, 1 dieną.</w:t>
            </w:r>
          </w:p>
        </w:tc>
      </w:tr>
      <w:tr w:rsidR="00314B70" w:rsidRPr="00F93FFA" w14:paraId="09001C4C" w14:textId="77777777" w:rsidTr="008D42AF">
        <w:tc>
          <w:tcPr>
            <w:tcW w:w="4800" w:type="dxa"/>
            <w:gridSpan w:val="2"/>
            <w:tcBorders>
              <w:top w:val="single" w:sz="4" w:space="0" w:color="auto"/>
              <w:bottom w:val="single" w:sz="4" w:space="0" w:color="auto"/>
            </w:tcBorders>
          </w:tcPr>
          <w:p w14:paraId="37D9E2E1" w14:textId="77777777" w:rsidR="00314B70" w:rsidRPr="00F93FFA" w:rsidRDefault="00314B70" w:rsidP="0003209B">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ADE04 tyrimas</w:t>
            </w:r>
          </w:p>
        </w:tc>
        <w:tc>
          <w:tcPr>
            <w:tcW w:w="1080" w:type="dxa"/>
            <w:tcBorders>
              <w:top w:val="single" w:sz="4" w:space="0" w:color="auto"/>
              <w:bottom w:val="single" w:sz="4" w:space="0" w:color="auto"/>
            </w:tcBorders>
          </w:tcPr>
          <w:p w14:paraId="3CE1908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34726D2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24D1358D"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r>
      <w:tr w:rsidR="00314B70" w:rsidRPr="00F93FFA" w14:paraId="58307F8F" w14:textId="77777777" w:rsidTr="008D42AF">
        <w:tc>
          <w:tcPr>
            <w:tcW w:w="2148" w:type="dxa"/>
            <w:tcBorders>
              <w:top w:val="single" w:sz="4" w:space="0" w:color="auto"/>
              <w:bottom w:val="single" w:sz="4" w:space="0" w:color="auto"/>
            </w:tcBorders>
          </w:tcPr>
          <w:p w14:paraId="644A3A51"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Prefazė</w:t>
            </w:r>
          </w:p>
        </w:tc>
        <w:tc>
          <w:tcPr>
            <w:tcW w:w="6732" w:type="dxa"/>
            <w:gridSpan w:val="4"/>
            <w:tcBorders>
              <w:top w:val="single" w:sz="4" w:space="0" w:color="auto"/>
              <w:bottom w:val="single" w:sz="4" w:space="0" w:color="auto"/>
            </w:tcBorders>
          </w:tcPr>
          <w:p w14:paraId="0EAC23CC"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7CE611F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200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3-5 dienas;</w:t>
            </w:r>
          </w:p>
          <w:p w14:paraId="214B134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mg intratekaliai, 1 dieną.</w:t>
            </w:r>
          </w:p>
        </w:tc>
      </w:tr>
      <w:tr w:rsidR="00314B70" w:rsidRPr="00F93FFA" w14:paraId="3B99F5B4" w14:textId="77777777" w:rsidTr="008D42AF">
        <w:tc>
          <w:tcPr>
            <w:tcW w:w="2148" w:type="dxa"/>
            <w:tcBorders>
              <w:top w:val="single" w:sz="4" w:space="0" w:color="auto"/>
              <w:bottom w:val="single" w:sz="4" w:space="0" w:color="auto"/>
            </w:tcBorders>
          </w:tcPr>
          <w:p w14:paraId="579A843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I</w:t>
            </w:r>
          </w:p>
        </w:tc>
        <w:tc>
          <w:tcPr>
            <w:tcW w:w="6732" w:type="dxa"/>
            <w:gridSpan w:val="4"/>
            <w:tcBorders>
              <w:top w:val="single" w:sz="4" w:space="0" w:color="auto"/>
              <w:bottom w:val="single" w:sz="4" w:space="0" w:color="auto"/>
            </w:tcBorders>
          </w:tcPr>
          <w:p w14:paraId="5DCE0D3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44DDC06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2 mg i.v., 6, 13, 20 dieną;</w:t>
            </w:r>
          </w:p>
          <w:p w14:paraId="0A2B5649"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45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6-7, 13-14 dieną.</w:t>
            </w:r>
          </w:p>
        </w:tc>
      </w:tr>
      <w:tr w:rsidR="00314B70" w:rsidRPr="00F93FFA" w14:paraId="482A2E79" w14:textId="77777777" w:rsidTr="008D42AF">
        <w:tc>
          <w:tcPr>
            <w:tcW w:w="2148" w:type="dxa"/>
            <w:tcBorders>
              <w:top w:val="single" w:sz="4" w:space="0" w:color="auto"/>
              <w:bottom w:val="single" w:sz="4" w:space="0" w:color="auto"/>
            </w:tcBorders>
          </w:tcPr>
          <w:p w14:paraId="1C73C34C"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 II</w:t>
            </w:r>
          </w:p>
        </w:tc>
        <w:tc>
          <w:tcPr>
            <w:tcW w:w="6732" w:type="dxa"/>
            <w:gridSpan w:val="4"/>
            <w:tcBorders>
              <w:top w:val="single" w:sz="4" w:space="0" w:color="auto"/>
              <w:bottom w:val="single" w:sz="4" w:space="0" w:color="auto"/>
            </w:tcBorders>
          </w:tcPr>
          <w:p w14:paraId="20180A5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26, 46 dieną;</w:t>
            </w:r>
          </w:p>
          <w:p w14:paraId="555142E8"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75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28-31, 35-38, 42-45 dienas;</w:t>
            </w:r>
          </w:p>
          <w:p w14:paraId="2980AAEE"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6-MP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26-46 dienas.</w:t>
            </w:r>
          </w:p>
        </w:tc>
      </w:tr>
      <w:tr w:rsidR="00314B70" w:rsidRPr="00F93FFA" w14:paraId="0F20E72E" w14:textId="77777777" w:rsidTr="008D42AF">
        <w:tc>
          <w:tcPr>
            <w:tcW w:w="2148" w:type="dxa"/>
            <w:tcBorders>
              <w:top w:val="nil"/>
              <w:bottom w:val="single" w:sz="4" w:space="0" w:color="auto"/>
            </w:tcBorders>
          </w:tcPr>
          <w:p w14:paraId="1545B2C6"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w:t>
            </w:r>
          </w:p>
        </w:tc>
        <w:tc>
          <w:tcPr>
            <w:tcW w:w="6732" w:type="dxa"/>
            <w:gridSpan w:val="4"/>
            <w:tcBorders>
              <w:top w:val="nil"/>
              <w:bottom w:val="single" w:sz="4" w:space="0" w:color="auto"/>
            </w:tcBorders>
          </w:tcPr>
          <w:p w14:paraId="2DE80F1A"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DEX 10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p w14:paraId="3A9822A0"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vindezinas 3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dieną;</w:t>
            </w:r>
          </w:p>
          <w:p w14:paraId="79752738"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MTX 1,5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w:t>
            </w:r>
          </w:p>
          <w:p w14:paraId="1E6E7A0B"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etopozidas 250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4-5 dienas;</w:t>
            </w:r>
          </w:p>
          <w:p w14:paraId="0F4CC4A7"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2x 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12 valandų), 5 dieną.</w:t>
            </w:r>
          </w:p>
        </w:tc>
      </w:tr>
      <w:tr w:rsidR="00314B70" w:rsidRPr="00F93FFA" w14:paraId="66378B7E" w14:textId="77777777" w:rsidTr="008D42AF">
        <w:tc>
          <w:tcPr>
            <w:tcW w:w="2148" w:type="dxa"/>
            <w:tcBorders>
              <w:top w:val="nil"/>
              <w:bottom w:val="single" w:sz="4" w:space="0" w:color="auto"/>
            </w:tcBorders>
          </w:tcPr>
          <w:p w14:paraId="7C517F23" w14:textId="77777777" w:rsidR="00314B70" w:rsidRPr="00F93FFA" w:rsidRDefault="00314B70" w:rsidP="0003209B">
            <w:pPr>
              <w:pStyle w:val="Table"/>
              <w:keepLines w:val="0"/>
              <w:widowControl w:val="0"/>
              <w:spacing w:before="0" w:after="0"/>
              <w:rPr>
                <w:rFonts w:ascii="Times New Roman" w:hAnsi="Times New Roman"/>
                <w:b/>
                <w:color w:val="000000"/>
                <w:sz w:val="22"/>
                <w:szCs w:val="22"/>
                <w:lang w:val="lt-LT"/>
              </w:rPr>
            </w:pPr>
            <w:r w:rsidRPr="00F93FFA">
              <w:rPr>
                <w:rFonts w:ascii="Times New Roman" w:hAnsi="Times New Roman"/>
                <w:b/>
                <w:color w:val="000000"/>
                <w:sz w:val="22"/>
                <w:szCs w:val="22"/>
                <w:lang w:val="lt-LT"/>
              </w:rPr>
              <w:t>AJP01 tyrimas</w:t>
            </w:r>
          </w:p>
        </w:tc>
        <w:tc>
          <w:tcPr>
            <w:tcW w:w="2652" w:type="dxa"/>
            <w:tcBorders>
              <w:top w:val="nil"/>
              <w:bottom w:val="single" w:sz="4" w:space="0" w:color="auto"/>
            </w:tcBorders>
          </w:tcPr>
          <w:p w14:paraId="5D87611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080" w:type="dxa"/>
            <w:tcBorders>
              <w:top w:val="nil"/>
              <w:bottom w:val="single" w:sz="4" w:space="0" w:color="auto"/>
            </w:tcBorders>
          </w:tcPr>
          <w:p w14:paraId="2DA4A778"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380" w:type="dxa"/>
            <w:tcBorders>
              <w:top w:val="nil"/>
              <w:bottom w:val="single" w:sz="4" w:space="0" w:color="auto"/>
            </w:tcBorders>
          </w:tcPr>
          <w:p w14:paraId="20B9609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620" w:type="dxa"/>
            <w:tcBorders>
              <w:top w:val="nil"/>
              <w:bottom w:val="single" w:sz="4" w:space="0" w:color="auto"/>
            </w:tcBorders>
          </w:tcPr>
          <w:p w14:paraId="02BB4AF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r>
      <w:tr w:rsidR="00314B70" w:rsidRPr="00F93FFA" w14:paraId="229E48A4" w14:textId="77777777" w:rsidTr="008D42AF">
        <w:tc>
          <w:tcPr>
            <w:tcW w:w="2148" w:type="dxa"/>
            <w:tcBorders>
              <w:top w:val="nil"/>
              <w:bottom w:val="single" w:sz="4" w:space="0" w:color="auto"/>
            </w:tcBorders>
          </w:tcPr>
          <w:p w14:paraId="7BEF4F97" w14:textId="77777777" w:rsidR="00314B70" w:rsidRPr="00F93FFA" w:rsidRDefault="00314B70" w:rsidP="0003209B">
            <w:pPr>
              <w:pStyle w:val="Table"/>
              <w:keepLines w:val="0"/>
              <w:widowControl w:val="0"/>
              <w:spacing w:before="0" w:after="0"/>
              <w:jc w:val="both"/>
              <w:rPr>
                <w:rFonts w:ascii="Times New Roman" w:hAnsi="Times New Roman"/>
                <w:color w:val="000000"/>
                <w:sz w:val="22"/>
                <w:szCs w:val="22"/>
                <w:lang w:val="lt-LT"/>
              </w:rPr>
            </w:pPr>
            <w:r w:rsidRPr="00F93FFA">
              <w:rPr>
                <w:rFonts w:ascii="Times New Roman" w:hAnsi="Times New Roman"/>
                <w:color w:val="000000"/>
                <w:sz w:val="22"/>
                <w:szCs w:val="22"/>
                <w:lang w:val="lt-LT"/>
              </w:rPr>
              <w:t>Pradinis gydymas</w:t>
            </w:r>
          </w:p>
        </w:tc>
        <w:tc>
          <w:tcPr>
            <w:tcW w:w="6732" w:type="dxa"/>
            <w:gridSpan w:val="4"/>
            <w:tcBorders>
              <w:top w:val="nil"/>
              <w:bottom w:val="single" w:sz="4" w:space="0" w:color="auto"/>
            </w:tcBorders>
          </w:tcPr>
          <w:p w14:paraId="26CD5D8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CP 1,2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 dieną;</w:t>
            </w:r>
          </w:p>
          <w:p w14:paraId="2F88C4E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daunorubicinas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valanda), 1-3 dienas;</w:t>
            </w:r>
          </w:p>
          <w:p w14:paraId="2CF69DB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vinkristinas 1,3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8, 15, 21 dieną;</w:t>
            </w:r>
          </w:p>
          <w:p w14:paraId="0C0E7B5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/per parą.</w:t>
            </w:r>
          </w:p>
        </w:tc>
      </w:tr>
      <w:tr w:rsidR="00314B70" w:rsidRPr="00F93FFA" w14:paraId="4104901A" w14:textId="77777777" w:rsidTr="008D42AF">
        <w:tc>
          <w:tcPr>
            <w:tcW w:w="2148" w:type="dxa"/>
            <w:tcBorders>
              <w:top w:val="single" w:sz="4" w:space="0" w:color="auto"/>
              <w:bottom w:val="single" w:sz="4" w:space="0" w:color="auto"/>
            </w:tcBorders>
          </w:tcPr>
          <w:p w14:paraId="2D559079" w14:textId="77777777" w:rsidR="00314B70" w:rsidRPr="00F93FFA" w:rsidRDefault="00314B70" w:rsidP="0003209B">
            <w:pPr>
              <w:pStyle w:val="Table"/>
              <w:keepLines w:val="0"/>
              <w:widowControl w:val="0"/>
              <w:tabs>
                <w:tab w:val="left" w:pos="0"/>
              </w:tabs>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Konsoliduojantis gydymas</w:t>
            </w:r>
          </w:p>
        </w:tc>
        <w:tc>
          <w:tcPr>
            <w:tcW w:w="6732" w:type="dxa"/>
            <w:gridSpan w:val="4"/>
            <w:tcBorders>
              <w:top w:val="single" w:sz="4" w:space="0" w:color="auto"/>
              <w:bottom w:val="single" w:sz="4" w:space="0" w:color="auto"/>
            </w:tcBorders>
          </w:tcPr>
          <w:p w14:paraId="46944414"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Pakaitinis chemoterapijos kursas: aukštos dozės chemoterapija su MTX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 ir Ara-C 2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(12 valandų), 2-3 dieną, 4 kursus.</w:t>
            </w:r>
          </w:p>
        </w:tc>
      </w:tr>
      <w:tr w:rsidR="00314B70" w:rsidRPr="00F93FFA" w14:paraId="4BD30580" w14:textId="77777777" w:rsidTr="008D42AF">
        <w:tc>
          <w:tcPr>
            <w:tcW w:w="2148" w:type="dxa"/>
            <w:tcBorders>
              <w:top w:val="single" w:sz="4" w:space="0" w:color="auto"/>
              <w:bottom w:val="single" w:sz="4" w:space="0" w:color="auto"/>
            </w:tcBorders>
          </w:tcPr>
          <w:p w14:paraId="6719114E" w14:textId="77777777" w:rsidR="00314B70" w:rsidRPr="00F93FFA" w:rsidRDefault="00314B70" w:rsidP="0003209B">
            <w:pPr>
              <w:pStyle w:val="Table"/>
              <w:keepNext w:val="0"/>
              <w:keepLines w:val="0"/>
              <w:widowControl w:val="0"/>
              <w:tabs>
                <w:tab w:val="left" w:pos="0"/>
              </w:tabs>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Palaikomasis gydymas</w:t>
            </w:r>
          </w:p>
        </w:tc>
        <w:tc>
          <w:tcPr>
            <w:tcW w:w="6732" w:type="dxa"/>
            <w:gridSpan w:val="4"/>
            <w:tcBorders>
              <w:top w:val="single" w:sz="4" w:space="0" w:color="auto"/>
              <w:bottom w:val="single" w:sz="4" w:space="0" w:color="auto"/>
            </w:tcBorders>
          </w:tcPr>
          <w:p w14:paraId="47B9D1B3"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1,3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1 dieną;</w:t>
            </w:r>
          </w:p>
          <w:p w14:paraId="3EAE9D3D" w14:textId="77777777" w:rsidR="00314B70" w:rsidRPr="00F93FFA" w:rsidRDefault="00314B70" w:rsidP="0003209B">
            <w:pPr>
              <w:pStyle w:val="Table"/>
              <w:keepNext w:val="0"/>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60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1-5 dienas.</w:t>
            </w:r>
          </w:p>
        </w:tc>
      </w:tr>
      <w:tr w:rsidR="00314B70" w:rsidRPr="00F93FFA" w14:paraId="11269FC5" w14:textId="77777777" w:rsidTr="008D42AF">
        <w:tc>
          <w:tcPr>
            <w:tcW w:w="4800" w:type="dxa"/>
            <w:gridSpan w:val="2"/>
            <w:tcBorders>
              <w:top w:val="single" w:sz="4" w:space="0" w:color="auto"/>
              <w:bottom w:val="single" w:sz="4" w:space="0" w:color="auto"/>
            </w:tcBorders>
          </w:tcPr>
          <w:p w14:paraId="7986DF41"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b/>
                <w:color w:val="000000"/>
                <w:sz w:val="22"/>
                <w:szCs w:val="22"/>
                <w:lang w:val="lt-LT"/>
              </w:rPr>
              <w:lastRenderedPageBreak/>
              <w:t>AUS01 tyrimas</w:t>
            </w:r>
          </w:p>
        </w:tc>
        <w:tc>
          <w:tcPr>
            <w:tcW w:w="1080" w:type="dxa"/>
            <w:tcBorders>
              <w:top w:val="single" w:sz="4" w:space="0" w:color="auto"/>
              <w:bottom w:val="single" w:sz="4" w:space="0" w:color="auto"/>
            </w:tcBorders>
          </w:tcPr>
          <w:p w14:paraId="462FC60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380" w:type="dxa"/>
            <w:tcBorders>
              <w:top w:val="single" w:sz="4" w:space="0" w:color="auto"/>
              <w:bottom w:val="single" w:sz="4" w:space="0" w:color="auto"/>
            </w:tcBorders>
          </w:tcPr>
          <w:p w14:paraId="31CE1A9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c>
          <w:tcPr>
            <w:tcW w:w="1620" w:type="dxa"/>
            <w:tcBorders>
              <w:top w:val="single" w:sz="4" w:space="0" w:color="auto"/>
              <w:bottom w:val="single" w:sz="4" w:space="0" w:color="auto"/>
            </w:tcBorders>
          </w:tcPr>
          <w:p w14:paraId="4AE0123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p>
        </w:tc>
      </w:tr>
      <w:tr w:rsidR="00314B70" w:rsidRPr="00F93FFA" w14:paraId="232041AD" w14:textId="77777777" w:rsidTr="008D42AF">
        <w:tc>
          <w:tcPr>
            <w:tcW w:w="2148" w:type="dxa"/>
            <w:tcBorders>
              <w:top w:val="single" w:sz="4" w:space="0" w:color="auto"/>
              <w:bottom w:val="single" w:sz="4" w:space="0" w:color="auto"/>
            </w:tcBorders>
          </w:tcPr>
          <w:p w14:paraId="11CC045D"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Pradinis- konsoliduojantis gydymas</w:t>
            </w:r>
          </w:p>
        </w:tc>
        <w:tc>
          <w:tcPr>
            <w:tcW w:w="6732" w:type="dxa"/>
            <w:gridSpan w:val="4"/>
            <w:tcBorders>
              <w:top w:val="single" w:sz="4" w:space="0" w:color="auto"/>
              <w:bottom w:val="single" w:sz="4" w:space="0" w:color="auto"/>
            </w:tcBorders>
          </w:tcPr>
          <w:p w14:paraId="5AD01550"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Hiper-CVAD gydymas: CP 300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(3 valandos, 12 valandų), 1-3 dienas;</w:t>
            </w:r>
          </w:p>
          <w:p w14:paraId="7BCE7A5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vinkristinas 2 mg i.v., 4, 11 dieną;</w:t>
            </w:r>
          </w:p>
          <w:p w14:paraId="3B398653"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doksorubicinas 50 mg/m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4 dieną;</w:t>
            </w:r>
          </w:p>
          <w:p w14:paraId="28E2E2B7"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DEX 40 mg/per parą 1-4 dienas ir 11-14 dienas, keičiamas MTX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(24 valandos), 1 dieną, Ara-C 1 g/m</w:t>
            </w:r>
            <w:r w:rsidRPr="00F93FFA">
              <w:rPr>
                <w:rFonts w:ascii="Times New Roman" w:hAnsi="Times New Roman"/>
                <w:color w:val="000000"/>
                <w:sz w:val="22"/>
                <w:szCs w:val="22"/>
                <w:vertAlign w:val="superscript"/>
                <w:lang w:val="lt-LT"/>
              </w:rPr>
              <w:t>2</w:t>
            </w:r>
            <w:r w:rsidRPr="00F93FFA">
              <w:rPr>
                <w:rFonts w:ascii="Times New Roman" w:hAnsi="Times New Roman"/>
                <w:color w:val="000000"/>
                <w:sz w:val="22"/>
                <w:szCs w:val="22"/>
                <w:lang w:val="lt-LT"/>
              </w:rPr>
              <w:t xml:space="preserve"> i.v. (2 valandos, 12 valandų), 2-3 dieną (iš viso 8 kursai).</w:t>
            </w:r>
          </w:p>
        </w:tc>
      </w:tr>
      <w:tr w:rsidR="00314B70" w:rsidRPr="00F93FFA" w14:paraId="20CBD9BA" w14:textId="77777777" w:rsidTr="008D42AF">
        <w:tc>
          <w:tcPr>
            <w:tcW w:w="2148" w:type="dxa"/>
            <w:tcBorders>
              <w:top w:val="single" w:sz="4" w:space="0" w:color="auto"/>
              <w:bottom w:val="single" w:sz="4" w:space="0" w:color="auto"/>
            </w:tcBorders>
          </w:tcPr>
          <w:p w14:paraId="2784505B"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Palaikomasis gydymas</w:t>
            </w:r>
          </w:p>
        </w:tc>
        <w:tc>
          <w:tcPr>
            <w:tcW w:w="6732" w:type="dxa"/>
            <w:gridSpan w:val="4"/>
            <w:tcBorders>
              <w:top w:val="single" w:sz="4" w:space="0" w:color="auto"/>
              <w:bottom w:val="single" w:sz="4" w:space="0" w:color="auto"/>
            </w:tcBorders>
          </w:tcPr>
          <w:p w14:paraId="1A0B89FA"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VCR 2 mg i.v. kas mėnesį 13 mėnesių;</w:t>
            </w:r>
          </w:p>
          <w:p w14:paraId="47B90A45"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gerti prednizoloną po 200 mg, 5 dienas per mėnesį 13 mėnesių.</w:t>
            </w:r>
          </w:p>
        </w:tc>
      </w:tr>
      <w:tr w:rsidR="00314B70" w:rsidRPr="00F93FFA" w14:paraId="26B21115" w14:textId="77777777" w:rsidTr="008D42AF">
        <w:tc>
          <w:tcPr>
            <w:tcW w:w="8880" w:type="dxa"/>
            <w:gridSpan w:val="5"/>
            <w:tcBorders>
              <w:top w:val="single" w:sz="4" w:space="0" w:color="auto"/>
              <w:bottom w:val="single" w:sz="4" w:space="0" w:color="auto"/>
            </w:tcBorders>
          </w:tcPr>
          <w:p w14:paraId="476C742F"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Visi gydymo režimai taikomi vartojant steroidų CNS ligų profilaktikai.</w:t>
            </w:r>
          </w:p>
        </w:tc>
      </w:tr>
      <w:tr w:rsidR="00314B70" w:rsidRPr="00F93FFA" w14:paraId="54C364AF" w14:textId="77777777" w:rsidTr="008D42AF">
        <w:tc>
          <w:tcPr>
            <w:tcW w:w="8880" w:type="dxa"/>
            <w:gridSpan w:val="5"/>
            <w:tcBorders>
              <w:top w:val="single" w:sz="4" w:space="0" w:color="auto"/>
              <w:bottom w:val="single" w:sz="4" w:space="0" w:color="auto"/>
            </w:tcBorders>
          </w:tcPr>
          <w:p w14:paraId="18461C96" w14:textId="77777777" w:rsidR="00314B70" w:rsidRPr="00F93FFA" w:rsidRDefault="00314B70" w:rsidP="0003209B">
            <w:pPr>
              <w:pStyle w:val="Table"/>
              <w:keepLines w:val="0"/>
              <w:widowControl w:val="0"/>
              <w:spacing w:before="0" w:after="0"/>
              <w:rPr>
                <w:rFonts w:ascii="Times New Roman" w:hAnsi="Times New Roman"/>
                <w:color w:val="000000"/>
                <w:sz w:val="22"/>
                <w:szCs w:val="22"/>
                <w:lang w:val="lt-LT"/>
              </w:rPr>
            </w:pPr>
            <w:r w:rsidRPr="00F93FFA">
              <w:rPr>
                <w:rFonts w:ascii="Times New Roman" w:hAnsi="Times New Roman"/>
                <w:color w:val="000000"/>
                <w:sz w:val="22"/>
                <w:szCs w:val="22"/>
                <w:lang w:val="lt-LT"/>
              </w:rPr>
              <w:t>Ara-C: citozino arabinozidas; CP: ciklofosfamidas; DEX: deksametazonas; MTX: metotreksatas; 6-MP: 6-merkaptopurinas; VM26: tenipozidas; VCR: vinkristinas; IDA: idarubicinas; i.v.: vartoti į veną.</w:t>
            </w:r>
          </w:p>
        </w:tc>
      </w:tr>
    </w:tbl>
    <w:p w14:paraId="66FA5E45" w14:textId="77777777" w:rsidR="00314B70" w:rsidRPr="00F93FFA" w:rsidRDefault="00314B70" w:rsidP="00DE16D0">
      <w:pPr>
        <w:pStyle w:val="EndnoteText"/>
        <w:widowControl w:val="0"/>
        <w:rPr>
          <w:color w:val="000000"/>
          <w:szCs w:val="22"/>
          <w:lang w:val="lt-LT"/>
        </w:rPr>
      </w:pPr>
    </w:p>
    <w:p w14:paraId="2DFF6EF5" w14:textId="77777777" w:rsidR="00314B70" w:rsidRPr="00F93FFA" w:rsidRDefault="00314B70" w:rsidP="00DE16D0">
      <w:pPr>
        <w:pStyle w:val="EndnoteText"/>
        <w:widowControl w:val="0"/>
        <w:rPr>
          <w:color w:val="000000"/>
          <w:lang w:val="lt-LT"/>
        </w:rPr>
      </w:pPr>
      <w:r w:rsidRPr="00F93FFA">
        <w:rPr>
          <w:i/>
          <w:color w:val="000000"/>
          <w:szCs w:val="22"/>
          <w:lang w:val="lt-LT"/>
        </w:rPr>
        <w:t>Vaikai ir paaugliai:</w:t>
      </w:r>
      <w:r w:rsidRPr="00F93FFA">
        <w:rPr>
          <w:color w:val="000000"/>
          <w:szCs w:val="22"/>
          <w:lang w:val="lt-LT"/>
        </w:rPr>
        <w:t xml:space="preserve"> </w:t>
      </w:r>
      <w:r w:rsidRPr="00F93FFA">
        <w:rPr>
          <w:color w:val="000000"/>
          <w:lang w:val="lt-LT"/>
        </w:rPr>
        <w:t>Į atvirąjį, daugiacentrį, nuoseklių kohortų, ne atsitiktinių imčių, III fazės klinikinį tyrimą I2301 buvo įtraukta iš viso 93 vaikai, paaugliai ir jauni suaugę pacientai (nuo 1 iki 22 metų), kurie sirgo Ph+ ŪLL. Šio tyrimo metu pacientams po indukcinio gydymo buvo skiriamas Glivec (po 340 mg/m</w:t>
      </w:r>
      <w:r w:rsidRPr="00F93FFA">
        <w:rPr>
          <w:color w:val="000000"/>
          <w:vertAlign w:val="superscript"/>
          <w:lang w:val="lt-LT"/>
        </w:rPr>
        <w:t>2</w:t>
      </w:r>
      <w:r w:rsidRPr="00F93FFA">
        <w:rPr>
          <w:color w:val="000000"/>
          <w:lang w:val="lt-LT"/>
        </w:rPr>
        <w:t xml:space="preserve"> per parą) kartu su intensyvia chemoterapija. 1</w:t>
      </w:r>
      <w:r w:rsidRPr="00F93FFA">
        <w:rPr>
          <w:color w:val="000000"/>
          <w:lang w:val="lt-LT"/>
        </w:rPr>
        <w:noBreakHyphen/>
        <w:t xml:space="preserve">5 kohortų pacientams Glivec buvo skiriamas netolygiai, skirtingose kohortose </w:t>
      </w:r>
      <w:r w:rsidR="00D62405" w:rsidRPr="00F93FFA">
        <w:rPr>
          <w:color w:val="000000"/>
          <w:lang w:val="lt-LT"/>
        </w:rPr>
        <w:t xml:space="preserve">vaistinio preparato </w:t>
      </w:r>
      <w:r w:rsidRPr="00F93FFA">
        <w:rPr>
          <w:color w:val="000000"/>
          <w:lang w:val="lt-LT"/>
        </w:rPr>
        <w:t>buvo skiriama didėjančia trukme ir gydymas buvo pradedamas anksčiau arba vėliau; 1-osios kohortos pacientams buvo skiriamas mažiausio intensyvumo gydymas, o 5-osios kohortos pacientams buvo skiriamas intensyviausias gydymas Glivec (ilgiausia vartojimo trukmė dienomis ir tęstinis Glivec dozavimas kasdien pirmųjų chemoterapijos kursų metu). Skiriant tęstinį gydymą Glivec kasdien nuo pat chemoterapijos kursų pradžios, 5-osios kohortos pacientų (n</w:t>
      </w:r>
      <w:r w:rsidR="00B37342" w:rsidRPr="00F93FFA">
        <w:rPr>
          <w:color w:val="000000"/>
          <w:lang w:val="lt-LT"/>
        </w:rPr>
        <w:t> </w:t>
      </w:r>
      <w:r w:rsidRPr="00F93FFA">
        <w:rPr>
          <w:color w:val="000000"/>
          <w:lang w:val="lt-LT"/>
        </w:rPr>
        <w:t>=</w:t>
      </w:r>
      <w:r w:rsidR="00B37342" w:rsidRPr="00F93FFA">
        <w:rPr>
          <w:color w:val="000000"/>
          <w:lang w:val="lt-LT"/>
        </w:rPr>
        <w:t> </w:t>
      </w:r>
      <w:r w:rsidRPr="00F93FFA">
        <w:rPr>
          <w:color w:val="000000"/>
          <w:lang w:val="lt-LT"/>
        </w:rPr>
        <w:t xml:space="preserve">50) 4 metų trukmės išgyvenamumo be recidyvų (angl. </w:t>
      </w:r>
      <w:r w:rsidRPr="00F93FFA">
        <w:rPr>
          <w:i/>
          <w:color w:val="000000"/>
          <w:lang w:val="lt-LT"/>
        </w:rPr>
        <w:t>event-free survival – EFS</w:t>
      </w:r>
      <w:r w:rsidRPr="00F93FFA">
        <w:rPr>
          <w:color w:val="000000"/>
          <w:lang w:val="lt-LT"/>
        </w:rPr>
        <w:t>) rodiklis pagerėjo, lyginant su istoriniais duomenimis (n</w:t>
      </w:r>
      <w:r w:rsidR="00B37342" w:rsidRPr="00F93FFA">
        <w:rPr>
          <w:color w:val="000000"/>
          <w:lang w:val="lt-LT"/>
        </w:rPr>
        <w:t> </w:t>
      </w:r>
      <w:r w:rsidRPr="00F93FFA">
        <w:rPr>
          <w:color w:val="000000"/>
          <w:lang w:val="lt-LT"/>
        </w:rPr>
        <w:t>=</w:t>
      </w:r>
      <w:r w:rsidR="00B37342" w:rsidRPr="00F93FFA">
        <w:rPr>
          <w:color w:val="000000"/>
          <w:lang w:val="lt-LT"/>
        </w:rPr>
        <w:t> </w:t>
      </w:r>
      <w:r w:rsidRPr="00F93FFA">
        <w:rPr>
          <w:color w:val="000000"/>
          <w:lang w:val="lt-LT"/>
        </w:rPr>
        <w:t>120), kai pastaruoju atveju pacientams buvo skiriama standartinė chemoterapija be Glivec (atitinkamai 69,6 %, lyginant su 31,6 %). Tikėtinas 4 metų trukmės bendrojo išgyvenamumo rodiklis 5-osios kohortos pacientams buvo 83,6 %, lyginant su 44,8 % istoriniais duomenimis. 20 iš 50 (40 %) 5-osios kohortos pacientų buvo atlikta hematopoetinių kamieninių ląstelių transplantacija.</w:t>
      </w:r>
    </w:p>
    <w:p w14:paraId="3B508A71" w14:textId="77777777" w:rsidR="00314B70" w:rsidRPr="00F93FFA" w:rsidRDefault="00314B70" w:rsidP="00DE16D0">
      <w:pPr>
        <w:pStyle w:val="EndnoteText"/>
        <w:widowControl w:val="0"/>
        <w:rPr>
          <w:color w:val="000000"/>
          <w:lang w:val="lt-LT"/>
        </w:rPr>
      </w:pPr>
    </w:p>
    <w:p w14:paraId="1BDBD7EF" w14:textId="77777777" w:rsidR="00314B70" w:rsidRPr="00F93FFA" w:rsidRDefault="00BC035E" w:rsidP="0003209B">
      <w:pPr>
        <w:pStyle w:val="EndnoteText"/>
        <w:keepNext/>
        <w:widowControl w:val="0"/>
        <w:tabs>
          <w:tab w:val="clear" w:pos="567"/>
        </w:tabs>
        <w:ind w:left="1134" w:hanging="1134"/>
        <w:rPr>
          <w:b/>
          <w:color w:val="000000"/>
          <w:lang w:val="lt-LT"/>
        </w:rPr>
      </w:pPr>
      <w:r w:rsidRPr="00F93FFA">
        <w:rPr>
          <w:b/>
          <w:color w:val="000000"/>
          <w:lang w:val="lt-LT"/>
        </w:rPr>
        <w:t>5</w:t>
      </w:r>
      <w:r w:rsidR="00314B70" w:rsidRPr="00F93FFA">
        <w:rPr>
          <w:b/>
          <w:color w:val="000000"/>
          <w:lang w:val="lt-LT"/>
        </w:rPr>
        <w:t> lentelė</w:t>
      </w:r>
      <w:r w:rsidR="00314B70" w:rsidRPr="00F93FFA">
        <w:rPr>
          <w:b/>
          <w:color w:val="000000"/>
          <w:lang w:val="lt-LT"/>
        </w:rPr>
        <w:tab/>
      </w:r>
      <w:r w:rsidR="00314B70" w:rsidRPr="00F93FFA">
        <w:rPr>
          <w:b/>
          <w:color w:val="000000"/>
          <w:szCs w:val="22"/>
          <w:lang w:val="lt-LT"/>
        </w:rPr>
        <w:t>Chemoterapijos gydymas, skirtas kartu su imatinibu</w:t>
      </w:r>
      <w:r w:rsidR="00314B70" w:rsidRPr="00F93FFA">
        <w:rPr>
          <w:b/>
          <w:color w:val="000000"/>
          <w:lang w:val="lt-LT"/>
        </w:rPr>
        <w:t xml:space="preserve"> I2301 tyrimo metu</w:t>
      </w:r>
    </w:p>
    <w:p w14:paraId="5BF7BF38" w14:textId="77777777" w:rsidR="00314B70" w:rsidRPr="00F93FFA" w:rsidRDefault="00314B70" w:rsidP="0003209B">
      <w:pPr>
        <w:pStyle w:val="EndnoteText"/>
        <w:keepNext/>
        <w:widowControl w:val="0"/>
        <w:rPr>
          <w:color w:val="000000"/>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6724"/>
      </w:tblGrid>
      <w:tr w:rsidR="00314B70" w:rsidRPr="00F93FFA" w14:paraId="460EEF2B" w14:textId="77777777" w:rsidTr="0003209B">
        <w:trPr>
          <w:cantSplit/>
        </w:trPr>
        <w:tc>
          <w:tcPr>
            <w:tcW w:w="2358" w:type="dxa"/>
            <w:shd w:val="clear" w:color="auto" w:fill="auto"/>
          </w:tcPr>
          <w:p w14:paraId="4A6FA78D" w14:textId="77777777" w:rsidR="00314B70" w:rsidRPr="00F93FFA" w:rsidRDefault="00314B70" w:rsidP="0003209B">
            <w:pPr>
              <w:pStyle w:val="EndnoteText"/>
              <w:keepNext/>
              <w:widowControl w:val="0"/>
              <w:rPr>
                <w:color w:val="000000"/>
                <w:lang w:val="lt-LT"/>
              </w:rPr>
            </w:pPr>
            <w:r w:rsidRPr="00F93FFA">
              <w:rPr>
                <w:color w:val="000000"/>
                <w:lang w:val="lt-LT"/>
              </w:rPr>
              <w:t>Konsoliduojančio gydymo blokas 1</w:t>
            </w:r>
          </w:p>
          <w:p w14:paraId="387BAEC1" w14:textId="77777777" w:rsidR="00314B70" w:rsidRPr="00F93FFA" w:rsidRDefault="00314B70" w:rsidP="0003209B">
            <w:pPr>
              <w:pStyle w:val="EndnoteText"/>
              <w:keepNext/>
              <w:widowControl w:val="0"/>
              <w:rPr>
                <w:color w:val="000000"/>
                <w:lang w:val="lt-LT"/>
              </w:rPr>
            </w:pPr>
            <w:r w:rsidRPr="00F93FFA">
              <w:rPr>
                <w:color w:val="000000"/>
                <w:lang w:val="lt-LT"/>
              </w:rPr>
              <w:t>(3 savaitės)</w:t>
            </w:r>
          </w:p>
        </w:tc>
        <w:tc>
          <w:tcPr>
            <w:tcW w:w="6929" w:type="dxa"/>
            <w:shd w:val="clear" w:color="auto" w:fill="auto"/>
          </w:tcPr>
          <w:p w14:paraId="7BEBF67B" w14:textId="77777777" w:rsidR="00314B70" w:rsidRPr="00F93FFA" w:rsidRDefault="00314B70" w:rsidP="0003209B">
            <w:pPr>
              <w:pStyle w:val="EndnoteText"/>
              <w:keepN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1</w:t>
            </w:r>
            <w:r w:rsidRPr="00F93FFA">
              <w:rPr>
                <w:color w:val="000000"/>
                <w:lang w:val="lt-LT"/>
              </w:rPr>
              <w:noBreakHyphen/>
              <w:t>5 dienos</w:t>
            </w:r>
          </w:p>
          <w:p w14:paraId="265BBAC1" w14:textId="77777777" w:rsidR="00314B70" w:rsidRPr="00F93FFA" w:rsidRDefault="00314B70" w:rsidP="0003209B">
            <w:pPr>
              <w:pStyle w:val="EndnoteText"/>
              <w:keepNext/>
              <w:widowControl w:val="0"/>
              <w:rPr>
                <w:color w:val="000000"/>
                <w:lang w:val="lt-LT"/>
              </w:rPr>
            </w:pPr>
            <w:r w:rsidRPr="00F93FFA">
              <w:rPr>
                <w:color w:val="000000"/>
                <w:lang w:val="lt-LT"/>
              </w:rPr>
              <w:t>Ifosfamidas (1,8 g/m</w:t>
            </w:r>
            <w:r w:rsidRPr="00F93FFA">
              <w:rPr>
                <w:color w:val="000000"/>
                <w:vertAlign w:val="superscript"/>
                <w:lang w:val="lt-LT"/>
              </w:rPr>
              <w:t>2</w:t>
            </w:r>
            <w:r w:rsidRPr="00F93FFA">
              <w:rPr>
                <w:color w:val="000000"/>
                <w:lang w:val="lt-LT"/>
              </w:rPr>
              <w:t xml:space="preserve"> per parą, IV): 1</w:t>
            </w:r>
            <w:r w:rsidRPr="00F93FFA">
              <w:rPr>
                <w:color w:val="000000"/>
                <w:lang w:val="lt-LT"/>
              </w:rPr>
              <w:noBreakHyphen/>
              <w:t>5 dienos</w:t>
            </w:r>
          </w:p>
          <w:p w14:paraId="28185183" w14:textId="77777777" w:rsidR="00314B70" w:rsidRPr="00F93FFA" w:rsidRDefault="00314B70" w:rsidP="0003209B">
            <w:pPr>
              <w:pStyle w:val="EndnoteText"/>
              <w:keepNext/>
              <w:widowControl w:val="0"/>
              <w:rPr>
                <w:color w:val="000000"/>
                <w:lang w:val="lt-LT"/>
              </w:rPr>
            </w:pPr>
            <w:r w:rsidRPr="00F93FFA">
              <w:rPr>
                <w:color w:val="000000"/>
                <w:lang w:val="lt-LT"/>
              </w:rPr>
              <w:t>MESNA (po 360 mg/m</w:t>
            </w:r>
            <w:r w:rsidRPr="00F93FFA">
              <w:rPr>
                <w:color w:val="000000"/>
                <w:vertAlign w:val="superscript"/>
                <w:lang w:val="lt-LT"/>
              </w:rPr>
              <w:t>2</w:t>
            </w:r>
            <w:r w:rsidRPr="00F93FFA">
              <w:rPr>
                <w:color w:val="000000"/>
                <w:lang w:val="lt-LT"/>
              </w:rPr>
              <w:t xml:space="preserve"> dozę q3h, 8 dozės per parą, IV): 1</w:t>
            </w:r>
            <w:r w:rsidRPr="00F93FFA">
              <w:rPr>
                <w:color w:val="000000"/>
                <w:lang w:val="lt-LT"/>
              </w:rPr>
              <w:noBreakHyphen/>
              <w:t>5 dienos</w:t>
            </w:r>
          </w:p>
          <w:p w14:paraId="47FBC86F" w14:textId="77777777" w:rsidR="00314B70" w:rsidRPr="00F93FFA" w:rsidRDefault="00314B70" w:rsidP="0003209B">
            <w:pPr>
              <w:pStyle w:val="EndnoteText"/>
              <w:keepNext/>
              <w:widowControl w:val="0"/>
              <w:rPr>
                <w:color w:val="000000"/>
                <w:lang w:val="lt-LT"/>
              </w:rPr>
            </w:pPr>
            <w:r w:rsidRPr="00F93FFA">
              <w:rPr>
                <w:color w:val="000000"/>
                <w:lang w:val="lt-LT"/>
              </w:rPr>
              <w:t>G-CSF (5 μg/kg, SC): 6</w:t>
            </w:r>
            <w:r w:rsidRPr="00F93FFA">
              <w:rPr>
                <w:color w:val="000000"/>
                <w:lang w:val="lt-LT"/>
              </w:rPr>
              <w:noBreakHyphen/>
              <w:t>15 dienos arba kol ANS bus &gt; 1500 nuo žemiausios reikšmės</w:t>
            </w:r>
          </w:p>
          <w:p w14:paraId="21452CDB" w14:textId="77777777" w:rsidR="00314B70" w:rsidRPr="00F93FFA" w:rsidRDefault="00314B70" w:rsidP="0003209B">
            <w:pPr>
              <w:pStyle w:val="EndnoteText"/>
              <w:keepNext/>
              <w:widowControl w:val="0"/>
              <w:rPr>
                <w:color w:val="000000"/>
                <w:lang w:val="lt-LT"/>
              </w:rPr>
            </w:pPr>
            <w:r w:rsidRPr="00F93FFA">
              <w:rPr>
                <w:color w:val="000000"/>
                <w:lang w:val="lt-LT"/>
              </w:rPr>
              <w:t>IT Metotreksatas (dozė priklausomai nuo amžiaus): TIK 1-ąją dieną</w:t>
            </w:r>
          </w:p>
          <w:p w14:paraId="75D6A1ED" w14:textId="77777777" w:rsidR="00314B70" w:rsidRPr="00F93FFA" w:rsidRDefault="00314B70" w:rsidP="0003209B">
            <w:pPr>
              <w:pStyle w:val="EndnoteText"/>
              <w:keepNext/>
              <w:widowControl w:val="0"/>
              <w:rPr>
                <w:color w:val="000000"/>
                <w:lang w:val="lt-LT"/>
              </w:rPr>
            </w:pPr>
            <w:r w:rsidRPr="00F93FFA">
              <w:rPr>
                <w:color w:val="000000"/>
                <w:lang w:val="lt-LT"/>
              </w:rPr>
              <w:t>Trigubas IT gydymas (dozė priklausomai nuo amžiaus): 8, 15 dienos</w:t>
            </w:r>
          </w:p>
        </w:tc>
      </w:tr>
      <w:tr w:rsidR="00314B70" w:rsidRPr="00F93FFA" w14:paraId="372FA01B" w14:textId="77777777" w:rsidTr="0003209B">
        <w:trPr>
          <w:cantSplit/>
        </w:trPr>
        <w:tc>
          <w:tcPr>
            <w:tcW w:w="2358" w:type="dxa"/>
            <w:shd w:val="clear" w:color="auto" w:fill="auto"/>
          </w:tcPr>
          <w:p w14:paraId="45FA1804" w14:textId="77777777" w:rsidR="00314B70" w:rsidRPr="00F93FFA" w:rsidRDefault="00314B70" w:rsidP="00DE16D0">
            <w:pPr>
              <w:pStyle w:val="EndnoteText"/>
              <w:widowControl w:val="0"/>
              <w:rPr>
                <w:color w:val="000000"/>
                <w:lang w:val="lt-LT"/>
              </w:rPr>
            </w:pPr>
            <w:r w:rsidRPr="00F93FFA">
              <w:rPr>
                <w:color w:val="000000"/>
                <w:lang w:val="lt-LT"/>
              </w:rPr>
              <w:t>Konsoliduojančio gydymo blokas 2</w:t>
            </w:r>
          </w:p>
          <w:p w14:paraId="267831AA" w14:textId="77777777" w:rsidR="00314B70" w:rsidRPr="00F93FFA" w:rsidRDefault="00314B7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6C1602EC" w14:textId="77777777" w:rsidR="00314B70" w:rsidRPr="00F93FFA" w:rsidRDefault="00314B7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dieną</w:t>
            </w:r>
          </w:p>
          <w:p w14:paraId="237B1278" w14:textId="77777777" w:rsidR="00314B70" w:rsidRPr="00F93FFA" w:rsidRDefault="00314B7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2-ąją ir 3-iąją dienomis</w:t>
            </w:r>
          </w:p>
          <w:p w14:paraId="43804D73"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1-ąją dieną</w:t>
            </w:r>
          </w:p>
          <w:p w14:paraId="2C281609" w14:textId="77777777" w:rsidR="00314B70" w:rsidRPr="00F93FFA" w:rsidRDefault="00314B7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xml:space="preserve"> dozė q12h x 4, IV): 2-ąją ir 3-iąją dienomis</w:t>
            </w:r>
          </w:p>
          <w:p w14:paraId="18E22845" w14:textId="77777777" w:rsidR="00314B70" w:rsidRPr="00F93FFA" w:rsidRDefault="00314B70" w:rsidP="00DE16D0">
            <w:pPr>
              <w:pStyle w:val="EndnoteText"/>
              <w:widowControl w:val="0"/>
              <w:rPr>
                <w:color w:val="000000"/>
                <w:lang w:val="lt-LT"/>
              </w:rPr>
            </w:pPr>
            <w:r w:rsidRPr="00F93FFA">
              <w:rPr>
                <w:color w:val="000000"/>
                <w:lang w:val="lt-LT"/>
              </w:rPr>
              <w:t>G-CSF (5 μg/kg, SC): 4</w:t>
            </w:r>
            <w:r w:rsidRPr="00F93FFA">
              <w:rPr>
                <w:color w:val="000000"/>
                <w:lang w:val="lt-LT"/>
              </w:rPr>
              <w:noBreakHyphen/>
              <w:t>13 dienos arba kol ANS bus &gt; 1500 nuo žemiausios reikšmės</w:t>
            </w:r>
          </w:p>
        </w:tc>
      </w:tr>
      <w:tr w:rsidR="00314B70" w:rsidRPr="00F93FFA" w14:paraId="44AEE55E" w14:textId="77777777" w:rsidTr="0003209B">
        <w:trPr>
          <w:cantSplit/>
        </w:trPr>
        <w:tc>
          <w:tcPr>
            <w:tcW w:w="2358" w:type="dxa"/>
            <w:shd w:val="clear" w:color="auto" w:fill="auto"/>
          </w:tcPr>
          <w:p w14:paraId="391DF8C3" w14:textId="77777777" w:rsidR="00314B70" w:rsidRPr="00F93FFA" w:rsidRDefault="00314B70" w:rsidP="00DE16D0">
            <w:pPr>
              <w:pStyle w:val="EndnoteText"/>
              <w:widowControl w:val="0"/>
              <w:rPr>
                <w:color w:val="000000"/>
                <w:lang w:val="lt-LT"/>
              </w:rPr>
            </w:pPr>
            <w:r w:rsidRPr="00F93FFA">
              <w:rPr>
                <w:color w:val="000000"/>
                <w:lang w:val="lt-LT"/>
              </w:rPr>
              <w:t>Reindukcinio gydymo blokas 1</w:t>
            </w:r>
          </w:p>
          <w:p w14:paraId="4DDD1938" w14:textId="77777777" w:rsidR="00314B70" w:rsidRPr="00F93FFA" w:rsidRDefault="00314B7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361D6504" w14:textId="77777777" w:rsidR="00314B70" w:rsidRPr="00F93FFA" w:rsidRDefault="00314B7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8 ir 15 dienos</w:t>
            </w:r>
          </w:p>
          <w:p w14:paraId="20B924F8" w14:textId="77777777" w:rsidR="00314B70" w:rsidRPr="00F93FFA" w:rsidRDefault="00314B70" w:rsidP="00DE16D0">
            <w:pPr>
              <w:pStyle w:val="EndnoteText"/>
              <w:widowControl w:val="0"/>
              <w:rPr>
                <w:color w:val="000000"/>
                <w:lang w:val="lt-LT"/>
              </w:rPr>
            </w:pPr>
            <w:r w:rsidRPr="00F93FFA">
              <w:rPr>
                <w:color w:val="000000"/>
                <w:lang w:val="lt-LT"/>
              </w:rPr>
              <w:t>DAUN (45 mg/m</w:t>
            </w:r>
            <w:r w:rsidRPr="00F93FFA">
              <w:rPr>
                <w:color w:val="000000"/>
                <w:vertAlign w:val="superscript"/>
                <w:lang w:val="lt-LT"/>
              </w:rPr>
              <w:t>2</w:t>
            </w:r>
            <w:r w:rsidRPr="00F93FFA">
              <w:rPr>
                <w:color w:val="000000"/>
                <w:lang w:val="lt-LT"/>
              </w:rPr>
              <w:t xml:space="preserve"> per parą boliusu, IV): 1-ąją ir 2-ąją dienomis</w:t>
            </w:r>
          </w:p>
          <w:p w14:paraId="79CC01C0" w14:textId="77777777" w:rsidR="00314B70" w:rsidRPr="00F93FFA" w:rsidRDefault="00314B70" w:rsidP="00DE16D0">
            <w:pPr>
              <w:pStyle w:val="EndnoteText"/>
              <w:widowControl w:val="0"/>
              <w:rPr>
                <w:color w:val="000000"/>
                <w:lang w:val="lt-LT"/>
              </w:rPr>
            </w:pPr>
            <w:r w:rsidRPr="00F93FFA">
              <w:rPr>
                <w:color w:val="000000"/>
                <w:lang w:val="lt-LT"/>
              </w:rPr>
              <w:t>CPM (250 mg/m</w:t>
            </w:r>
            <w:r w:rsidRPr="00F93FFA">
              <w:rPr>
                <w:color w:val="000000"/>
                <w:vertAlign w:val="superscript"/>
                <w:lang w:val="lt-LT"/>
              </w:rPr>
              <w:t>2</w:t>
            </w:r>
            <w:r w:rsidRPr="00F93FFA">
              <w:rPr>
                <w:color w:val="000000"/>
                <w:lang w:val="lt-LT"/>
              </w:rPr>
              <w:t xml:space="preserve"> dozė q12h x 4 dozės, IV): 3-iąją ir 4-ąją dienomis</w:t>
            </w:r>
          </w:p>
          <w:p w14:paraId="226C23C7" w14:textId="77777777" w:rsidR="00314B70" w:rsidRPr="00F93FFA" w:rsidRDefault="00314B70" w:rsidP="00DE16D0">
            <w:pPr>
              <w:pStyle w:val="EndnoteText"/>
              <w:widowControl w:val="0"/>
              <w:rPr>
                <w:color w:val="000000"/>
                <w:lang w:val="lt-LT"/>
              </w:rPr>
            </w:pPr>
            <w:r w:rsidRPr="00F93FFA">
              <w:rPr>
                <w:color w:val="000000"/>
                <w:lang w:val="lt-LT"/>
              </w:rPr>
              <w:t>PEG-ASP (2500 TV/m</w:t>
            </w:r>
            <w:r w:rsidRPr="00F93FFA">
              <w:rPr>
                <w:color w:val="000000"/>
                <w:vertAlign w:val="superscript"/>
                <w:lang w:val="lt-LT"/>
              </w:rPr>
              <w:t>2</w:t>
            </w:r>
            <w:r w:rsidRPr="00F93FFA">
              <w:rPr>
                <w:color w:val="000000"/>
                <w:lang w:val="lt-LT"/>
              </w:rPr>
              <w:t>, IM): 4-ąją dieną</w:t>
            </w:r>
          </w:p>
          <w:p w14:paraId="29A55B0B" w14:textId="77777777" w:rsidR="00314B70" w:rsidRPr="00F93FFA" w:rsidRDefault="00314B70" w:rsidP="00DE16D0">
            <w:pPr>
              <w:pStyle w:val="EndnoteText"/>
              <w:widowControl w:val="0"/>
              <w:rPr>
                <w:color w:val="000000"/>
                <w:lang w:val="lt-LT"/>
              </w:rPr>
            </w:pPr>
            <w:r w:rsidRPr="00F93FFA">
              <w:rPr>
                <w:color w:val="000000"/>
                <w:lang w:val="lt-LT"/>
              </w:rPr>
              <w:t>G-CSF (5 μg/kg, SC): 5</w:t>
            </w:r>
            <w:r w:rsidRPr="00F93FFA">
              <w:rPr>
                <w:color w:val="000000"/>
                <w:lang w:val="lt-LT"/>
              </w:rPr>
              <w:noBreakHyphen/>
              <w:t>14 dienos arba kol ANS bus &gt; 1500 nuo žemiausios reikšmės</w:t>
            </w:r>
          </w:p>
          <w:p w14:paraId="47A26EFE"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1-ąją ir 15-ąją dienomis</w:t>
            </w:r>
          </w:p>
          <w:p w14:paraId="3D88D061" w14:textId="77777777" w:rsidR="00314B70" w:rsidRPr="00F93FFA" w:rsidRDefault="00314B7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7 dienos ir 15</w:t>
            </w:r>
            <w:r w:rsidRPr="00F93FFA">
              <w:rPr>
                <w:color w:val="000000"/>
                <w:lang w:val="lt-LT"/>
              </w:rPr>
              <w:noBreakHyphen/>
              <w:t>21 dienos</w:t>
            </w:r>
          </w:p>
        </w:tc>
      </w:tr>
      <w:tr w:rsidR="00314B70" w:rsidRPr="00F93FFA" w14:paraId="37376320" w14:textId="77777777" w:rsidTr="0003209B">
        <w:trPr>
          <w:cantSplit/>
        </w:trPr>
        <w:tc>
          <w:tcPr>
            <w:tcW w:w="2358" w:type="dxa"/>
            <w:shd w:val="clear" w:color="auto" w:fill="auto"/>
          </w:tcPr>
          <w:p w14:paraId="04A20F9C" w14:textId="77777777" w:rsidR="00314B70" w:rsidRPr="00F93FFA" w:rsidRDefault="00314B70" w:rsidP="00DE16D0">
            <w:pPr>
              <w:pStyle w:val="EndnoteText"/>
              <w:widowControl w:val="0"/>
              <w:rPr>
                <w:color w:val="000000"/>
                <w:lang w:val="lt-LT"/>
              </w:rPr>
            </w:pPr>
            <w:r w:rsidRPr="00F93FFA">
              <w:rPr>
                <w:color w:val="000000"/>
                <w:lang w:val="lt-LT"/>
              </w:rPr>
              <w:lastRenderedPageBreak/>
              <w:t>Intensyvinimo blokas 1</w:t>
            </w:r>
          </w:p>
          <w:p w14:paraId="583D7996" w14:textId="77777777" w:rsidR="00314B70" w:rsidRPr="00F93FFA" w:rsidRDefault="00314B70" w:rsidP="00DE16D0">
            <w:pPr>
              <w:pStyle w:val="EndnoteText"/>
              <w:widowControl w:val="0"/>
              <w:rPr>
                <w:color w:val="000000"/>
                <w:lang w:val="lt-LT"/>
              </w:rPr>
            </w:pPr>
            <w:r w:rsidRPr="00F93FFA">
              <w:rPr>
                <w:color w:val="000000"/>
                <w:lang w:val="lt-LT"/>
              </w:rPr>
              <w:t>(9 savaitės)</w:t>
            </w:r>
          </w:p>
        </w:tc>
        <w:tc>
          <w:tcPr>
            <w:tcW w:w="6929" w:type="dxa"/>
            <w:shd w:val="clear" w:color="auto" w:fill="auto"/>
          </w:tcPr>
          <w:p w14:paraId="496E45E2" w14:textId="77777777" w:rsidR="00314B70" w:rsidRPr="00F93FFA" w:rsidRDefault="00314B7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ir 15-ąją dienomis</w:t>
            </w:r>
          </w:p>
          <w:p w14:paraId="267BD980" w14:textId="77777777" w:rsidR="00314B70" w:rsidRPr="00F93FFA" w:rsidRDefault="00314B7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 3, 16 ir 17 dienomis</w:t>
            </w:r>
          </w:p>
          <w:p w14:paraId="7853DAA3"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1-ąją ir 22-ąją dienomis</w:t>
            </w:r>
          </w:p>
          <w:p w14:paraId="43F7A8EF" w14:textId="77777777" w:rsidR="00314B70" w:rsidRPr="00F93FFA" w:rsidRDefault="00314B7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0F18AD46" w14:textId="77777777" w:rsidR="00314B70" w:rsidRPr="00F93FFA" w:rsidRDefault="00314B7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40BBFEBE" w14:textId="77777777" w:rsidR="00314B70" w:rsidRPr="00F93FFA" w:rsidRDefault="00314B70" w:rsidP="00DE16D0">
            <w:pPr>
              <w:pStyle w:val="EndnoteText"/>
              <w:widowControl w:val="0"/>
              <w:rPr>
                <w:color w:val="000000"/>
                <w:lang w:val="lt-LT"/>
              </w:rPr>
            </w:pPr>
            <w:r w:rsidRPr="00F93FFA">
              <w:rPr>
                <w:color w:val="000000"/>
                <w:lang w:val="lt-LT"/>
              </w:rPr>
              <w:t>MESNA (150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07288E3A" w14:textId="77777777" w:rsidR="00314B70" w:rsidRPr="00F93FFA" w:rsidRDefault="00314B70" w:rsidP="00DE16D0">
            <w:pPr>
              <w:pStyle w:val="EndnoteText"/>
              <w:widowControl w:val="0"/>
              <w:rPr>
                <w:color w:val="000000"/>
                <w:lang w:val="lt-LT"/>
              </w:rPr>
            </w:pPr>
            <w:r w:rsidRPr="00F93FFA">
              <w:rPr>
                <w:color w:val="000000"/>
                <w:lang w:val="lt-LT"/>
              </w:rPr>
              <w:t>G-CSF (5 μg/kg, SC): 27</w:t>
            </w:r>
            <w:r w:rsidRPr="00F93FFA">
              <w:rPr>
                <w:color w:val="000000"/>
                <w:lang w:val="lt-LT"/>
              </w:rPr>
              <w:noBreakHyphen/>
              <w:t>36 dienos arba kol ANS bus &gt; 1500 nuo žemiausios reikšmės</w:t>
            </w:r>
          </w:p>
          <w:p w14:paraId="39E4FA52" w14:textId="77777777" w:rsidR="00314B70" w:rsidRPr="00F93FFA" w:rsidRDefault="00314B7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q12h, IV): 43, 44 dienomis</w:t>
            </w:r>
          </w:p>
          <w:p w14:paraId="2063FEEC" w14:textId="77777777" w:rsidR="00314B70" w:rsidRPr="00F93FFA" w:rsidRDefault="00314B70" w:rsidP="00DE16D0">
            <w:pPr>
              <w:pStyle w:val="EndnoteText"/>
              <w:widowControl w:val="0"/>
              <w:rPr>
                <w:color w:val="000000"/>
                <w:lang w:val="lt-LT"/>
              </w:rPr>
            </w:pPr>
            <w:r w:rsidRPr="00F93FFA">
              <w:rPr>
                <w:color w:val="000000"/>
                <w:lang w:val="lt-LT"/>
              </w:rPr>
              <w:t>L-ASP (6000 TV/m</w:t>
            </w:r>
            <w:r w:rsidRPr="00F93FFA">
              <w:rPr>
                <w:color w:val="000000"/>
                <w:vertAlign w:val="superscript"/>
                <w:lang w:val="lt-LT"/>
              </w:rPr>
              <w:t>2</w:t>
            </w:r>
            <w:r w:rsidRPr="00F93FFA">
              <w:rPr>
                <w:color w:val="000000"/>
                <w:lang w:val="lt-LT"/>
              </w:rPr>
              <w:t>, IM): 44-ąją dieną</w:t>
            </w:r>
          </w:p>
        </w:tc>
      </w:tr>
      <w:tr w:rsidR="00314B70" w:rsidRPr="00F93FFA" w14:paraId="451299F6" w14:textId="77777777" w:rsidTr="0003209B">
        <w:trPr>
          <w:cantSplit/>
        </w:trPr>
        <w:tc>
          <w:tcPr>
            <w:tcW w:w="2358" w:type="dxa"/>
            <w:shd w:val="clear" w:color="auto" w:fill="auto"/>
          </w:tcPr>
          <w:p w14:paraId="62E28FB9" w14:textId="77777777" w:rsidR="00314B70" w:rsidRPr="00F93FFA" w:rsidRDefault="00314B70" w:rsidP="00DE16D0">
            <w:pPr>
              <w:pStyle w:val="EndnoteText"/>
              <w:widowControl w:val="0"/>
              <w:rPr>
                <w:color w:val="000000"/>
                <w:lang w:val="lt-LT"/>
              </w:rPr>
            </w:pPr>
            <w:r w:rsidRPr="00F93FFA">
              <w:rPr>
                <w:color w:val="000000"/>
                <w:lang w:val="lt-LT"/>
              </w:rPr>
              <w:t>Reindukcinio gydymo blokas 2</w:t>
            </w:r>
          </w:p>
          <w:p w14:paraId="28B0A8E4" w14:textId="77777777" w:rsidR="00314B70" w:rsidRPr="00F93FFA" w:rsidRDefault="00314B70" w:rsidP="00DE16D0">
            <w:pPr>
              <w:pStyle w:val="EndnoteText"/>
              <w:widowControl w:val="0"/>
              <w:rPr>
                <w:color w:val="000000"/>
                <w:lang w:val="lt-LT"/>
              </w:rPr>
            </w:pPr>
            <w:r w:rsidRPr="00F93FFA">
              <w:rPr>
                <w:color w:val="000000"/>
                <w:lang w:val="lt-LT"/>
              </w:rPr>
              <w:t>(3 savaitės)</w:t>
            </w:r>
          </w:p>
        </w:tc>
        <w:tc>
          <w:tcPr>
            <w:tcW w:w="6929" w:type="dxa"/>
            <w:shd w:val="clear" w:color="auto" w:fill="auto"/>
          </w:tcPr>
          <w:p w14:paraId="1C4BEFE6" w14:textId="77777777" w:rsidR="00314B70" w:rsidRPr="00F93FFA" w:rsidRDefault="00314B7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8 ir 15 dienomis</w:t>
            </w:r>
          </w:p>
          <w:p w14:paraId="283EFF75" w14:textId="77777777" w:rsidR="00314B70" w:rsidRPr="00F93FFA" w:rsidRDefault="00314B70" w:rsidP="00DE16D0">
            <w:pPr>
              <w:pStyle w:val="EndnoteText"/>
              <w:widowControl w:val="0"/>
              <w:rPr>
                <w:color w:val="000000"/>
                <w:lang w:val="lt-LT"/>
              </w:rPr>
            </w:pPr>
            <w:r w:rsidRPr="00F93FFA">
              <w:rPr>
                <w:color w:val="000000"/>
                <w:lang w:val="lt-LT"/>
              </w:rPr>
              <w:t>DAUN (45 mg/m</w:t>
            </w:r>
            <w:r w:rsidRPr="00F93FFA">
              <w:rPr>
                <w:color w:val="000000"/>
                <w:vertAlign w:val="superscript"/>
                <w:lang w:val="lt-LT"/>
              </w:rPr>
              <w:t>2</w:t>
            </w:r>
            <w:r w:rsidRPr="00F93FFA">
              <w:rPr>
                <w:color w:val="000000"/>
                <w:lang w:val="lt-LT"/>
              </w:rPr>
              <w:t xml:space="preserve"> per parą boliusu, IV): 1-ąją ir 2-ąją dienomis</w:t>
            </w:r>
          </w:p>
          <w:p w14:paraId="13DAE820" w14:textId="77777777" w:rsidR="00314B70" w:rsidRPr="00F93FFA" w:rsidRDefault="00314B70" w:rsidP="00DE16D0">
            <w:pPr>
              <w:pStyle w:val="EndnoteText"/>
              <w:widowControl w:val="0"/>
              <w:rPr>
                <w:color w:val="000000"/>
                <w:lang w:val="lt-LT"/>
              </w:rPr>
            </w:pPr>
            <w:r w:rsidRPr="00F93FFA">
              <w:rPr>
                <w:color w:val="000000"/>
                <w:lang w:val="lt-LT"/>
              </w:rPr>
              <w:t>CPM (250 mg/m</w:t>
            </w:r>
            <w:r w:rsidRPr="00F93FFA">
              <w:rPr>
                <w:color w:val="000000"/>
                <w:vertAlign w:val="superscript"/>
                <w:lang w:val="lt-LT"/>
              </w:rPr>
              <w:t>2</w:t>
            </w:r>
            <w:r w:rsidRPr="00F93FFA">
              <w:rPr>
                <w:color w:val="000000"/>
                <w:lang w:val="lt-LT"/>
              </w:rPr>
              <w:t xml:space="preserve"> dozė q12h x 4 dozės, IV): 3-iąją ir 4-ąją dienomis</w:t>
            </w:r>
          </w:p>
          <w:p w14:paraId="5007C514" w14:textId="77777777" w:rsidR="00314B70" w:rsidRPr="00F93FFA" w:rsidRDefault="00314B70" w:rsidP="00DE16D0">
            <w:pPr>
              <w:pStyle w:val="EndnoteText"/>
              <w:widowControl w:val="0"/>
              <w:rPr>
                <w:color w:val="000000"/>
                <w:lang w:val="lt-LT"/>
              </w:rPr>
            </w:pPr>
            <w:r w:rsidRPr="00F93FFA">
              <w:rPr>
                <w:color w:val="000000"/>
                <w:lang w:val="lt-LT"/>
              </w:rPr>
              <w:t>PEG-ASP (2500 TV/m</w:t>
            </w:r>
            <w:r w:rsidRPr="00F93FFA">
              <w:rPr>
                <w:color w:val="000000"/>
                <w:vertAlign w:val="superscript"/>
                <w:lang w:val="lt-LT"/>
              </w:rPr>
              <w:t>2</w:t>
            </w:r>
            <w:r w:rsidRPr="00F93FFA">
              <w:rPr>
                <w:color w:val="000000"/>
                <w:lang w:val="lt-LT"/>
              </w:rPr>
              <w:t>, IM): 4-ąją dieną</w:t>
            </w:r>
          </w:p>
          <w:p w14:paraId="5520659C" w14:textId="77777777" w:rsidR="00314B70" w:rsidRPr="00F93FFA" w:rsidRDefault="00314B70" w:rsidP="00DE16D0">
            <w:pPr>
              <w:pStyle w:val="EndnoteText"/>
              <w:widowControl w:val="0"/>
              <w:rPr>
                <w:color w:val="000000"/>
                <w:lang w:val="lt-LT"/>
              </w:rPr>
            </w:pPr>
            <w:r w:rsidRPr="00F93FFA">
              <w:rPr>
                <w:color w:val="000000"/>
                <w:lang w:val="lt-LT"/>
              </w:rPr>
              <w:t>G-CSF (5 μg/kg, SC): 5</w:t>
            </w:r>
            <w:r w:rsidRPr="00F93FFA">
              <w:rPr>
                <w:color w:val="000000"/>
                <w:lang w:val="lt-LT"/>
              </w:rPr>
              <w:noBreakHyphen/>
              <w:t>14 dienos arba kol ANS bus &gt; 1500 nuo žemiausios reikšmės</w:t>
            </w:r>
          </w:p>
          <w:p w14:paraId="56E6E73D"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1-ąją ir 15-ąją dienomis</w:t>
            </w:r>
          </w:p>
          <w:p w14:paraId="7341F9A1" w14:textId="77777777" w:rsidR="00314B70" w:rsidRPr="00F93FFA" w:rsidRDefault="00314B7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7 dienos ir 15</w:t>
            </w:r>
            <w:r w:rsidRPr="00F93FFA">
              <w:rPr>
                <w:color w:val="000000"/>
                <w:lang w:val="lt-LT"/>
              </w:rPr>
              <w:noBreakHyphen/>
              <w:t>21 dienos</w:t>
            </w:r>
          </w:p>
        </w:tc>
      </w:tr>
      <w:tr w:rsidR="00314B70" w:rsidRPr="00F93FFA" w14:paraId="1616D39B" w14:textId="77777777" w:rsidTr="0003209B">
        <w:trPr>
          <w:cantSplit/>
        </w:trPr>
        <w:tc>
          <w:tcPr>
            <w:tcW w:w="2358" w:type="dxa"/>
            <w:shd w:val="clear" w:color="auto" w:fill="auto"/>
          </w:tcPr>
          <w:p w14:paraId="75A95199" w14:textId="77777777" w:rsidR="00314B70" w:rsidRPr="00F93FFA" w:rsidRDefault="00314B70" w:rsidP="00DE16D0">
            <w:pPr>
              <w:pStyle w:val="EndnoteText"/>
              <w:widowControl w:val="0"/>
              <w:rPr>
                <w:color w:val="000000"/>
                <w:lang w:val="lt-LT"/>
              </w:rPr>
            </w:pPr>
            <w:r w:rsidRPr="00F93FFA">
              <w:rPr>
                <w:color w:val="000000"/>
                <w:lang w:val="lt-LT"/>
              </w:rPr>
              <w:t>Intensyvinimo blokas 2</w:t>
            </w:r>
          </w:p>
          <w:p w14:paraId="7BAC559C" w14:textId="77777777" w:rsidR="00314B70" w:rsidRPr="00F93FFA" w:rsidRDefault="00314B70" w:rsidP="00DE16D0">
            <w:pPr>
              <w:pStyle w:val="EndnoteText"/>
              <w:widowControl w:val="0"/>
              <w:rPr>
                <w:color w:val="000000"/>
                <w:lang w:val="lt-LT"/>
              </w:rPr>
            </w:pPr>
            <w:r w:rsidRPr="00F93FFA">
              <w:rPr>
                <w:color w:val="000000"/>
                <w:lang w:val="lt-LT"/>
              </w:rPr>
              <w:t>(9 savaitės)</w:t>
            </w:r>
          </w:p>
        </w:tc>
        <w:tc>
          <w:tcPr>
            <w:tcW w:w="6929" w:type="dxa"/>
            <w:shd w:val="clear" w:color="auto" w:fill="auto"/>
          </w:tcPr>
          <w:p w14:paraId="1D5D4BC4" w14:textId="77777777" w:rsidR="00314B70" w:rsidRPr="00F93FFA" w:rsidRDefault="00314B70" w:rsidP="00DE16D0">
            <w:pPr>
              <w:pStyle w:val="EndnoteText"/>
              <w:widowControl w:val="0"/>
              <w:rPr>
                <w:color w:val="000000"/>
                <w:lang w:val="lt-LT"/>
              </w:rPr>
            </w:pPr>
            <w:r w:rsidRPr="00F93FFA">
              <w:rPr>
                <w:color w:val="000000"/>
                <w:lang w:val="lt-LT"/>
              </w:rPr>
              <w:t>Metotreksatas (5 g/m</w:t>
            </w:r>
            <w:r w:rsidRPr="00F93FFA">
              <w:rPr>
                <w:color w:val="000000"/>
                <w:vertAlign w:val="superscript"/>
                <w:lang w:val="lt-LT"/>
              </w:rPr>
              <w:t>2</w:t>
            </w:r>
            <w:r w:rsidRPr="00F93FFA">
              <w:rPr>
                <w:color w:val="000000"/>
                <w:lang w:val="lt-LT"/>
              </w:rPr>
              <w:t xml:space="preserve"> per 24 valandas, IV): 1-ąją ir 15-ąją dienomis</w:t>
            </w:r>
          </w:p>
          <w:p w14:paraId="1F306F0E" w14:textId="77777777" w:rsidR="00314B70" w:rsidRPr="00F93FFA" w:rsidRDefault="00314B7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 3, 16 ir 17 dienomis</w:t>
            </w:r>
          </w:p>
          <w:p w14:paraId="20211F30"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1-ąją ir 22-ąją dienomis</w:t>
            </w:r>
          </w:p>
          <w:p w14:paraId="31B649A2" w14:textId="77777777" w:rsidR="00314B70" w:rsidRPr="00F93FFA" w:rsidRDefault="00314B7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3933937C" w14:textId="77777777" w:rsidR="00314B70" w:rsidRPr="00F93FFA" w:rsidRDefault="00314B7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0AADC867" w14:textId="77777777" w:rsidR="00314B70" w:rsidRPr="00F93FFA" w:rsidRDefault="00314B70" w:rsidP="00DE16D0">
            <w:pPr>
              <w:pStyle w:val="EndnoteText"/>
              <w:widowControl w:val="0"/>
              <w:rPr>
                <w:color w:val="000000"/>
                <w:lang w:val="lt-LT"/>
              </w:rPr>
            </w:pPr>
            <w:r w:rsidRPr="00F93FFA">
              <w:rPr>
                <w:color w:val="000000"/>
                <w:lang w:val="lt-LT"/>
              </w:rPr>
              <w:t>MESNA (150 mg/m</w:t>
            </w:r>
            <w:r w:rsidRPr="00F93FFA">
              <w:rPr>
                <w:color w:val="000000"/>
                <w:vertAlign w:val="superscript"/>
                <w:lang w:val="lt-LT"/>
              </w:rPr>
              <w:t>2</w:t>
            </w:r>
            <w:r w:rsidRPr="00F93FFA">
              <w:rPr>
                <w:color w:val="000000"/>
                <w:lang w:val="lt-LT"/>
              </w:rPr>
              <w:t xml:space="preserve"> per parą, IV): 22</w:t>
            </w:r>
            <w:r w:rsidRPr="00F93FFA">
              <w:rPr>
                <w:color w:val="000000"/>
                <w:lang w:val="lt-LT"/>
              </w:rPr>
              <w:noBreakHyphen/>
              <w:t>26 dienos</w:t>
            </w:r>
          </w:p>
          <w:p w14:paraId="47EDCE6A" w14:textId="77777777" w:rsidR="00314B70" w:rsidRPr="00F93FFA" w:rsidRDefault="00314B70" w:rsidP="00DE16D0">
            <w:pPr>
              <w:pStyle w:val="EndnoteText"/>
              <w:widowControl w:val="0"/>
              <w:rPr>
                <w:color w:val="000000"/>
                <w:lang w:val="lt-LT"/>
              </w:rPr>
            </w:pPr>
            <w:r w:rsidRPr="00F93FFA">
              <w:rPr>
                <w:color w:val="000000"/>
                <w:lang w:val="lt-LT"/>
              </w:rPr>
              <w:t>G-CSF (5 μg/kg, SC): 27</w:t>
            </w:r>
            <w:r w:rsidRPr="00F93FFA">
              <w:rPr>
                <w:color w:val="000000"/>
                <w:lang w:val="lt-LT"/>
              </w:rPr>
              <w:noBreakHyphen/>
              <w:t>36 dienos arba kol ANS bus &gt; 1500 nuo žemiausios reikšmės</w:t>
            </w:r>
          </w:p>
          <w:p w14:paraId="09149ECA" w14:textId="77777777" w:rsidR="00314B70" w:rsidRPr="00F93FFA" w:rsidRDefault="00314B70" w:rsidP="00DE16D0">
            <w:pPr>
              <w:pStyle w:val="EndnoteText"/>
              <w:widowControl w:val="0"/>
              <w:rPr>
                <w:color w:val="000000"/>
                <w:lang w:val="lt-LT"/>
              </w:rPr>
            </w:pPr>
            <w:r w:rsidRPr="00F93FFA">
              <w:rPr>
                <w:color w:val="000000"/>
                <w:lang w:val="lt-LT"/>
              </w:rPr>
              <w:t>ARA-C (3 g/m</w:t>
            </w:r>
            <w:r w:rsidRPr="00F93FFA">
              <w:rPr>
                <w:color w:val="000000"/>
                <w:vertAlign w:val="superscript"/>
                <w:lang w:val="lt-LT"/>
              </w:rPr>
              <w:t>2</w:t>
            </w:r>
            <w:r w:rsidRPr="00F93FFA">
              <w:rPr>
                <w:color w:val="000000"/>
                <w:lang w:val="lt-LT"/>
              </w:rPr>
              <w:t>, q12h, IV): 43, 44 dienomis</w:t>
            </w:r>
          </w:p>
          <w:p w14:paraId="771C5C88" w14:textId="77777777" w:rsidR="00314B70" w:rsidRPr="00F93FFA" w:rsidRDefault="00314B70" w:rsidP="00DE16D0">
            <w:pPr>
              <w:pStyle w:val="EndnoteText"/>
              <w:widowControl w:val="0"/>
              <w:rPr>
                <w:color w:val="000000"/>
                <w:lang w:val="lt-LT"/>
              </w:rPr>
            </w:pPr>
            <w:r w:rsidRPr="00F93FFA">
              <w:rPr>
                <w:color w:val="000000"/>
                <w:lang w:val="lt-LT"/>
              </w:rPr>
              <w:t>L-ASP (6000 TV/m</w:t>
            </w:r>
            <w:r w:rsidRPr="00F93FFA">
              <w:rPr>
                <w:color w:val="000000"/>
                <w:vertAlign w:val="superscript"/>
                <w:lang w:val="lt-LT"/>
              </w:rPr>
              <w:t>2</w:t>
            </w:r>
            <w:r w:rsidRPr="00F93FFA">
              <w:rPr>
                <w:color w:val="000000"/>
                <w:lang w:val="lt-LT"/>
              </w:rPr>
              <w:t>, IM): 44-ąją dieną</w:t>
            </w:r>
          </w:p>
        </w:tc>
      </w:tr>
      <w:tr w:rsidR="00314B70" w:rsidRPr="00F93FFA" w14:paraId="6E5575DA" w14:textId="77777777" w:rsidTr="0003209B">
        <w:trPr>
          <w:cantSplit/>
        </w:trPr>
        <w:tc>
          <w:tcPr>
            <w:tcW w:w="2358" w:type="dxa"/>
            <w:shd w:val="clear" w:color="auto" w:fill="auto"/>
          </w:tcPr>
          <w:p w14:paraId="04C0A114" w14:textId="77777777" w:rsidR="00314B70" w:rsidRPr="00F93FFA" w:rsidRDefault="00314B70" w:rsidP="00DE16D0">
            <w:pPr>
              <w:pStyle w:val="EndnoteText"/>
              <w:widowControl w:val="0"/>
              <w:rPr>
                <w:color w:val="000000"/>
                <w:lang w:val="lt-LT"/>
              </w:rPr>
            </w:pPr>
            <w:r w:rsidRPr="00F93FFA">
              <w:rPr>
                <w:color w:val="000000"/>
                <w:lang w:val="lt-LT"/>
              </w:rPr>
              <w:t>Palaikomasis gydymas</w:t>
            </w:r>
          </w:p>
          <w:p w14:paraId="6CF01F7B" w14:textId="77777777" w:rsidR="00314B70" w:rsidRPr="00F93FFA" w:rsidRDefault="00314B70" w:rsidP="00DE16D0">
            <w:pPr>
              <w:pStyle w:val="EndnoteText"/>
              <w:widowControl w:val="0"/>
              <w:rPr>
                <w:color w:val="000000"/>
                <w:lang w:val="lt-LT"/>
              </w:rPr>
            </w:pPr>
            <w:r w:rsidRPr="00F93FFA">
              <w:rPr>
                <w:color w:val="000000"/>
                <w:lang w:val="lt-LT"/>
              </w:rPr>
              <w:t>(8 savaičių trukmės ciklai)</w:t>
            </w:r>
          </w:p>
          <w:p w14:paraId="52F499C2" w14:textId="77777777" w:rsidR="00314B70" w:rsidRPr="00F93FFA" w:rsidRDefault="00314B70" w:rsidP="00DE16D0">
            <w:pPr>
              <w:pStyle w:val="EndnoteText"/>
              <w:widowControl w:val="0"/>
              <w:rPr>
                <w:color w:val="000000"/>
                <w:lang w:val="lt-LT"/>
              </w:rPr>
            </w:pPr>
            <w:r w:rsidRPr="00F93FFA">
              <w:rPr>
                <w:color w:val="000000"/>
                <w:lang w:val="lt-LT"/>
              </w:rPr>
              <w:t>1–4 ciklai</w:t>
            </w:r>
          </w:p>
        </w:tc>
        <w:tc>
          <w:tcPr>
            <w:tcW w:w="6929" w:type="dxa"/>
            <w:shd w:val="clear" w:color="auto" w:fill="auto"/>
          </w:tcPr>
          <w:p w14:paraId="0CBB8CDC" w14:textId="77777777" w:rsidR="00314B70" w:rsidRPr="00F93FFA" w:rsidRDefault="00314B70" w:rsidP="00DE16D0">
            <w:pPr>
              <w:pStyle w:val="EndnoteText"/>
              <w:widowControl w:val="0"/>
              <w:rPr>
                <w:color w:val="000000"/>
                <w:lang w:val="lt-LT"/>
              </w:rPr>
            </w:pPr>
            <w:r w:rsidRPr="00F93FFA">
              <w:rPr>
                <w:color w:val="000000"/>
                <w:lang w:val="lt-LT"/>
              </w:rPr>
              <w:t>MTX (5 g/m</w:t>
            </w:r>
            <w:r w:rsidRPr="00F93FFA">
              <w:rPr>
                <w:color w:val="000000"/>
                <w:vertAlign w:val="superscript"/>
                <w:lang w:val="lt-LT"/>
              </w:rPr>
              <w:t>2</w:t>
            </w:r>
            <w:r w:rsidRPr="00F93FFA">
              <w:rPr>
                <w:color w:val="000000"/>
                <w:lang w:val="lt-LT"/>
              </w:rPr>
              <w:t xml:space="preserve"> per 24 valandas, IV): 1-ąją dieną</w:t>
            </w:r>
          </w:p>
          <w:p w14:paraId="12177E2F" w14:textId="77777777" w:rsidR="00314B70" w:rsidRPr="00F93FFA" w:rsidRDefault="00314B70" w:rsidP="00DE16D0">
            <w:pPr>
              <w:pStyle w:val="EndnoteText"/>
              <w:widowControl w:val="0"/>
              <w:rPr>
                <w:color w:val="000000"/>
                <w:lang w:val="lt-LT"/>
              </w:rPr>
            </w:pPr>
            <w:r w:rsidRPr="00F93FFA">
              <w:rPr>
                <w:color w:val="000000"/>
                <w:lang w:val="lt-LT"/>
              </w:rPr>
              <w:t>Leukovorinas (75 mg/m</w:t>
            </w:r>
            <w:r w:rsidRPr="00F93FFA">
              <w:rPr>
                <w:color w:val="000000"/>
                <w:vertAlign w:val="superscript"/>
                <w:lang w:val="lt-LT"/>
              </w:rPr>
              <w:t>2</w:t>
            </w:r>
            <w:r w:rsidRPr="00F93FFA">
              <w:rPr>
                <w:color w:val="000000"/>
                <w:lang w:val="lt-LT"/>
              </w:rPr>
              <w:t xml:space="preserve"> po 36 valandų, IV; 15 mg/m</w:t>
            </w:r>
            <w:r w:rsidRPr="00F93FFA">
              <w:rPr>
                <w:color w:val="000000"/>
                <w:vertAlign w:val="superscript"/>
                <w:lang w:val="lt-LT"/>
              </w:rPr>
              <w:t>2</w:t>
            </w:r>
            <w:r w:rsidRPr="00F93FFA">
              <w:rPr>
                <w:color w:val="000000"/>
                <w:lang w:val="lt-LT"/>
              </w:rPr>
              <w:t xml:space="preserve"> IV ar PO q6h x 6 dozės) iii: 2-ąją ir 3-iąją dienomis</w:t>
            </w:r>
          </w:p>
          <w:p w14:paraId="2A5095A3" w14:textId="77777777" w:rsidR="00314B70" w:rsidRPr="00F93FFA" w:rsidRDefault="00314B70" w:rsidP="00DE16D0">
            <w:pPr>
              <w:pStyle w:val="EndnoteText"/>
              <w:widowControl w:val="0"/>
              <w:rPr>
                <w:color w:val="000000"/>
                <w:lang w:val="lt-LT"/>
              </w:rPr>
            </w:pPr>
            <w:r w:rsidRPr="00F93FFA">
              <w:rPr>
                <w:color w:val="000000"/>
                <w:lang w:val="lt-LT"/>
              </w:rPr>
              <w:t>Trigubas IT gydymas (dozė priklausomai nuo amžiaus): 1, 29 dienomis</w:t>
            </w:r>
          </w:p>
          <w:p w14:paraId="70894968" w14:textId="77777777" w:rsidR="00314B70" w:rsidRPr="00F93FFA" w:rsidRDefault="00314B7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IV): 1, 29 dienomis</w:t>
            </w:r>
          </w:p>
          <w:p w14:paraId="5DD207A7" w14:textId="77777777" w:rsidR="00314B70" w:rsidRPr="00F93FFA" w:rsidRDefault="00314B7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5D7C68A9" w14:textId="77777777" w:rsidR="00314B70" w:rsidRPr="00F93FFA" w:rsidRDefault="00314B70" w:rsidP="00DE16D0">
            <w:pPr>
              <w:pStyle w:val="EndnoteText"/>
              <w:widowControl w:val="0"/>
              <w:rPr>
                <w:color w:val="000000"/>
                <w:lang w:val="lt-LT"/>
              </w:rPr>
            </w:pPr>
            <w:r w:rsidRPr="00F93FFA">
              <w:rPr>
                <w:color w:val="000000"/>
                <w:lang w:val="lt-LT"/>
              </w:rPr>
              <w:t>6-MP (75 mg/m</w:t>
            </w:r>
            <w:r w:rsidRPr="00F93FFA">
              <w:rPr>
                <w:color w:val="000000"/>
                <w:vertAlign w:val="superscript"/>
                <w:lang w:val="lt-LT"/>
              </w:rPr>
              <w:t>2</w:t>
            </w:r>
            <w:r w:rsidRPr="00F93FFA">
              <w:rPr>
                <w:color w:val="000000"/>
                <w:lang w:val="lt-LT"/>
              </w:rPr>
              <w:t xml:space="preserve"> per parą, PO): 8-28 dienos</w:t>
            </w:r>
          </w:p>
          <w:p w14:paraId="08C7F0D1" w14:textId="77777777" w:rsidR="00314B70" w:rsidRPr="00F93FFA" w:rsidRDefault="00314B70" w:rsidP="00DE16D0">
            <w:pPr>
              <w:pStyle w:val="EndnoteText"/>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8, 15, 22 dienomis</w:t>
            </w:r>
          </w:p>
          <w:p w14:paraId="796E3819" w14:textId="77777777" w:rsidR="00314B70" w:rsidRPr="00F93FFA" w:rsidRDefault="00314B70" w:rsidP="00DE16D0">
            <w:pPr>
              <w:pStyle w:val="EndnoteText"/>
              <w:widowControl w:val="0"/>
              <w:rPr>
                <w:color w:val="000000"/>
                <w:lang w:val="lt-LT"/>
              </w:rPr>
            </w:pPr>
            <w:r w:rsidRPr="00F93FFA">
              <w:rPr>
                <w:color w:val="000000"/>
                <w:lang w:val="lt-LT"/>
              </w:rPr>
              <w:t>VP-16 (100 mg/m</w:t>
            </w:r>
            <w:r w:rsidRPr="00F93FFA">
              <w:rPr>
                <w:color w:val="000000"/>
                <w:vertAlign w:val="superscript"/>
                <w:lang w:val="lt-LT"/>
              </w:rPr>
              <w:t>2</w:t>
            </w:r>
            <w:r w:rsidRPr="00F93FFA">
              <w:rPr>
                <w:color w:val="000000"/>
                <w:lang w:val="lt-LT"/>
              </w:rPr>
              <w:t>, IV): 29</w:t>
            </w:r>
            <w:r w:rsidRPr="00F93FFA">
              <w:rPr>
                <w:color w:val="000000"/>
                <w:lang w:val="lt-LT"/>
              </w:rPr>
              <w:noBreakHyphen/>
              <w:t>33 dienos</w:t>
            </w:r>
          </w:p>
          <w:p w14:paraId="146AFD70" w14:textId="77777777" w:rsidR="00314B70" w:rsidRPr="00F93FFA" w:rsidRDefault="00314B70" w:rsidP="00DE16D0">
            <w:pPr>
              <w:pStyle w:val="EndnoteText"/>
              <w:widowControl w:val="0"/>
              <w:rPr>
                <w:color w:val="000000"/>
                <w:lang w:val="lt-LT"/>
              </w:rPr>
            </w:pPr>
            <w:r w:rsidRPr="00F93FFA">
              <w:rPr>
                <w:color w:val="000000"/>
                <w:lang w:val="lt-LT"/>
              </w:rPr>
              <w:t>CPM (300 mg/m</w:t>
            </w:r>
            <w:r w:rsidRPr="00F93FFA">
              <w:rPr>
                <w:color w:val="000000"/>
                <w:vertAlign w:val="superscript"/>
                <w:lang w:val="lt-LT"/>
              </w:rPr>
              <w:t>2</w:t>
            </w:r>
            <w:r w:rsidRPr="00F93FFA">
              <w:rPr>
                <w:color w:val="000000"/>
                <w:lang w:val="lt-LT"/>
              </w:rPr>
              <w:t>, IV): 29</w:t>
            </w:r>
            <w:r w:rsidRPr="00F93FFA">
              <w:rPr>
                <w:color w:val="000000"/>
                <w:lang w:val="lt-LT"/>
              </w:rPr>
              <w:noBreakHyphen/>
              <w:t>33 dienos</w:t>
            </w:r>
          </w:p>
          <w:p w14:paraId="678969F5" w14:textId="77777777" w:rsidR="00314B70" w:rsidRPr="00F93FFA" w:rsidRDefault="00314B70" w:rsidP="00DE16D0">
            <w:pPr>
              <w:pStyle w:val="EndnoteText"/>
              <w:widowControl w:val="0"/>
              <w:rPr>
                <w:color w:val="000000"/>
                <w:lang w:val="lt-LT"/>
              </w:rPr>
            </w:pPr>
            <w:r w:rsidRPr="00F93FFA">
              <w:rPr>
                <w:color w:val="000000"/>
                <w:lang w:val="lt-LT"/>
              </w:rPr>
              <w:t>MESNA IV 29</w:t>
            </w:r>
            <w:r w:rsidRPr="00F93FFA">
              <w:rPr>
                <w:color w:val="000000"/>
                <w:lang w:val="lt-LT"/>
              </w:rPr>
              <w:noBreakHyphen/>
              <w:t>33 dienos</w:t>
            </w:r>
          </w:p>
          <w:p w14:paraId="1DB2C5A8" w14:textId="77777777" w:rsidR="00314B70" w:rsidRPr="00F93FFA" w:rsidRDefault="00314B70" w:rsidP="00DE16D0">
            <w:pPr>
              <w:pStyle w:val="EndnoteText"/>
              <w:widowControl w:val="0"/>
              <w:rPr>
                <w:color w:val="000000"/>
                <w:lang w:val="lt-LT"/>
              </w:rPr>
            </w:pPr>
            <w:r w:rsidRPr="00F93FFA">
              <w:rPr>
                <w:color w:val="000000"/>
                <w:lang w:val="lt-LT"/>
              </w:rPr>
              <w:t>G-CSF (5 μg/kg, SC): 34</w:t>
            </w:r>
            <w:r w:rsidRPr="00F93FFA">
              <w:rPr>
                <w:color w:val="000000"/>
                <w:lang w:val="lt-LT"/>
              </w:rPr>
              <w:noBreakHyphen/>
              <w:t>43 dienos</w:t>
            </w:r>
          </w:p>
        </w:tc>
      </w:tr>
      <w:tr w:rsidR="00314B70" w:rsidRPr="00F93FFA" w14:paraId="34BFAD8B" w14:textId="77777777" w:rsidTr="0003209B">
        <w:trPr>
          <w:cantSplit/>
        </w:trPr>
        <w:tc>
          <w:tcPr>
            <w:tcW w:w="2358" w:type="dxa"/>
            <w:shd w:val="clear" w:color="auto" w:fill="auto"/>
          </w:tcPr>
          <w:p w14:paraId="5F971265" w14:textId="77777777" w:rsidR="00314B70" w:rsidRPr="00F93FFA" w:rsidRDefault="00314B70" w:rsidP="00DE16D0">
            <w:pPr>
              <w:pStyle w:val="EndnoteText"/>
              <w:widowControl w:val="0"/>
              <w:rPr>
                <w:color w:val="000000"/>
                <w:lang w:val="lt-LT"/>
              </w:rPr>
            </w:pPr>
            <w:r w:rsidRPr="00F93FFA">
              <w:rPr>
                <w:color w:val="000000"/>
                <w:lang w:val="lt-LT"/>
              </w:rPr>
              <w:t>Palaikomasis gydymas</w:t>
            </w:r>
          </w:p>
          <w:p w14:paraId="41A9A39A" w14:textId="77777777" w:rsidR="00314B70" w:rsidRPr="00F93FFA" w:rsidRDefault="00314B70" w:rsidP="00DE16D0">
            <w:pPr>
              <w:pStyle w:val="EndnoteText"/>
              <w:widowControl w:val="0"/>
              <w:rPr>
                <w:color w:val="000000"/>
                <w:lang w:val="lt-LT"/>
              </w:rPr>
            </w:pPr>
            <w:r w:rsidRPr="00F93FFA">
              <w:rPr>
                <w:color w:val="000000"/>
                <w:lang w:val="lt-LT"/>
              </w:rPr>
              <w:t>(8 savaičių trukmės ciklai)</w:t>
            </w:r>
          </w:p>
          <w:p w14:paraId="23F62EE7" w14:textId="77777777" w:rsidR="00314B70" w:rsidRPr="00F93FFA" w:rsidRDefault="00314B70" w:rsidP="00DE16D0">
            <w:pPr>
              <w:pStyle w:val="EndnoteText"/>
              <w:widowControl w:val="0"/>
              <w:rPr>
                <w:color w:val="000000"/>
                <w:lang w:val="lt-LT"/>
              </w:rPr>
            </w:pPr>
            <w:r w:rsidRPr="00F93FFA">
              <w:rPr>
                <w:color w:val="000000"/>
                <w:lang w:val="lt-LT"/>
              </w:rPr>
              <w:t>5-asis ciklas</w:t>
            </w:r>
          </w:p>
        </w:tc>
        <w:tc>
          <w:tcPr>
            <w:tcW w:w="6929" w:type="dxa"/>
            <w:shd w:val="clear" w:color="auto" w:fill="auto"/>
          </w:tcPr>
          <w:p w14:paraId="3672133C" w14:textId="77777777" w:rsidR="00314B70" w:rsidRPr="00F93FFA" w:rsidRDefault="00314B70" w:rsidP="00DE16D0">
            <w:pPr>
              <w:pStyle w:val="EndnoteText"/>
              <w:widowControl w:val="0"/>
              <w:rPr>
                <w:color w:val="000000"/>
                <w:lang w:val="lt-LT"/>
              </w:rPr>
            </w:pPr>
            <w:r w:rsidRPr="00F93FFA">
              <w:rPr>
                <w:color w:val="000000"/>
                <w:lang w:val="lt-LT"/>
              </w:rPr>
              <w:t>Kaukolės švitinimas (tik 5-asis blokas)</w:t>
            </w:r>
          </w:p>
          <w:p w14:paraId="5158AAEE" w14:textId="77777777" w:rsidR="00314B70" w:rsidRPr="00F93FFA" w:rsidRDefault="00314B70" w:rsidP="00DE16D0">
            <w:pPr>
              <w:pStyle w:val="EndnoteText"/>
              <w:widowControl w:val="0"/>
              <w:rPr>
                <w:color w:val="000000"/>
                <w:lang w:val="lt-LT"/>
              </w:rPr>
            </w:pPr>
            <w:r w:rsidRPr="00F93FFA">
              <w:rPr>
                <w:color w:val="000000"/>
                <w:lang w:val="lt-LT"/>
              </w:rPr>
              <w:t>12 Gy per 8 frakcijas visiems pacientams, kuriems nustatyta CNS1 ir CNS2 diagnozė</w:t>
            </w:r>
          </w:p>
          <w:p w14:paraId="51A246E6" w14:textId="77777777" w:rsidR="00314B70" w:rsidRPr="00F93FFA" w:rsidRDefault="00314B70" w:rsidP="00DE16D0">
            <w:pPr>
              <w:pStyle w:val="EndnoteText"/>
              <w:widowControl w:val="0"/>
              <w:rPr>
                <w:color w:val="000000"/>
                <w:lang w:val="lt-LT"/>
              </w:rPr>
            </w:pPr>
            <w:r w:rsidRPr="00F93FFA">
              <w:rPr>
                <w:color w:val="000000"/>
                <w:lang w:val="lt-LT"/>
              </w:rPr>
              <w:t>18 Gy per 10 frakcijų pacientams, kuriems nustatyta CNS3 diagnozė</w:t>
            </w:r>
          </w:p>
          <w:p w14:paraId="5986C89C" w14:textId="77777777" w:rsidR="00314B70" w:rsidRPr="00F93FFA" w:rsidRDefault="00314B70" w:rsidP="00DE16D0">
            <w:pPr>
              <w:pStyle w:val="EndnoteText"/>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29 dienomis</w:t>
            </w:r>
          </w:p>
          <w:p w14:paraId="22CAE775" w14:textId="77777777" w:rsidR="00314B70" w:rsidRPr="00F93FFA" w:rsidRDefault="00314B70" w:rsidP="00DE16D0">
            <w:pPr>
              <w:pStyle w:val="EndnoteText"/>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5D1E44BA" w14:textId="77777777" w:rsidR="00314B70" w:rsidRPr="00F93FFA" w:rsidRDefault="00314B70" w:rsidP="00DE16D0">
            <w:pPr>
              <w:pStyle w:val="EndnoteText"/>
              <w:widowControl w:val="0"/>
              <w:rPr>
                <w:color w:val="000000"/>
                <w:lang w:val="lt-LT"/>
              </w:rPr>
            </w:pPr>
            <w:r w:rsidRPr="00F93FFA">
              <w:rPr>
                <w:color w:val="000000"/>
                <w:lang w:val="lt-LT"/>
              </w:rPr>
              <w:t>6-MP (75 mg/m</w:t>
            </w:r>
            <w:r w:rsidRPr="00F93FFA">
              <w:rPr>
                <w:color w:val="000000"/>
                <w:vertAlign w:val="superscript"/>
                <w:lang w:val="lt-LT"/>
              </w:rPr>
              <w:t>2</w:t>
            </w:r>
            <w:r w:rsidRPr="00F93FFA">
              <w:rPr>
                <w:color w:val="000000"/>
                <w:lang w:val="lt-LT"/>
              </w:rPr>
              <w:t xml:space="preserve"> per parą, PO): 11</w:t>
            </w:r>
            <w:r w:rsidRPr="00F93FFA">
              <w:rPr>
                <w:color w:val="000000"/>
                <w:lang w:val="lt-LT"/>
              </w:rPr>
              <w:noBreakHyphen/>
              <w:t>56 dienos (neskirti 6-MP 6</w:t>
            </w:r>
            <w:r w:rsidRPr="00F93FFA">
              <w:rPr>
                <w:color w:val="000000"/>
                <w:lang w:val="lt-LT"/>
              </w:rPr>
              <w:noBreakHyphen/>
              <w:t>10-ąją dienomis, kai taikomas kaukolės švitinimas, pradedant nuo pirmosios 5-ojo ciklo dienos. Pradėti skirti 6-MP pirmąją dieną po kaukolės švitinimo pabaigos.)</w:t>
            </w:r>
          </w:p>
          <w:p w14:paraId="6D3F6983" w14:textId="77777777" w:rsidR="00314B70" w:rsidRPr="00F93FFA" w:rsidRDefault="00314B70" w:rsidP="00DE16D0">
            <w:pPr>
              <w:pStyle w:val="EndnoteText"/>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8, 15, 22, 29, 36, 43, 50 dienomis</w:t>
            </w:r>
          </w:p>
        </w:tc>
      </w:tr>
      <w:tr w:rsidR="00314B70" w:rsidRPr="00F93FFA" w14:paraId="266DA150" w14:textId="77777777" w:rsidTr="0003209B">
        <w:trPr>
          <w:cantSplit/>
        </w:trPr>
        <w:tc>
          <w:tcPr>
            <w:tcW w:w="2358" w:type="dxa"/>
            <w:shd w:val="clear" w:color="auto" w:fill="auto"/>
          </w:tcPr>
          <w:p w14:paraId="38717727" w14:textId="77777777" w:rsidR="00314B70" w:rsidRPr="00F93FFA" w:rsidRDefault="00314B70" w:rsidP="0003209B">
            <w:pPr>
              <w:pStyle w:val="EndnoteText"/>
              <w:keepNext/>
              <w:keepLines/>
              <w:widowControl w:val="0"/>
              <w:rPr>
                <w:color w:val="000000"/>
                <w:lang w:val="lt-LT"/>
              </w:rPr>
            </w:pPr>
            <w:r w:rsidRPr="00F93FFA">
              <w:rPr>
                <w:color w:val="000000"/>
                <w:lang w:val="lt-LT"/>
              </w:rPr>
              <w:lastRenderedPageBreak/>
              <w:t>Palaikomasis gydymas</w:t>
            </w:r>
          </w:p>
          <w:p w14:paraId="73F4DBD8" w14:textId="77777777" w:rsidR="00314B70" w:rsidRPr="00F93FFA" w:rsidRDefault="00314B70" w:rsidP="0003209B">
            <w:pPr>
              <w:pStyle w:val="EndnoteText"/>
              <w:keepNext/>
              <w:keepLines/>
              <w:widowControl w:val="0"/>
              <w:rPr>
                <w:color w:val="000000"/>
                <w:lang w:val="lt-LT"/>
              </w:rPr>
            </w:pPr>
            <w:r w:rsidRPr="00F93FFA">
              <w:rPr>
                <w:color w:val="000000"/>
                <w:lang w:val="lt-LT"/>
              </w:rPr>
              <w:t>(8 savaičių trukmės ciklai)</w:t>
            </w:r>
          </w:p>
          <w:p w14:paraId="13A2F504" w14:textId="77777777" w:rsidR="00314B70" w:rsidRPr="00F93FFA" w:rsidRDefault="00314B70" w:rsidP="0003209B">
            <w:pPr>
              <w:pStyle w:val="EndnoteText"/>
              <w:keepNext/>
              <w:keepLines/>
              <w:widowControl w:val="0"/>
              <w:rPr>
                <w:color w:val="000000"/>
                <w:lang w:val="lt-LT"/>
              </w:rPr>
            </w:pPr>
            <w:r w:rsidRPr="00F93FFA">
              <w:rPr>
                <w:color w:val="000000"/>
                <w:lang w:val="lt-LT"/>
              </w:rPr>
              <w:t>6</w:t>
            </w:r>
            <w:r w:rsidRPr="00F93FFA">
              <w:rPr>
                <w:color w:val="000000"/>
                <w:lang w:val="lt-LT"/>
              </w:rPr>
              <w:noBreakHyphen/>
              <w:t>12 ciklai</w:t>
            </w:r>
          </w:p>
        </w:tc>
        <w:tc>
          <w:tcPr>
            <w:tcW w:w="6929" w:type="dxa"/>
            <w:shd w:val="clear" w:color="auto" w:fill="auto"/>
          </w:tcPr>
          <w:p w14:paraId="6D9E648E" w14:textId="77777777" w:rsidR="00314B70" w:rsidRPr="00F93FFA" w:rsidRDefault="00314B70" w:rsidP="0003209B">
            <w:pPr>
              <w:pStyle w:val="EndnoteText"/>
              <w:keepNext/>
              <w:keepLines/>
              <w:widowControl w:val="0"/>
              <w:rPr>
                <w:color w:val="000000"/>
                <w:lang w:val="lt-LT"/>
              </w:rPr>
            </w:pPr>
            <w:r w:rsidRPr="00F93FFA">
              <w:rPr>
                <w:color w:val="000000"/>
                <w:lang w:val="lt-LT"/>
              </w:rPr>
              <w:t>VCR (1,5 mg/m</w:t>
            </w:r>
            <w:r w:rsidRPr="00F93FFA">
              <w:rPr>
                <w:color w:val="000000"/>
                <w:vertAlign w:val="superscript"/>
                <w:lang w:val="lt-LT"/>
              </w:rPr>
              <w:t>2</w:t>
            </w:r>
            <w:r w:rsidRPr="00F93FFA">
              <w:rPr>
                <w:color w:val="000000"/>
                <w:lang w:val="lt-LT"/>
              </w:rPr>
              <w:t xml:space="preserve"> per parą, IV): 1, 29 dienomis</w:t>
            </w:r>
          </w:p>
          <w:p w14:paraId="70848E13" w14:textId="77777777" w:rsidR="00314B70" w:rsidRPr="00F93FFA" w:rsidRDefault="00314B70" w:rsidP="0003209B">
            <w:pPr>
              <w:pStyle w:val="EndnoteText"/>
              <w:keepNext/>
              <w:keepLines/>
              <w:widowControl w:val="0"/>
              <w:rPr>
                <w:color w:val="000000"/>
                <w:lang w:val="lt-LT"/>
              </w:rPr>
            </w:pPr>
            <w:r w:rsidRPr="00F93FFA">
              <w:rPr>
                <w:color w:val="000000"/>
                <w:lang w:val="lt-LT"/>
              </w:rPr>
              <w:t>DEX (6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 dienos; 29</w:t>
            </w:r>
            <w:r w:rsidRPr="00F93FFA">
              <w:rPr>
                <w:color w:val="000000"/>
                <w:lang w:val="lt-LT"/>
              </w:rPr>
              <w:noBreakHyphen/>
              <w:t>33 dienos</w:t>
            </w:r>
          </w:p>
          <w:p w14:paraId="284B5DB9" w14:textId="04D18124" w:rsidR="00314B70" w:rsidRPr="00F93FFA" w:rsidRDefault="00314B70" w:rsidP="0003209B">
            <w:pPr>
              <w:pStyle w:val="EndnoteText"/>
              <w:keepNext/>
              <w:keepLines/>
              <w:widowControl w:val="0"/>
              <w:rPr>
                <w:color w:val="000000"/>
                <w:lang w:val="lt-LT"/>
              </w:rPr>
            </w:pPr>
            <w:r w:rsidRPr="00F93FFA">
              <w:rPr>
                <w:color w:val="000000"/>
                <w:lang w:val="lt-LT"/>
              </w:rPr>
              <w:t>6</w:t>
            </w:r>
            <w:r w:rsidR="00B37342" w:rsidRPr="00F93FFA">
              <w:rPr>
                <w:color w:val="000000"/>
                <w:lang w:val="lt-LT"/>
              </w:rPr>
              <w:noBreakHyphen/>
            </w:r>
            <w:r w:rsidRPr="00F93FFA">
              <w:rPr>
                <w:color w:val="000000"/>
                <w:lang w:val="lt-LT"/>
              </w:rPr>
              <w:t>MP (75 mg/m</w:t>
            </w:r>
            <w:r w:rsidRPr="00F93FFA">
              <w:rPr>
                <w:color w:val="000000"/>
                <w:vertAlign w:val="superscript"/>
                <w:lang w:val="lt-LT"/>
              </w:rPr>
              <w:t>2</w:t>
            </w:r>
            <w:r w:rsidRPr="00F93FFA">
              <w:rPr>
                <w:color w:val="000000"/>
                <w:lang w:val="lt-LT"/>
              </w:rPr>
              <w:t xml:space="preserve"> per parą, PO): 1</w:t>
            </w:r>
            <w:r w:rsidRPr="00F93FFA">
              <w:rPr>
                <w:color w:val="000000"/>
                <w:lang w:val="lt-LT"/>
              </w:rPr>
              <w:noBreakHyphen/>
              <w:t>56 dienos</w:t>
            </w:r>
          </w:p>
          <w:p w14:paraId="6E574E8E" w14:textId="77777777" w:rsidR="00314B70" w:rsidRPr="00F93FFA" w:rsidRDefault="00314B70" w:rsidP="0003209B">
            <w:pPr>
              <w:pStyle w:val="EndnoteText"/>
              <w:keepNext/>
              <w:keepLines/>
              <w:widowControl w:val="0"/>
              <w:rPr>
                <w:color w:val="000000"/>
                <w:lang w:val="lt-LT"/>
              </w:rPr>
            </w:pPr>
            <w:r w:rsidRPr="00F93FFA">
              <w:rPr>
                <w:color w:val="000000"/>
                <w:lang w:val="lt-LT"/>
              </w:rPr>
              <w:t>Metotreksatas (20 mg/m</w:t>
            </w:r>
            <w:r w:rsidRPr="00F93FFA">
              <w:rPr>
                <w:color w:val="000000"/>
                <w:vertAlign w:val="superscript"/>
                <w:lang w:val="lt-LT"/>
              </w:rPr>
              <w:t>2</w:t>
            </w:r>
            <w:r w:rsidRPr="00F93FFA">
              <w:rPr>
                <w:color w:val="000000"/>
                <w:lang w:val="lt-LT"/>
              </w:rPr>
              <w:t xml:space="preserve"> per savaitę, PO): 1, 8, 15, 22, 29, 36, 43, 50 dienomis</w:t>
            </w:r>
          </w:p>
        </w:tc>
      </w:tr>
    </w:tbl>
    <w:p w14:paraId="56D23A20" w14:textId="490186FC" w:rsidR="00314B70" w:rsidRPr="00F93FFA" w:rsidRDefault="00314B70" w:rsidP="0003209B">
      <w:pPr>
        <w:pStyle w:val="EndnoteText"/>
        <w:keepNext/>
        <w:keepLines/>
        <w:widowControl w:val="0"/>
        <w:rPr>
          <w:color w:val="000000"/>
          <w:szCs w:val="22"/>
          <w:lang w:val="lt-LT"/>
        </w:rPr>
      </w:pPr>
      <w:r w:rsidRPr="00F93FFA">
        <w:rPr>
          <w:color w:val="000000"/>
          <w:szCs w:val="22"/>
          <w:lang w:val="lt-LT"/>
        </w:rPr>
        <w:t>G-CSF</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granuliocitų kolonijas stimuliuojantis faktorius, VP-16</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etoposidas, MTX</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metotreksatas, IV</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į veną, SC</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po oda, IT</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intratekaliai (į povoratinklinę ertmę), PO</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per burną, IM</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į raumenis, ARA</w:t>
      </w:r>
      <w:r w:rsidR="00B37342" w:rsidRPr="00F93FFA">
        <w:rPr>
          <w:color w:val="000000"/>
          <w:szCs w:val="22"/>
          <w:lang w:val="lt-LT"/>
        </w:rPr>
        <w:noBreakHyphen/>
      </w:r>
      <w:r w:rsidRPr="00F93FFA">
        <w:rPr>
          <w:color w:val="000000"/>
          <w:szCs w:val="22"/>
          <w:lang w:val="lt-LT"/>
        </w:rPr>
        <w:t>C</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citarabinas, CPM</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ciklofosfamidas, VCR</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vinkristinas, DEX</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deksametazonas, DAUN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daunorubicinas, 6</w:t>
      </w:r>
      <w:r w:rsidR="00B37342" w:rsidRPr="00F93FFA">
        <w:rPr>
          <w:color w:val="000000"/>
          <w:szCs w:val="22"/>
          <w:lang w:val="lt-LT"/>
        </w:rPr>
        <w:noBreakHyphen/>
      </w:r>
      <w:r w:rsidRPr="00F93FFA">
        <w:rPr>
          <w:color w:val="000000"/>
          <w:szCs w:val="22"/>
          <w:lang w:val="lt-LT"/>
        </w:rPr>
        <w:t>MP</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6</w:t>
      </w:r>
      <w:r w:rsidR="00B37342" w:rsidRPr="00F93FFA">
        <w:rPr>
          <w:color w:val="000000"/>
          <w:szCs w:val="22"/>
          <w:lang w:val="lt-LT"/>
        </w:rPr>
        <w:noBreakHyphen/>
      </w:r>
      <w:r w:rsidRPr="00F93FFA">
        <w:rPr>
          <w:color w:val="000000"/>
          <w:szCs w:val="22"/>
          <w:lang w:val="lt-LT"/>
        </w:rPr>
        <w:t>merkaptopurinas, E.Coli L</w:t>
      </w:r>
      <w:r w:rsidR="00B37342" w:rsidRPr="00F93FFA">
        <w:rPr>
          <w:color w:val="000000"/>
          <w:szCs w:val="22"/>
          <w:lang w:val="lt-LT"/>
        </w:rPr>
        <w:noBreakHyphen/>
      </w:r>
      <w:r w:rsidRPr="00F93FFA">
        <w:rPr>
          <w:color w:val="000000"/>
          <w:szCs w:val="22"/>
          <w:lang w:val="lt-LT"/>
        </w:rPr>
        <w:t>ASP</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L</w:t>
      </w:r>
      <w:r w:rsidR="00B37342" w:rsidRPr="00F93FFA">
        <w:rPr>
          <w:color w:val="000000"/>
          <w:szCs w:val="22"/>
          <w:lang w:val="lt-LT"/>
        </w:rPr>
        <w:noBreakHyphen/>
      </w:r>
      <w:r w:rsidRPr="00F93FFA">
        <w:rPr>
          <w:color w:val="000000"/>
          <w:szCs w:val="22"/>
          <w:lang w:val="lt-LT"/>
        </w:rPr>
        <w:t>asparaginazė, PEG</w:t>
      </w:r>
      <w:r w:rsidR="00B37342" w:rsidRPr="00F93FFA">
        <w:rPr>
          <w:color w:val="000000"/>
          <w:szCs w:val="22"/>
          <w:lang w:val="lt-LT"/>
        </w:rPr>
        <w:noBreakHyphen/>
      </w:r>
      <w:r w:rsidRPr="00F93FFA">
        <w:rPr>
          <w:color w:val="000000"/>
          <w:szCs w:val="22"/>
          <w:lang w:val="lt-LT"/>
        </w:rPr>
        <w:t>ASP</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PEG asparaginazė, MESNA</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2</w:t>
      </w:r>
      <w:r w:rsidR="00B37342" w:rsidRPr="00F93FFA">
        <w:rPr>
          <w:color w:val="000000"/>
          <w:szCs w:val="22"/>
          <w:lang w:val="lt-LT"/>
        </w:rPr>
        <w:noBreakHyphen/>
      </w:r>
      <w:r w:rsidRPr="00F93FFA">
        <w:rPr>
          <w:color w:val="000000"/>
          <w:szCs w:val="22"/>
          <w:lang w:val="lt-LT"/>
        </w:rPr>
        <w:t>merkaptoetano natrio sulfonatas, iii</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arba kol MTX koncentracija bus &lt; 0,1 µM,</w:t>
      </w:r>
      <w:r w:rsidRPr="00F93FFA">
        <w:rPr>
          <w:color w:val="000000"/>
          <w:lang w:val="lt-LT"/>
        </w:rPr>
        <w:t xml:space="preserve"> q6h</w:t>
      </w:r>
      <w:r w:rsidR="00B37342" w:rsidRPr="00F93FFA">
        <w:rPr>
          <w:color w:val="000000"/>
          <w:lang w:val="lt-LT"/>
        </w:rPr>
        <w:t> </w:t>
      </w:r>
      <w:r w:rsidRPr="00F93FFA">
        <w:rPr>
          <w:color w:val="000000"/>
          <w:lang w:val="lt-LT"/>
        </w:rPr>
        <w:t>=</w:t>
      </w:r>
      <w:r w:rsidR="00B37342" w:rsidRPr="00F93FFA">
        <w:rPr>
          <w:color w:val="000000"/>
          <w:lang w:val="lt-LT"/>
        </w:rPr>
        <w:t> </w:t>
      </w:r>
      <w:r w:rsidRPr="00F93FFA">
        <w:rPr>
          <w:color w:val="000000"/>
          <w:lang w:val="lt-LT"/>
        </w:rPr>
        <w:t>kas 6 valandas,</w:t>
      </w:r>
      <w:r w:rsidRPr="00F93FFA">
        <w:rPr>
          <w:color w:val="000000"/>
          <w:szCs w:val="22"/>
          <w:lang w:val="lt-LT"/>
        </w:rPr>
        <w:t xml:space="preserve"> Gy</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Grėjus.</w:t>
      </w:r>
    </w:p>
    <w:p w14:paraId="5A0CC314" w14:textId="77777777" w:rsidR="00314B70" w:rsidRPr="00F93FFA" w:rsidRDefault="00314B70" w:rsidP="00DE16D0">
      <w:pPr>
        <w:pStyle w:val="EndnoteText"/>
        <w:widowControl w:val="0"/>
        <w:jc w:val="both"/>
        <w:rPr>
          <w:color w:val="000000"/>
          <w:sz w:val="20"/>
          <w:lang w:val="lt-LT"/>
        </w:rPr>
      </w:pPr>
    </w:p>
    <w:p w14:paraId="36A4ADDC" w14:textId="77777777" w:rsidR="00314B70" w:rsidRPr="00F93FFA" w:rsidRDefault="00314B70" w:rsidP="00DE16D0">
      <w:pPr>
        <w:pStyle w:val="EndnoteText"/>
        <w:widowControl w:val="0"/>
        <w:rPr>
          <w:color w:val="000000"/>
          <w:lang w:val="lt-LT"/>
        </w:rPr>
      </w:pPr>
      <w:r w:rsidRPr="00F93FFA">
        <w:rPr>
          <w:color w:val="000000"/>
          <w:szCs w:val="22"/>
          <w:lang w:val="lt-LT"/>
        </w:rPr>
        <w:t>Atliktas AIT07 tyrimas – daugiacentris, atviras, atsitiktinių imčių, II/III fazės tyrimas, į kurį buvo įtraukti 128 pacientai (nuo 1 iki &lt; 18 metų); pacientams buvo skiriamas gydymas imatinibu kartu su chemoterapija. Šio tyrimo metu gauti saugumo duomenys, atrodo, atitinka imatinibo saugumo savybes skiriant Ph+ ŪLL sergantiems pacientams.</w:t>
      </w:r>
    </w:p>
    <w:p w14:paraId="66AE915C" w14:textId="77777777" w:rsidR="00314B70" w:rsidRPr="00F93FFA" w:rsidRDefault="00314B70" w:rsidP="00DE16D0">
      <w:pPr>
        <w:widowControl w:val="0"/>
        <w:rPr>
          <w:color w:val="000000"/>
          <w:sz w:val="22"/>
          <w:szCs w:val="22"/>
        </w:rPr>
      </w:pPr>
    </w:p>
    <w:p w14:paraId="520B585A" w14:textId="77777777" w:rsidR="00314B70" w:rsidRPr="00F93FFA" w:rsidRDefault="00314B70" w:rsidP="00DE16D0">
      <w:pPr>
        <w:pStyle w:val="EndnoteText"/>
        <w:widowControl w:val="0"/>
        <w:rPr>
          <w:color w:val="000000"/>
          <w:szCs w:val="22"/>
          <w:lang w:val="lt-LT"/>
        </w:rPr>
      </w:pPr>
      <w:r w:rsidRPr="00F93FFA">
        <w:rPr>
          <w:i/>
          <w:color w:val="000000"/>
          <w:szCs w:val="22"/>
          <w:lang w:val="lt-LT"/>
        </w:rPr>
        <w:t>Recidyvavusi ar refrakterinė Ph+ ŪLL:</w:t>
      </w:r>
      <w:r w:rsidRPr="00F93FFA">
        <w:rPr>
          <w:color w:val="000000"/>
          <w:szCs w:val="22"/>
          <w:lang w:val="lt-LT"/>
        </w:rPr>
        <w:t xml:space="preserve"> 53 pacientams iš 411, kuriuos buvo galima vertinti dėl atsako, sergantiems recidyvuojančia ar refrakterine Ph+ ŪLL, vartojusiems vien tik imatinibą, hematologinio atsako dažnis buvo 30 % (pilno – 9 %), o didžiojo citogenetinio atsako dažnis buvo 23 %. (Reikia pažymėti, kad 353 pacientai iš 411, dalyvavo išplėstinėje gydymo programoje ir nebuvo renkami pirminiai jų atsako duomenys.) Laiko iki progresavimo mediana bendrojoje 411 pacientų, kuriems buvo recidyvavusi ar refrakterinė Ph+ ŪLL, populiacijoje buvo nuo 2,6 iki 3,1 mėnesių, o 401 paciento, kuriuos buvo galima įvertinti, gyvenimo trukmės mediana buvo nuo 4,9 iki 9 mėnesių. Duomenys buvo panašūs, kai analizė buvo pakartota įtraukiant tik 55 metų amžiaus ar vyresnius pacientus.</w:t>
      </w:r>
    </w:p>
    <w:p w14:paraId="18495E0C" w14:textId="77777777" w:rsidR="00314B70" w:rsidRPr="00F93FFA" w:rsidRDefault="00314B70" w:rsidP="00DE16D0">
      <w:pPr>
        <w:pStyle w:val="EndnoteText"/>
        <w:widowControl w:val="0"/>
        <w:rPr>
          <w:color w:val="000000"/>
          <w:szCs w:val="22"/>
          <w:u w:val="single"/>
          <w:lang w:val="lt-LT"/>
        </w:rPr>
      </w:pPr>
    </w:p>
    <w:p w14:paraId="51A9B4AC" w14:textId="77777777" w:rsidR="00314B70" w:rsidRPr="00F93FFA" w:rsidRDefault="00314B70" w:rsidP="0003209B">
      <w:pPr>
        <w:pStyle w:val="EndnoteText"/>
        <w:keepNext/>
        <w:widowControl w:val="0"/>
        <w:rPr>
          <w:color w:val="000000"/>
          <w:szCs w:val="22"/>
          <w:u w:val="single"/>
          <w:lang w:val="lt-LT"/>
        </w:rPr>
      </w:pPr>
      <w:r w:rsidRPr="00F93FFA">
        <w:rPr>
          <w:color w:val="000000"/>
          <w:szCs w:val="22"/>
          <w:u w:val="single"/>
          <w:lang w:val="lt-LT"/>
        </w:rPr>
        <w:t>Klinikiniai MDS ir MPL tyrimai</w:t>
      </w:r>
    </w:p>
    <w:p w14:paraId="7684FACE" w14:textId="77777777" w:rsidR="009573B6" w:rsidRPr="00F93FFA" w:rsidRDefault="00314B70" w:rsidP="00DE16D0">
      <w:pPr>
        <w:pStyle w:val="EndnoteText"/>
        <w:widowControl w:val="0"/>
        <w:tabs>
          <w:tab w:val="clear" w:pos="567"/>
        </w:tabs>
        <w:rPr>
          <w:rFonts w:eastAsia="MS Mincho"/>
          <w:color w:val="000000"/>
          <w:szCs w:val="22"/>
          <w:lang w:val="lt-LT" w:eastAsia="ja-JP"/>
        </w:rPr>
      </w:pPr>
      <w:r w:rsidRPr="00F93FFA">
        <w:rPr>
          <w:color w:val="000000"/>
          <w:szCs w:val="22"/>
          <w:lang w:val="lt-LT"/>
        </w:rPr>
        <w:t xml:space="preserve">Šių ligų gydymo Glivec patirtis yra labai ribota ir remiasi hematologinio ir citogenetinio atsako dažniais. Kontroliuotų klinikinių tyrimų, rodančių klinikinį pranašumą arba padidėjusį išgyvenamumą, neatlikta. </w:t>
      </w:r>
      <w:r w:rsidRPr="00F93FFA">
        <w:rPr>
          <w:rFonts w:eastAsia="MS Mincho"/>
          <w:color w:val="000000"/>
          <w:szCs w:val="22"/>
          <w:lang w:val="lt-LT" w:eastAsia="ja-JP"/>
        </w:rPr>
        <w:t>Viename atvirame, daugiacentriame, II fazės klinikiniame tyrime (tyrimas B2225) buvo tiriamas Glivec efektyvumas įvairioms pacientų, sergančių gyvybei pavojingomis ligomis, susijusiomis su Abl, Kit ar PDGFR baltymų tirozinkinazėmis, grupėms. Tyrime dalyvavo 7 pacientai, sergantys MDS/MPL, kurie buvo gydomi Glivec 400 mg per parą doze. Trys pacientai pasiekė visišką hematologinį atsaką (VHA) ir vienas – dalinį hematologinį atsaką (DHA). Pradinio tyrimo metu trims iš keturių pacientų su nustatytais PDGFR genų pakitimais pasireiškė hematologinis atsakas (2 VHA ir 1 DHA). Šių pacientų amžius svyravo nuo 20 iki 72 metų.</w:t>
      </w:r>
    </w:p>
    <w:p w14:paraId="6696A63F" w14:textId="77777777" w:rsidR="009573B6" w:rsidRPr="00F93FFA" w:rsidRDefault="009573B6" w:rsidP="00DE16D0">
      <w:pPr>
        <w:widowControl w:val="0"/>
        <w:rPr>
          <w:rFonts w:eastAsia="MS Mincho"/>
          <w:lang w:eastAsia="ja-JP"/>
        </w:rPr>
      </w:pPr>
    </w:p>
    <w:p w14:paraId="3C74B101" w14:textId="77777777" w:rsidR="009573B6" w:rsidRPr="00F93FFA" w:rsidRDefault="009573B6" w:rsidP="00DE16D0">
      <w:pPr>
        <w:pStyle w:val="EndnoteText"/>
        <w:widowControl w:val="0"/>
        <w:rPr>
          <w:rFonts w:eastAsia="MS Mincho"/>
          <w:color w:val="000000"/>
          <w:szCs w:val="22"/>
          <w:lang w:eastAsia="ja-JP"/>
        </w:rPr>
      </w:pPr>
      <w:r w:rsidRPr="00F93FFA">
        <w:rPr>
          <w:rFonts w:eastAsia="MS Mincho"/>
          <w:color w:val="000000"/>
          <w:szCs w:val="22"/>
          <w:lang w:eastAsia="ja-JP"/>
        </w:rPr>
        <w:t>Duomenų stebėjimo registro (L2401 tyrimo) pildymo metu buvo renkami ilgalaikio Glivec saugumo ir veiksmingumo duomenys pacientams, kuriems nustatyta mieloproliferacinių navikų ir PDGFR- β geno pakitimų bei kuriems buvo skiriamas gydymas Glivec. Į šį registrą buvo įtraukti 23 pacientai, ir jiems skirtos Glivec paros dozės mediana buvo 264 mg (svyravo nuo 100 mg iki 400 mg), o gydymo trukmės mediana buvo 7,2 metų (svyravo nuo 0,1 metų iki 12,7 metų). Kadangi tai buvo duomenų stebėjimo pobūdžio registras, hematologinio, citogenetinio ir molekulinio vertinimo duomenys buvo žinomi, atitinkamai, 22, 9 ir 17 iš 23 įtrauktų pacientų. Atsargiai tariant, kad tiems pacientams, kurių duomenų neturima, gydymo atsako nebuvo gauta, atitinkamai, VHA buvo pasiektas 20 iš 23 (87 %) pacientų, CCyR atsakas pasiektas 9 iš 23 (39,1 %) pacientų, o molekulinis atsakas – 11 iš 23 (47,8 %) pacientų. Kai atsako dažnis buvo apskaičiuotas tiems pacientams, kuriems buvo žinomas bent vienas pagrįstas įvertinimas, VHA, CCyR ir molekulinio atsakų dažniai, atitinkamai, buvo</w:t>
      </w:r>
      <w:r w:rsidRPr="00F93FFA" w:rsidDel="00897244">
        <w:rPr>
          <w:rFonts w:eastAsia="MS Mincho"/>
          <w:color w:val="000000"/>
          <w:szCs w:val="22"/>
          <w:lang w:eastAsia="ja-JP"/>
        </w:rPr>
        <w:t xml:space="preserve"> </w:t>
      </w:r>
      <w:r w:rsidRPr="00F93FFA">
        <w:rPr>
          <w:rFonts w:eastAsia="MS Mincho"/>
          <w:color w:val="000000"/>
          <w:szCs w:val="22"/>
          <w:lang w:eastAsia="ja-JP"/>
        </w:rPr>
        <w:t>20 iš 22 (90,9 %), 9 iš 9 (100 %) ir 11 iš 17 (64,7 %).</w:t>
      </w:r>
    </w:p>
    <w:p w14:paraId="63B73F57" w14:textId="77777777" w:rsidR="009573B6" w:rsidRPr="00F93FFA" w:rsidRDefault="009573B6" w:rsidP="00DE16D0">
      <w:pPr>
        <w:pStyle w:val="EndnoteText"/>
        <w:widowControl w:val="0"/>
        <w:tabs>
          <w:tab w:val="clear" w:pos="567"/>
        </w:tabs>
        <w:rPr>
          <w:rFonts w:eastAsia="MS Mincho"/>
          <w:color w:val="000000"/>
          <w:szCs w:val="22"/>
          <w:lang w:eastAsia="ja-JP"/>
        </w:rPr>
      </w:pPr>
    </w:p>
    <w:p w14:paraId="0805CD7E" w14:textId="77777777" w:rsidR="00314B70" w:rsidRPr="00F93FFA" w:rsidRDefault="00314B70" w:rsidP="00DE16D0">
      <w:pPr>
        <w:pStyle w:val="EndnoteText"/>
        <w:widowControl w:val="0"/>
        <w:tabs>
          <w:tab w:val="clear" w:pos="567"/>
        </w:tabs>
        <w:rPr>
          <w:rFonts w:eastAsia="MS Mincho"/>
          <w:color w:val="000000"/>
          <w:szCs w:val="22"/>
          <w:lang w:val="lt-LT" w:eastAsia="ja-JP"/>
        </w:rPr>
      </w:pPr>
      <w:r w:rsidRPr="00F93FFA">
        <w:rPr>
          <w:rFonts w:eastAsia="MS Mincho"/>
          <w:color w:val="000000"/>
          <w:szCs w:val="22"/>
          <w:lang w:val="lt-LT" w:eastAsia="ja-JP"/>
        </w:rPr>
        <w:t>Be to, kiti 24 pacientai, sergantys MDS/MPL, buvo aprašyti 13 straipsnių. 21 pacientas buvo gydomas Glivec 400 mg doze, kiti 3 pacientai gavo mažesnes dozes. Vienuolikai pacientų buvo nustatyti PDGF genų pakitimai, 9 iš jų pasiekė VHA ir 1 DHA. Šių pacientų amžius svyravo nuo 2 iki 79 metų. Remiantis atnaujinta informacija apie 6 iš 11 pacientų nesename straipsnyje, paaiškėjo, jog jiems visiems citogenetinė remisija išliko (trukmė 32</w:t>
      </w:r>
      <w:r w:rsidRPr="00F93FFA">
        <w:rPr>
          <w:rFonts w:eastAsia="MS Mincho"/>
          <w:color w:val="000000"/>
          <w:szCs w:val="22"/>
          <w:lang w:val="lt-LT" w:eastAsia="ja-JP"/>
        </w:rPr>
        <w:noBreakHyphen/>
        <w:t xml:space="preserve">38 mėnesiai). Tame pačiame straipsnyje aprašomi 12 pacientų, sergančių MDS/MPL su PDGFR genų pakitimais (5 pacientai iš B2225 tyrimo) ilgalaikio </w:t>
      </w:r>
      <w:r w:rsidRPr="00F93FFA">
        <w:rPr>
          <w:rFonts w:eastAsia="MS Mincho"/>
          <w:color w:val="000000"/>
          <w:szCs w:val="22"/>
          <w:lang w:val="lt-LT" w:eastAsia="ja-JP"/>
        </w:rPr>
        <w:lastRenderedPageBreak/>
        <w:t>stebėjimo duomenys. Šie pacientai gavo Glivec vidutiniškai 47 mėnesius (ribos 24 dienos – 60 mėnesių). 6 iš šių pacientų dabar stebimi ilgiau kaip 4 metus. Vienuolika pacientų pasiekė greitą VHA; dešimčiai visiškai išnyko citogenetiniai pokyčiai ir patikrinus RT-PGR, sumažėjo arba išnyko susijungusių transkriptų. Hematologinis ir citogenetinis atsakai buvo atitinkamai pastovūs vidutiniškai 49 mėnesius (ribos 19</w:t>
      </w:r>
      <w:r w:rsidRPr="00F93FFA">
        <w:rPr>
          <w:rFonts w:eastAsia="MS Mincho"/>
          <w:color w:val="000000"/>
          <w:szCs w:val="22"/>
          <w:lang w:val="lt-LT" w:eastAsia="ja-JP"/>
        </w:rPr>
        <w:noBreakHyphen/>
        <w:t>60) ir 47 mėnesius (ribos 16</w:t>
      </w:r>
      <w:r w:rsidRPr="00F93FFA">
        <w:rPr>
          <w:rFonts w:eastAsia="MS Mincho"/>
          <w:color w:val="000000"/>
          <w:szCs w:val="22"/>
          <w:lang w:val="lt-LT" w:eastAsia="ja-JP"/>
        </w:rPr>
        <w:noBreakHyphen/>
        <w:t>59). Patvirtinus diagnozę, bendras išgyvenamumas yra 65 mėnesiai (ribos 25</w:t>
      </w:r>
      <w:r w:rsidRPr="00F93FFA">
        <w:rPr>
          <w:rFonts w:eastAsia="MS Mincho"/>
          <w:color w:val="000000"/>
          <w:szCs w:val="22"/>
          <w:lang w:val="lt-LT" w:eastAsia="ja-JP"/>
        </w:rPr>
        <w:noBreakHyphen/>
        <w:t>234). Glivec paskyrimas pacientams be genetinių translokacijų bendrai pagerėjimo nesukėlė.</w:t>
      </w:r>
    </w:p>
    <w:p w14:paraId="61A908ED" w14:textId="77777777" w:rsidR="00314B70" w:rsidRPr="00F93FFA" w:rsidRDefault="00314B70" w:rsidP="00DE16D0">
      <w:pPr>
        <w:pStyle w:val="EndnoteText"/>
        <w:widowControl w:val="0"/>
        <w:tabs>
          <w:tab w:val="clear" w:pos="567"/>
        </w:tabs>
        <w:rPr>
          <w:rFonts w:eastAsia="MS Mincho"/>
          <w:color w:val="000000"/>
          <w:szCs w:val="22"/>
          <w:lang w:val="lt-LT" w:eastAsia="ja-JP"/>
        </w:rPr>
      </w:pPr>
    </w:p>
    <w:p w14:paraId="2CC8681B" w14:textId="77777777" w:rsidR="00314B70" w:rsidRPr="00F93FFA" w:rsidRDefault="00314B70" w:rsidP="00DE16D0">
      <w:pPr>
        <w:pStyle w:val="EndnoteText"/>
        <w:widowControl w:val="0"/>
        <w:tabs>
          <w:tab w:val="clear" w:pos="567"/>
        </w:tabs>
        <w:rPr>
          <w:rFonts w:eastAsia="MS Mincho"/>
          <w:color w:val="000000"/>
          <w:szCs w:val="22"/>
          <w:lang w:val="lt-LT" w:eastAsia="ja-JP"/>
        </w:rPr>
      </w:pPr>
      <w:r w:rsidRPr="00F93FFA">
        <w:rPr>
          <w:rFonts w:eastAsia="MS Mincho"/>
          <w:color w:val="000000"/>
          <w:szCs w:val="22"/>
          <w:lang w:val="lt-LT" w:eastAsia="ja-JP"/>
        </w:rPr>
        <w:t>Kontroliuojamųjų klinikinių tyrimų su MDS ir MPL sergančiais vaikais neatlikta. 4 literatūros šaltiniuose aprašyti 5 pacientai, sirgę su PDGFR genų pakitimais susijusiomis MDS/MPL. Šių pacientų amžius svyravo nuo 3 mėnesių iki 4 metų, jiems buvo skiriama 50 mg per parą imatinibo dozė arba nuo 92,5 mg/m</w:t>
      </w:r>
      <w:r w:rsidRPr="00F93FFA">
        <w:rPr>
          <w:rFonts w:eastAsia="MS Mincho"/>
          <w:color w:val="000000"/>
          <w:szCs w:val="22"/>
          <w:vertAlign w:val="superscript"/>
          <w:lang w:val="lt-LT" w:eastAsia="ja-JP"/>
        </w:rPr>
        <w:t>2</w:t>
      </w:r>
      <w:r w:rsidRPr="00F93FFA">
        <w:rPr>
          <w:rFonts w:eastAsia="MS Mincho"/>
          <w:color w:val="000000"/>
          <w:szCs w:val="22"/>
          <w:lang w:val="lt-LT" w:eastAsia="ja-JP"/>
        </w:rPr>
        <w:t xml:space="preserve"> iki 340 mg/m</w:t>
      </w:r>
      <w:r w:rsidRPr="00F93FFA">
        <w:rPr>
          <w:rFonts w:eastAsia="MS Mincho"/>
          <w:color w:val="000000"/>
          <w:szCs w:val="22"/>
          <w:vertAlign w:val="superscript"/>
          <w:lang w:val="lt-LT" w:eastAsia="ja-JP"/>
        </w:rPr>
        <w:t>2</w:t>
      </w:r>
      <w:r w:rsidRPr="00F93FFA">
        <w:rPr>
          <w:rFonts w:eastAsia="MS Mincho"/>
          <w:color w:val="000000"/>
          <w:szCs w:val="22"/>
          <w:lang w:val="lt-LT" w:eastAsia="ja-JP"/>
        </w:rPr>
        <w:t xml:space="preserve"> kūno paviršiaus ploto per parą dozė. Visiems pacientams pasiektas visiškas hematologinis atsakas, citogenetinis atsakas ir (arba) klinikinis atsakas.</w:t>
      </w:r>
    </w:p>
    <w:p w14:paraId="1F4E9EE4" w14:textId="77777777" w:rsidR="00314B70" w:rsidRPr="00F93FFA" w:rsidRDefault="00314B70" w:rsidP="00DE16D0">
      <w:pPr>
        <w:widowControl w:val="0"/>
        <w:rPr>
          <w:rFonts w:eastAsia="MS Mincho"/>
          <w:color w:val="000000"/>
          <w:sz w:val="22"/>
          <w:szCs w:val="22"/>
          <w:lang w:eastAsia="ja-JP"/>
        </w:rPr>
      </w:pPr>
    </w:p>
    <w:p w14:paraId="26324475" w14:textId="77777777" w:rsidR="00314B70" w:rsidRPr="00F93FFA" w:rsidRDefault="00314B70" w:rsidP="0003209B">
      <w:pPr>
        <w:pStyle w:val="EndnoteText"/>
        <w:keepNext/>
        <w:widowControl w:val="0"/>
        <w:tabs>
          <w:tab w:val="clear" w:pos="567"/>
        </w:tabs>
        <w:rPr>
          <w:color w:val="000000"/>
          <w:szCs w:val="22"/>
          <w:u w:val="single"/>
          <w:lang w:val="lt-LT"/>
        </w:rPr>
      </w:pPr>
      <w:r w:rsidRPr="00F93FFA">
        <w:rPr>
          <w:color w:val="000000"/>
          <w:szCs w:val="22"/>
          <w:u w:val="single"/>
          <w:lang w:val="lt-LT"/>
        </w:rPr>
        <w:t>Klinikiniai HES/LEL tyrimai</w:t>
      </w:r>
    </w:p>
    <w:p w14:paraId="7178F5BF" w14:textId="77777777" w:rsidR="00314B70" w:rsidRPr="00F93FFA" w:rsidRDefault="00314B70" w:rsidP="00DE16D0">
      <w:pPr>
        <w:widowControl w:val="0"/>
        <w:rPr>
          <w:color w:val="000000"/>
          <w:sz w:val="22"/>
          <w:szCs w:val="22"/>
        </w:rPr>
      </w:pPr>
      <w:r w:rsidRPr="00F93FFA">
        <w:rPr>
          <w:rFonts w:eastAsia="MS Mincho"/>
          <w:color w:val="000000"/>
          <w:sz w:val="22"/>
          <w:szCs w:val="22"/>
          <w:lang w:eastAsia="ja-JP"/>
        </w:rPr>
        <w:t>Viename atvirame, daugiacentriame, II fazės klinikiniame tyrime (tyrimas B2225) buvo tiriamas Glivec efektyvumas įvairioms pacientų, sergančių gyvybei pavojingomis ligomis, susijusiomis su Abl, Kit ar PDGFR baltymų tirozinkinazėmis, grupėms. Šio tyrimo metu 14 pacientų, sergantys HES/LEL, buvo gydomi Glivec 100 mg – 1 000 mg dozėmis per parą. Kiti 162 pacientai, sergantys HES/LEL, aprašyti 35 </w:t>
      </w:r>
      <w:r w:rsidRPr="00F93FFA">
        <w:rPr>
          <w:color w:val="000000"/>
          <w:sz w:val="22"/>
          <w:szCs w:val="22"/>
        </w:rPr>
        <w:t>atvejų pranešimuose ir atvejų serijose gavo 75 mg – 800 mg Glivec per parą. 117 iš bendros 176 pacientų populiacijos buvo nustatyti citogenetiniai pokyčiai. 61 iš 117 šių pacientų nustatyta FIP1L1-PDGFRα lydima kinazė. Be to, keturiems HES sergantiems pacientams buvo nustatyta teigiama FIP1L1-PDGFRα lydima kinazė kituose 3 aprašytuose atvejuose. Visi 65 pacientai su teigiama FIP1L1-PDGFRα lydima kinaze pasiekė pastovų VHA mėnesiams (nuo 1+ iki 44+ mėnesių, tikrinta pranešimo metu). Kaip pranešama naujame straipsnyje, 21 iš šių 65 pacientų taip pat pasiekė pilną molekulinę remisiją vidutiniškai stebint 28 mėnesius (13</w:t>
      </w:r>
      <w:r w:rsidRPr="00F93FFA">
        <w:rPr>
          <w:color w:val="000000"/>
          <w:sz w:val="22"/>
          <w:szCs w:val="22"/>
        </w:rPr>
        <w:noBreakHyphen/>
        <w:t xml:space="preserve">67 mėnesius). </w:t>
      </w:r>
      <w:r w:rsidRPr="00F93FFA">
        <w:rPr>
          <w:rFonts w:eastAsia="MS Mincho"/>
          <w:color w:val="000000"/>
          <w:sz w:val="22"/>
          <w:szCs w:val="22"/>
          <w:lang w:eastAsia="ja-JP"/>
        </w:rPr>
        <w:t xml:space="preserve">Šių pacientų amžius svyravo nuo 25 iki 72 metų. </w:t>
      </w:r>
      <w:r w:rsidRPr="00F93FFA">
        <w:rPr>
          <w:color w:val="000000"/>
          <w:sz w:val="22"/>
          <w:szCs w:val="22"/>
        </w:rPr>
        <w:t>Tyrėjų atvejų pranešimuose papildomai buvo pranešta apie simptomų ir kitus organų funkcijų sutrikimų pagerėjimus. Pagerėjimai buvo nustatyti širdies, nervų, odos/poodinio audinio, kvėpavimo/krūtinės/tarpuplaučio, griaučių/raumenų/jungiamojo audinio/kraujagyslių ir virškinimo trakto organų sistemose.</w:t>
      </w:r>
    </w:p>
    <w:p w14:paraId="487897E6" w14:textId="77777777" w:rsidR="00314B70" w:rsidRPr="00F93FFA" w:rsidRDefault="00314B70" w:rsidP="00DE16D0">
      <w:pPr>
        <w:pStyle w:val="Text"/>
        <w:widowControl w:val="0"/>
        <w:spacing w:before="0"/>
        <w:jc w:val="left"/>
        <w:rPr>
          <w:color w:val="000000"/>
          <w:sz w:val="22"/>
          <w:szCs w:val="22"/>
          <w:lang w:val="lt-LT"/>
        </w:rPr>
      </w:pPr>
    </w:p>
    <w:p w14:paraId="5568219A" w14:textId="77777777" w:rsidR="00314B70" w:rsidRPr="00F93FFA" w:rsidRDefault="00314B7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HES/LEL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3 literatūros šaltiniuose aprašyti 3 pacientai, sirgę su PDGFR genų pakitimais susijusiais HES ir LEL. Šių pacientų amžius svyravo nuo 2 metų iki 16 metų, jiems buvo skiriama 300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kūno paviršiaus ploto per parą arba nuo 200 mg iki 400 mg per parą imatinibo dozė. Visiems pacientams pasiektas visiškas hematologinis atsakas, visiškas citogenetinis atsakas ir (arba) visiškas molekulinis atsakas.</w:t>
      </w:r>
    </w:p>
    <w:p w14:paraId="16DE02FD" w14:textId="77777777" w:rsidR="00314B70" w:rsidRPr="00F93FFA" w:rsidRDefault="00314B70" w:rsidP="00DE16D0">
      <w:pPr>
        <w:widowControl w:val="0"/>
        <w:rPr>
          <w:color w:val="000000"/>
        </w:rPr>
      </w:pPr>
    </w:p>
    <w:p w14:paraId="5E2568EB" w14:textId="77777777" w:rsidR="00314B70" w:rsidRPr="00F93FFA" w:rsidRDefault="00314B70" w:rsidP="0003209B">
      <w:pPr>
        <w:pStyle w:val="EndnoteText"/>
        <w:keepNext/>
        <w:widowControl w:val="0"/>
        <w:tabs>
          <w:tab w:val="clear" w:pos="567"/>
        </w:tabs>
        <w:rPr>
          <w:color w:val="000000"/>
          <w:szCs w:val="22"/>
          <w:u w:val="single"/>
          <w:lang w:val="lt-LT"/>
        </w:rPr>
      </w:pPr>
      <w:r w:rsidRPr="00F93FFA">
        <w:rPr>
          <w:color w:val="000000"/>
          <w:szCs w:val="22"/>
          <w:u w:val="single"/>
          <w:lang w:val="lt-LT"/>
        </w:rPr>
        <w:t xml:space="preserve">Klinikiniai </w:t>
      </w:r>
      <w:r w:rsidRPr="00F93FFA">
        <w:rPr>
          <w:color w:val="000000"/>
          <w:szCs w:val="22"/>
          <w:u w:val="single"/>
        </w:rPr>
        <w:t xml:space="preserve">pacientų, kuriems buvo nerezekuotinas ir (ar) metastazavęs </w:t>
      </w:r>
      <w:r w:rsidRPr="00F93FFA">
        <w:rPr>
          <w:color w:val="000000"/>
          <w:szCs w:val="22"/>
          <w:u w:val="single"/>
          <w:lang w:val="lt-LT"/>
        </w:rPr>
        <w:t>VTSN, tyrimai</w:t>
      </w:r>
    </w:p>
    <w:p w14:paraId="5C36E45F" w14:textId="77777777" w:rsidR="00314B70" w:rsidRPr="00F93FFA" w:rsidRDefault="00314B70" w:rsidP="00DE16D0">
      <w:pPr>
        <w:pStyle w:val="EndnoteText"/>
        <w:widowControl w:val="0"/>
        <w:tabs>
          <w:tab w:val="clear" w:pos="567"/>
        </w:tabs>
        <w:rPr>
          <w:color w:val="000000"/>
          <w:szCs w:val="22"/>
          <w:lang w:val="lt-LT"/>
        </w:rPr>
      </w:pPr>
      <w:r w:rsidRPr="00F93FFA">
        <w:rPr>
          <w:color w:val="000000"/>
          <w:szCs w:val="22"/>
          <w:lang w:val="lt-LT"/>
        </w:rPr>
        <w:t>Vienas II fazės atviras, randomizuotas, nekontroliuojamas tarptautinis tyrimas buvo atliktas su pacientais, kuriems buvo nerezekuotinas ar metastazavęs piktybinis virškinimo trakto stromos navikas (VTSN). Šiame tyrime dalyvavo 147 pacientai, kurie buvo atsitiktinai suskirstyti gerti po 400 mg arba po 600 mg vieną kartą per parą iki 36 mėn. Šių pacientų amžius buvo nuo 18 iki 83 metų, jiems buvo nustatyta patologinė Kit+ piktybinio VTSN, kuris buvo nerezekuotinas ir (ar) metastazavęs, diagnozė. Rutiniškai buvo atliktas imunohistocheminis tyrimas su Kit antikūnais (A</w:t>
      </w:r>
      <w:r w:rsidRPr="00F93FFA">
        <w:rPr>
          <w:color w:val="000000"/>
          <w:szCs w:val="22"/>
          <w:lang w:val="lt-LT"/>
        </w:rPr>
        <w:noBreakHyphen/>
        <w:t>4502, triušių polikloninis antiserumas, 1:100; DAKO Corporation, Carpinteria, CA) pagal avidino</w:t>
      </w:r>
      <w:r w:rsidRPr="00F93FFA">
        <w:rPr>
          <w:color w:val="000000"/>
          <w:szCs w:val="22"/>
          <w:lang w:val="lt-LT"/>
        </w:rPr>
        <w:noBreakHyphen/>
        <w:t>biotino</w:t>
      </w:r>
      <w:r w:rsidRPr="00F93FFA">
        <w:rPr>
          <w:color w:val="000000"/>
          <w:szCs w:val="22"/>
          <w:lang w:val="lt-LT"/>
        </w:rPr>
        <w:noBreakHyphen/>
        <w:t>peroksidazės komplekso metodo analizę po antigeno sugrąžinimo.</w:t>
      </w:r>
    </w:p>
    <w:p w14:paraId="40E40B05" w14:textId="77777777" w:rsidR="00314B70" w:rsidRPr="00F93FFA" w:rsidRDefault="00314B70" w:rsidP="00DE16D0">
      <w:pPr>
        <w:pStyle w:val="EndnoteText"/>
        <w:widowControl w:val="0"/>
        <w:tabs>
          <w:tab w:val="clear" w:pos="567"/>
        </w:tabs>
        <w:rPr>
          <w:color w:val="000000"/>
          <w:szCs w:val="22"/>
          <w:lang w:val="lt-LT"/>
        </w:rPr>
      </w:pPr>
    </w:p>
    <w:p w14:paraId="078797FC" w14:textId="77777777" w:rsidR="00314B70" w:rsidRPr="00F93FFA" w:rsidRDefault="00314B70" w:rsidP="00DE16D0">
      <w:pPr>
        <w:pStyle w:val="EndnoteText"/>
        <w:widowControl w:val="0"/>
        <w:tabs>
          <w:tab w:val="clear" w:pos="567"/>
        </w:tabs>
        <w:rPr>
          <w:color w:val="000000"/>
          <w:szCs w:val="22"/>
          <w:lang w:val="lt-LT"/>
        </w:rPr>
      </w:pPr>
      <w:r w:rsidRPr="00F93FFA">
        <w:rPr>
          <w:color w:val="000000"/>
          <w:szCs w:val="22"/>
          <w:lang w:val="lt-LT"/>
        </w:rPr>
        <w:t xml:space="preserve">Svarbiausias veiksmingumo įrodymas – objektyvus atsako dažnis. Buvo reikalaujama naviką išmatuoti bent vienoje vietoje. Atsakas apibūdintas pagal </w:t>
      </w:r>
      <w:r w:rsidRPr="00F93FFA">
        <w:rPr>
          <w:i/>
          <w:color w:val="000000"/>
          <w:szCs w:val="22"/>
          <w:lang w:val="lt-LT"/>
        </w:rPr>
        <w:t>Southwestern Oncology Group (SWOG)</w:t>
      </w:r>
      <w:r w:rsidRPr="00F93FFA">
        <w:rPr>
          <w:color w:val="000000"/>
          <w:szCs w:val="22"/>
          <w:lang w:val="lt-LT"/>
        </w:rPr>
        <w:t xml:space="preserve"> kriterijus. Duomenys pateikti </w:t>
      </w:r>
      <w:r w:rsidR="00BC035E" w:rsidRPr="00F93FFA">
        <w:rPr>
          <w:color w:val="000000"/>
          <w:szCs w:val="22"/>
          <w:lang w:val="lt-LT"/>
        </w:rPr>
        <w:t>6</w:t>
      </w:r>
      <w:r w:rsidRPr="00F93FFA">
        <w:rPr>
          <w:color w:val="000000"/>
          <w:szCs w:val="22"/>
          <w:lang w:val="lt-LT"/>
        </w:rPr>
        <w:t> lentelėje.</w:t>
      </w:r>
    </w:p>
    <w:p w14:paraId="77DE57DD" w14:textId="77777777" w:rsidR="00314B70" w:rsidRPr="00F93FFA" w:rsidRDefault="00314B70" w:rsidP="00DE16D0">
      <w:pPr>
        <w:widowControl w:val="0"/>
        <w:rPr>
          <w:color w:val="000000"/>
          <w:sz w:val="22"/>
          <w:szCs w:val="22"/>
        </w:rPr>
      </w:pPr>
    </w:p>
    <w:p w14:paraId="27DDB7C4" w14:textId="77777777" w:rsidR="00314B70" w:rsidRPr="00F93FFA" w:rsidRDefault="00BC035E" w:rsidP="0003209B">
      <w:pPr>
        <w:keepNext/>
        <w:keepLines/>
        <w:widowControl w:val="0"/>
        <w:tabs>
          <w:tab w:val="left" w:pos="1080"/>
        </w:tabs>
        <w:rPr>
          <w:b/>
          <w:color w:val="000000"/>
          <w:sz w:val="22"/>
          <w:szCs w:val="22"/>
        </w:rPr>
      </w:pPr>
      <w:r w:rsidRPr="00F93FFA">
        <w:rPr>
          <w:b/>
          <w:color w:val="000000"/>
          <w:sz w:val="22"/>
          <w:szCs w:val="22"/>
        </w:rPr>
        <w:lastRenderedPageBreak/>
        <w:t>6</w:t>
      </w:r>
      <w:r w:rsidR="00314B70" w:rsidRPr="00F93FFA">
        <w:rPr>
          <w:b/>
          <w:color w:val="000000"/>
          <w:sz w:val="22"/>
          <w:szCs w:val="22"/>
        </w:rPr>
        <w:t> lentelė</w:t>
      </w:r>
      <w:r w:rsidR="00314B70" w:rsidRPr="00F93FFA">
        <w:rPr>
          <w:b/>
          <w:color w:val="000000"/>
          <w:sz w:val="22"/>
          <w:szCs w:val="22"/>
        </w:rPr>
        <w:tab/>
        <w:t>Geriausias naviko atsakas STIB2222 (VTSN) tyrimo metu</w:t>
      </w:r>
    </w:p>
    <w:p w14:paraId="7FDFA50E" w14:textId="77777777" w:rsidR="00314B70" w:rsidRPr="00F93FFA" w:rsidRDefault="00314B70" w:rsidP="0003209B">
      <w:pPr>
        <w:keepNext/>
        <w:keepLines/>
        <w:widowControl w:val="0"/>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314B70" w:rsidRPr="00F93FFA" w14:paraId="4201382F" w14:textId="77777777" w:rsidTr="0003209B">
        <w:trPr>
          <w:cantSplit/>
        </w:trPr>
        <w:tc>
          <w:tcPr>
            <w:tcW w:w="4643" w:type="dxa"/>
            <w:tcBorders>
              <w:left w:val="nil"/>
              <w:bottom w:val="single" w:sz="4" w:space="0" w:color="auto"/>
              <w:right w:val="nil"/>
            </w:tcBorders>
          </w:tcPr>
          <w:p w14:paraId="41CBF589" w14:textId="77777777" w:rsidR="00314B70" w:rsidRPr="00F93FFA" w:rsidRDefault="00314B70" w:rsidP="0003209B">
            <w:pPr>
              <w:pStyle w:val="EndnoteText"/>
              <w:keepNext/>
              <w:keepLines/>
              <w:widowControl w:val="0"/>
              <w:tabs>
                <w:tab w:val="clear" w:pos="567"/>
              </w:tabs>
              <w:rPr>
                <w:color w:val="000000"/>
                <w:szCs w:val="22"/>
                <w:lang w:val="lt-LT"/>
              </w:rPr>
            </w:pPr>
          </w:p>
          <w:p w14:paraId="48974E87" w14:textId="77777777" w:rsidR="00314B70" w:rsidRPr="00F93FFA" w:rsidRDefault="00314B70" w:rsidP="0003209B">
            <w:pPr>
              <w:pStyle w:val="EndnoteText"/>
              <w:keepNext/>
              <w:keepLines/>
              <w:widowControl w:val="0"/>
              <w:tabs>
                <w:tab w:val="clear" w:pos="567"/>
              </w:tabs>
              <w:rPr>
                <w:color w:val="000000"/>
                <w:szCs w:val="22"/>
                <w:lang w:val="lt-LT"/>
              </w:rPr>
            </w:pPr>
          </w:p>
          <w:p w14:paraId="6FAC6F00" w14:textId="77777777" w:rsidR="00314B70" w:rsidRPr="00F93FFA" w:rsidRDefault="00314B70" w:rsidP="0003209B">
            <w:pPr>
              <w:pStyle w:val="EndnoteText"/>
              <w:keepNext/>
              <w:keepLines/>
              <w:widowControl w:val="0"/>
              <w:tabs>
                <w:tab w:val="clear" w:pos="567"/>
              </w:tabs>
              <w:rPr>
                <w:color w:val="000000"/>
                <w:szCs w:val="22"/>
                <w:lang w:val="lt-LT"/>
              </w:rPr>
            </w:pPr>
          </w:p>
          <w:p w14:paraId="452B4AA9"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lang w:val="lt-LT"/>
              </w:rPr>
              <w:t>Geriausias atsakas</w:t>
            </w:r>
          </w:p>
        </w:tc>
        <w:tc>
          <w:tcPr>
            <w:tcW w:w="4643" w:type="dxa"/>
            <w:tcBorders>
              <w:left w:val="nil"/>
              <w:bottom w:val="single" w:sz="4" w:space="0" w:color="auto"/>
              <w:right w:val="nil"/>
            </w:tcBorders>
          </w:tcPr>
          <w:p w14:paraId="28DC1262"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Visos dozės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147)</w:t>
            </w:r>
          </w:p>
          <w:p w14:paraId="1DB9FD0A"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400 mg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73)</w:t>
            </w:r>
          </w:p>
          <w:p w14:paraId="032D2E65"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600 mg (n</w:t>
            </w:r>
            <w:r w:rsidR="00B37342" w:rsidRPr="00F93FFA">
              <w:rPr>
                <w:color w:val="000000"/>
                <w:szCs w:val="22"/>
                <w:lang w:val="lt-LT"/>
              </w:rPr>
              <w:t> </w:t>
            </w:r>
            <w:r w:rsidRPr="00F93FFA">
              <w:rPr>
                <w:color w:val="000000"/>
                <w:szCs w:val="22"/>
                <w:lang w:val="lt-LT"/>
              </w:rPr>
              <w:t>=</w:t>
            </w:r>
            <w:r w:rsidR="00B37342" w:rsidRPr="00F93FFA">
              <w:rPr>
                <w:color w:val="000000"/>
                <w:szCs w:val="22"/>
                <w:lang w:val="lt-LT"/>
              </w:rPr>
              <w:t> </w:t>
            </w:r>
            <w:r w:rsidRPr="00F93FFA">
              <w:rPr>
                <w:color w:val="000000"/>
                <w:szCs w:val="22"/>
                <w:lang w:val="lt-LT"/>
              </w:rPr>
              <w:t>74)</w:t>
            </w:r>
          </w:p>
          <w:p w14:paraId="77599049" w14:textId="77777777" w:rsidR="00314B70" w:rsidRPr="00F93FFA" w:rsidRDefault="00314B70" w:rsidP="0003209B">
            <w:pPr>
              <w:pStyle w:val="EndnoteText"/>
              <w:keepNext/>
              <w:keepLines/>
              <w:widowControl w:val="0"/>
              <w:tabs>
                <w:tab w:val="clear" w:pos="567"/>
              </w:tabs>
              <w:jc w:val="center"/>
              <w:rPr>
                <w:color w:val="000000"/>
                <w:szCs w:val="22"/>
                <w:lang w:val="lt-LT"/>
              </w:rPr>
            </w:pPr>
            <w:r w:rsidRPr="00F93FFA">
              <w:rPr>
                <w:color w:val="000000"/>
                <w:szCs w:val="22"/>
                <w:lang w:val="lt-LT"/>
              </w:rPr>
              <w:t>n (%)</w:t>
            </w:r>
          </w:p>
        </w:tc>
      </w:tr>
      <w:tr w:rsidR="00314B70" w:rsidRPr="00F93FFA" w14:paraId="65B44C88" w14:textId="77777777" w:rsidTr="0003209B">
        <w:trPr>
          <w:cantSplit/>
        </w:trPr>
        <w:tc>
          <w:tcPr>
            <w:tcW w:w="4643" w:type="dxa"/>
            <w:tcBorders>
              <w:top w:val="nil"/>
              <w:left w:val="nil"/>
              <w:bottom w:val="nil"/>
              <w:right w:val="nil"/>
            </w:tcBorders>
          </w:tcPr>
          <w:p w14:paraId="43D530A0" w14:textId="77777777" w:rsidR="00314B70" w:rsidRPr="00F93FFA" w:rsidRDefault="00314B70" w:rsidP="0003209B">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Visiškas atsakas</w:t>
            </w:r>
          </w:p>
        </w:tc>
        <w:tc>
          <w:tcPr>
            <w:tcW w:w="4643" w:type="dxa"/>
            <w:tcBorders>
              <w:top w:val="nil"/>
              <w:left w:val="nil"/>
              <w:bottom w:val="nil"/>
              <w:right w:val="nil"/>
            </w:tcBorders>
          </w:tcPr>
          <w:p w14:paraId="64B743E3" w14:textId="5AA43E1F" w:rsidR="00314B70" w:rsidRPr="00F93FFA" w:rsidRDefault="00314B70" w:rsidP="00B37342">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1</w:t>
            </w:r>
            <w:r w:rsidR="00B37342" w:rsidRPr="00F93FFA">
              <w:rPr>
                <w:rFonts w:eastAsia="MS Mincho"/>
                <w:i w:val="0"/>
                <w:color w:val="000000"/>
                <w:szCs w:val="22"/>
                <w:lang w:val="lt-LT"/>
              </w:rPr>
              <w:t> </w:t>
            </w:r>
            <w:r w:rsidRPr="00F93FFA">
              <w:rPr>
                <w:rFonts w:eastAsia="MS Mincho"/>
                <w:i w:val="0"/>
                <w:color w:val="000000"/>
                <w:szCs w:val="22"/>
                <w:lang w:val="lt-LT"/>
              </w:rPr>
              <w:t>(0,7)</w:t>
            </w:r>
          </w:p>
        </w:tc>
      </w:tr>
      <w:tr w:rsidR="00314B70" w:rsidRPr="00F93FFA" w14:paraId="320A54FB" w14:textId="77777777" w:rsidTr="0003209B">
        <w:trPr>
          <w:cantSplit/>
        </w:trPr>
        <w:tc>
          <w:tcPr>
            <w:tcW w:w="4643" w:type="dxa"/>
            <w:tcBorders>
              <w:top w:val="nil"/>
              <w:left w:val="nil"/>
              <w:bottom w:val="nil"/>
              <w:right w:val="nil"/>
            </w:tcBorders>
          </w:tcPr>
          <w:p w14:paraId="50E8DAEB" w14:textId="77777777" w:rsidR="00314B70" w:rsidRPr="00F93FFA" w:rsidRDefault="00314B70" w:rsidP="0003209B">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Dalinis atsakas</w:t>
            </w:r>
          </w:p>
        </w:tc>
        <w:tc>
          <w:tcPr>
            <w:tcW w:w="4643" w:type="dxa"/>
            <w:tcBorders>
              <w:top w:val="nil"/>
              <w:left w:val="nil"/>
              <w:bottom w:val="nil"/>
              <w:right w:val="nil"/>
            </w:tcBorders>
          </w:tcPr>
          <w:p w14:paraId="1023373A"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98 (66,7)</w:t>
            </w:r>
          </w:p>
        </w:tc>
      </w:tr>
      <w:tr w:rsidR="00314B70" w:rsidRPr="00F93FFA" w14:paraId="6A624CBE" w14:textId="77777777" w:rsidTr="0003209B">
        <w:trPr>
          <w:cantSplit/>
        </w:trPr>
        <w:tc>
          <w:tcPr>
            <w:tcW w:w="4643" w:type="dxa"/>
            <w:tcBorders>
              <w:top w:val="nil"/>
              <w:left w:val="nil"/>
              <w:bottom w:val="nil"/>
              <w:right w:val="nil"/>
            </w:tcBorders>
          </w:tcPr>
          <w:p w14:paraId="516B01C4" w14:textId="77777777" w:rsidR="00314B70" w:rsidRPr="00F93FFA" w:rsidRDefault="00314B70" w:rsidP="0003209B">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Stabili liga</w:t>
            </w:r>
          </w:p>
        </w:tc>
        <w:tc>
          <w:tcPr>
            <w:tcW w:w="4643" w:type="dxa"/>
            <w:tcBorders>
              <w:top w:val="nil"/>
              <w:left w:val="nil"/>
              <w:bottom w:val="nil"/>
              <w:right w:val="nil"/>
            </w:tcBorders>
          </w:tcPr>
          <w:p w14:paraId="112F9B37"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23 (15,6)</w:t>
            </w:r>
          </w:p>
        </w:tc>
      </w:tr>
      <w:tr w:rsidR="00314B70" w:rsidRPr="00F93FFA" w14:paraId="65C64723" w14:textId="77777777" w:rsidTr="0003209B">
        <w:trPr>
          <w:cantSplit/>
        </w:trPr>
        <w:tc>
          <w:tcPr>
            <w:tcW w:w="4643" w:type="dxa"/>
            <w:tcBorders>
              <w:top w:val="nil"/>
              <w:left w:val="nil"/>
              <w:bottom w:val="nil"/>
              <w:right w:val="nil"/>
            </w:tcBorders>
          </w:tcPr>
          <w:p w14:paraId="582704F7" w14:textId="77777777" w:rsidR="00314B70" w:rsidRPr="00F93FFA" w:rsidRDefault="00314B70" w:rsidP="0003209B">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Progresuojanti liga</w:t>
            </w:r>
          </w:p>
        </w:tc>
        <w:tc>
          <w:tcPr>
            <w:tcW w:w="4643" w:type="dxa"/>
            <w:tcBorders>
              <w:top w:val="nil"/>
              <w:left w:val="nil"/>
              <w:bottom w:val="nil"/>
              <w:right w:val="nil"/>
            </w:tcBorders>
          </w:tcPr>
          <w:p w14:paraId="6BF65FCE"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18 (12,2)</w:t>
            </w:r>
          </w:p>
        </w:tc>
      </w:tr>
      <w:tr w:rsidR="00314B70" w:rsidRPr="00F93FFA" w14:paraId="75DE7D00" w14:textId="77777777" w:rsidTr="0003209B">
        <w:trPr>
          <w:cantSplit/>
        </w:trPr>
        <w:tc>
          <w:tcPr>
            <w:tcW w:w="4643" w:type="dxa"/>
            <w:tcBorders>
              <w:top w:val="nil"/>
              <w:left w:val="nil"/>
              <w:bottom w:val="nil"/>
              <w:right w:val="nil"/>
            </w:tcBorders>
          </w:tcPr>
          <w:p w14:paraId="02A3F9BD" w14:textId="77777777" w:rsidR="00314B70" w:rsidRPr="00F93FFA" w:rsidRDefault="00314B70" w:rsidP="0003209B">
            <w:pPr>
              <w:pStyle w:val="BodyTextIndent3"/>
              <w:keepNext/>
              <w:keepLines/>
              <w:widowControl w:val="0"/>
              <w:tabs>
                <w:tab w:val="clear" w:pos="567"/>
              </w:tabs>
              <w:spacing w:line="240" w:lineRule="auto"/>
              <w:rPr>
                <w:i w:val="0"/>
                <w:color w:val="000000"/>
                <w:szCs w:val="22"/>
                <w:lang w:val="lt-LT"/>
              </w:rPr>
            </w:pPr>
            <w:r w:rsidRPr="00F93FFA">
              <w:rPr>
                <w:i w:val="0"/>
                <w:color w:val="000000"/>
                <w:szCs w:val="22"/>
                <w:lang w:val="lt-LT"/>
              </w:rPr>
              <w:t>Neįvertinama</w:t>
            </w:r>
          </w:p>
        </w:tc>
        <w:tc>
          <w:tcPr>
            <w:tcW w:w="4643" w:type="dxa"/>
            <w:tcBorders>
              <w:top w:val="nil"/>
              <w:left w:val="nil"/>
              <w:bottom w:val="nil"/>
              <w:right w:val="nil"/>
            </w:tcBorders>
          </w:tcPr>
          <w:p w14:paraId="67B069FA" w14:textId="77777777" w:rsidR="00314B70" w:rsidRPr="00F93FFA" w:rsidRDefault="00314B70" w:rsidP="0003209B">
            <w:pPr>
              <w:pStyle w:val="BodyTextIndent3"/>
              <w:keepNext/>
              <w:keepLines/>
              <w:widowControl w:val="0"/>
              <w:tabs>
                <w:tab w:val="clear" w:pos="567"/>
              </w:tabs>
              <w:spacing w:line="240" w:lineRule="auto"/>
              <w:jc w:val="center"/>
              <w:rPr>
                <w:i w:val="0"/>
                <w:color w:val="000000"/>
                <w:szCs w:val="22"/>
                <w:lang w:val="lt-LT"/>
              </w:rPr>
            </w:pPr>
            <w:r w:rsidRPr="00F93FFA">
              <w:rPr>
                <w:rFonts w:eastAsia="MS Mincho"/>
                <w:i w:val="0"/>
                <w:color w:val="000000"/>
                <w:szCs w:val="22"/>
                <w:lang w:val="lt-LT"/>
              </w:rPr>
              <w:t>5 (3,4)</w:t>
            </w:r>
          </w:p>
        </w:tc>
      </w:tr>
      <w:tr w:rsidR="00314B70" w:rsidRPr="00F93FFA" w14:paraId="57672026" w14:textId="77777777" w:rsidTr="0003209B">
        <w:trPr>
          <w:cantSplit/>
        </w:trPr>
        <w:tc>
          <w:tcPr>
            <w:tcW w:w="4643" w:type="dxa"/>
            <w:tcBorders>
              <w:top w:val="nil"/>
              <w:left w:val="nil"/>
              <w:right w:val="nil"/>
            </w:tcBorders>
          </w:tcPr>
          <w:p w14:paraId="736E7065" w14:textId="77777777" w:rsidR="00314B70" w:rsidRPr="00F93FFA" w:rsidRDefault="00314B70" w:rsidP="0003209B">
            <w:pPr>
              <w:pStyle w:val="EndnoteText"/>
              <w:keepNext/>
              <w:keepLines/>
              <w:widowControl w:val="0"/>
              <w:tabs>
                <w:tab w:val="clear" w:pos="567"/>
              </w:tabs>
              <w:rPr>
                <w:color w:val="000000"/>
                <w:szCs w:val="22"/>
                <w:lang w:val="lt-LT"/>
              </w:rPr>
            </w:pPr>
            <w:r w:rsidRPr="00F93FFA">
              <w:rPr>
                <w:color w:val="000000"/>
                <w:szCs w:val="22"/>
                <w:lang w:val="lt-LT"/>
              </w:rPr>
              <w:t>Nežinoma</w:t>
            </w:r>
          </w:p>
        </w:tc>
        <w:tc>
          <w:tcPr>
            <w:tcW w:w="4643" w:type="dxa"/>
            <w:tcBorders>
              <w:top w:val="nil"/>
              <w:left w:val="nil"/>
              <w:right w:val="nil"/>
            </w:tcBorders>
          </w:tcPr>
          <w:p w14:paraId="6EDAB538" w14:textId="69F01D86" w:rsidR="00314B70" w:rsidRPr="00F93FFA" w:rsidRDefault="00314B70" w:rsidP="00B37342">
            <w:pPr>
              <w:pStyle w:val="EndnoteText"/>
              <w:keepNext/>
              <w:keepLines/>
              <w:widowControl w:val="0"/>
              <w:tabs>
                <w:tab w:val="clear" w:pos="567"/>
              </w:tabs>
              <w:jc w:val="center"/>
              <w:rPr>
                <w:color w:val="000000"/>
                <w:szCs w:val="22"/>
                <w:lang w:val="lt-LT"/>
              </w:rPr>
            </w:pPr>
            <w:r w:rsidRPr="00F93FFA">
              <w:rPr>
                <w:color w:val="000000"/>
                <w:szCs w:val="22"/>
                <w:lang w:val="lt-LT"/>
              </w:rPr>
              <w:t>2</w:t>
            </w:r>
            <w:r w:rsidR="00B37342" w:rsidRPr="00F93FFA">
              <w:rPr>
                <w:color w:val="000000"/>
                <w:szCs w:val="22"/>
                <w:lang w:val="lt-LT"/>
              </w:rPr>
              <w:t> </w:t>
            </w:r>
            <w:r w:rsidRPr="00F93FFA">
              <w:rPr>
                <w:color w:val="000000"/>
                <w:szCs w:val="22"/>
                <w:lang w:val="lt-LT"/>
              </w:rPr>
              <w:t>(1,4)</w:t>
            </w:r>
          </w:p>
        </w:tc>
      </w:tr>
    </w:tbl>
    <w:p w14:paraId="2A4946EB" w14:textId="77777777" w:rsidR="00314B70" w:rsidRPr="00F93FFA" w:rsidRDefault="00314B70" w:rsidP="00DE16D0">
      <w:pPr>
        <w:widowControl w:val="0"/>
        <w:rPr>
          <w:color w:val="000000"/>
          <w:sz w:val="22"/>
          <w:szCs w:val="22"/>
        </w:rPr>
      </w:pPr>
    </w:p>
    <w:p w14:paraId="58327B8A"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Dviejų dozių grupių atsako dažnis nesiskyrė. Preliminariais duomenimis, reikšmingam skaičiui pacientų, kurių liga buvo stabili, ilgiau gydant buvo gautas dalinis atsakas (stebėjimo periodo mediana 31 mėnesių). Atsako trukmės mediana buvo 13 savaičių (95 % PI 12–23). Periodo iki gydymo nesekmės pacientams, kuriems buvo gautas atsakas, mediana buvo 122 savaitės (95 % PI 106–147), o bendroje tyrimo populiacijoje ji buvo 84 savaitės (95 % PI 71–109). Bendrojo išgyvenamumo mediana nebuvo gauta. Kaplan-Meier išgyvenamumo po 36 mėnesių stebėjimo periodo rodiklis buvo 68 %.</w:t>
      </w:r>
    </w:p>
    <w:p w14:paraId="23BA32A1" w14:textId="77777777" w:rsidR="00314B70" w:rsidRPr="00F93FFA" w:rsidRDefault="00314B70" w:rsidP="00DE16D0">
      <w:pPr>
        <w:pStyle w:val="EndnoteText"/>
        <w:widowControl w:val="0"/>
        <w:tabs>
          <w:tab w:val="clear" w:pos="567"/>
        </w:tabs>
        <w:rPr>
          <w:color w:val="000000"/>
          <w:szCs w:val="22"/>
          <w:lang w:val="lt-LT"/>
        </w:rPr>
      </w:pPr>
    </w:p>
    <w:p w14:paraId="393507A1" w14:textId="77777777" w:rsidR="00314B70" w:rsidRPr="00F93FFA" w:rsidRDefault="00314B7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Dviejų klinikinių tyrimų metu (tyrimas B2222 ir tarpgrupinis tyrimas S0033) Glivec paros dozė puvo padidinta iki 800 mg pacientams, kurių liga progresavo vartojant mažesnes 400 mg ar 600 mg paros dozes. Iki 800 mg paros dozė buvo padidinta iš viso 103 pacientams; 6 pacientams buvo gautas dalinis atsakas, 21 pacientui po dozės padidinimo liga stabilizavosi, bendroji klinikinė nauda buvo 26 %. Remiantis turimais saugumo duomenimis, dozės didinimas nuo mažesnių 400 mg ar 600 mg dozių per parą iki 800 mg per parą Glivec saugumo rodiklių, atrodo nepaveikė.</w:t>
      </w:r>
    </w:p>
    <w:p w14:paraId="42728DB8" w14:textId="77777777" w:rsidR="00314B70" w:rsidRPr="00F93FFA" w:rsidRDefault="00314B70" w:rsidP="0003209B">
      <w:pPr>
        <w:pStyle w:val="EndnoteText"/>
        <w:widowControl w:val="0"/>
        <w:tabs>
          <w:tab w:val="clear" w:pos="567"/>
        </w:tabs>
        <w:rPr>
          <w:color w:val="000000"/>
          <w:szCs w:val="22"/>
          <w:lang w:val="lt-LT"/>
        </w:rPr>
      </w:pPr>
    </w:p>
    <w:p w14:paraId="3FB3AAB4" w14:textId="77777777" w:rsidR="00314B70" w:rsidRPr="00F93FFA" w:rsidRDefault="00314B70" w:rsidP="00DE16D0">
      <w:pPr>
        <w:pStyle w:val="Nottoc-headings"/>
        <w:widowControl w:val="0"/>
        <w:spacing w:before="0" w:after="0"/>
        <w:rPr>
          <w:rFonts w:ascii="Times New Roman" w:eastAsia="MS Mincho" w:hAnsi="Times New Roman"/>
          <w:b w:val="0"/>
          <w:color w:val="000000"/>
          <w:sz w:val="22"/>
          <w:szCs w:val="22"/>
          <w:u w:val="single"/>
          <w:lang w:val="lt-LT" w:eastAsia="ja-JP"/>
        </w:rPr>
      </w:pPr>
      <w:r w:rsidRPr="00F93FFA">
        <w:rPr>
          <w:rFonts w:ascii="Times New Roman" w:eastAsia="MS Mincho" w:hAnsi="Times New Roman"/>
          <w:b w:val="0"/>
          <w:color w:val="000000"/>
          <w:sz w:val="22"/>
          <w:szCs w:val="22"/>
          <w:u w:val="single"/>
          <w:lang w:val="lt-LT" w:eastAsia="ja-JP"/>
        </w:rPr>
        <w:t>Klinikiniai adjuvantinio VTSN gydymo tyrimai</w:t>
      </w:r>
    </w:p>
    <w:p w14:paraId="6AA89394" w14:textId="77777777" w:rsidR="00314B70" w:rsidRPr="00F93FFA" w:rsidRDefault="00314B7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Pagalbiniam VTSN gydymui naudojamas Glivec buvo tirtas daugiacentrio, dvigubai aklo, ilgalaikio gydymo, placebu kontroliuojamo III fazės klinikinio tyrimo (Z9001), kuriame dalyvavo 773 pacientai, metu. Šie pacientai buvo 18–91 metų amžiaus. Į tyrimą buvo įtraukti pacientai, kuriems histologiškai buvo patvirtinta pirminio VTSN su imunocheminiu būdu nustatyta Kit baltymo ekspresija diagnozė ir kurių naviko didžiausias matmuo buvo ≥ 3 cm bei kuriems prieš 14</w:t>
      </w:r>
      <w:r w:rsidRPr="00F93FFA">
        <w:rPr>
          <w:rFonts w:eastAsia="MS Mincho"/>
          <w:color w:val="000000"/>
          <w:sz w:val="22"/>
          <w:szCs w:val="22"/>
          <w:lang w:val="lt-LT" w:eastAsia="ja-JP"/>
        </w:rPr>
        <w:noBreakHyphen/>
        <w:t>70 dienų iki įtraukimo į tyrimą buvo atlikta radikali pirminio VTSN rezekcija. Po pirminio VTSN rezekcijos pacientai atsitiktiniu būdu buvo suskirstyti į dvi gydymo grupes: Glivec 400 mg per parą arba placebo grupes (gydymas buvo skiriamas vienerius metus).</w:t>
      </w:r>
    </w:p>
    <w:p w14:paraId="60328CF3"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0E562D9B" w14:textId="77777777" w:rsidR="00314B70" w:rsidRPr="00F93FFA" w:rsidRDefault="00314B7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Pirminė vertinamoji klinikinio tyrimo baigtis buvo išgyvenamumas be ligos recidyvo (angl. recurrence-free survival – RFS), nustatomas kaip laikas nuo randomizacijos dienos iki recidyvo pasireiškimo dienos arba mirties dėl bet kokios priežasties.</w:t>
      </w:r>
    </w:p>
    <w:p w14:paraId="1B20594B"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430E5EBF" w14:textId="751D98A4" w:rsidR="00314B70" w:rsidRPr="00F93FFA" w:rsidRDefault="00314B70" w:rsidP="00DE16D0">
      <w:pPr>
        <w:pStyle w:val="Text"/>
        <w:widowControl w:val="0"/>
        <w:spacing w:before="0"/>
        <w:jc w:val="left"/>
        <w:rPr>
          <w:rFonts w:eastAsia="MS Mincho"/>
          <w:color w:val="000000"/>
          <w:sz w:val="22"/>
          <w:szCs w:val="22"/>
          <w:lang w:val="lt-LT" w:eastAsia="ja-JP"/>
        </w:rPr>
      </w:pPr>
      <w:r w:rsidRPr="00F93FFA">
        <w:rPr>
          <w:rFonts w:eastAsia="MS Mincho"/>
          <w:color w:val="000000"/>
          <w:sz w:val="22"/>
          <w:szCs w:val="22"/>
          <w:lang w:val="lt-LT" w:eastAsia="ja-JP"/>
        </w:rPr>
        <w:t>Glivec reikšmingai pailgino RFS rodiklį; 75 % pacientų, kuriems nepasireiškė ligos recidyvas 38 mėnesius, lyginant su 20 mėnesių laikotarpiu placebo grupėje (95 % PI, [30 - nevertintinas]; [14</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w:t>
      </w:r>
      <w:r w:rsidR="00B37342" w:rsidRPr="00F93FFA">
        <w:rPr>
          <w:rFonts w:eastAsia="MS Mincho"/>
          <w:color w:val="000000"/>
          <w:sz w:val="22"/>
          <w:szCs w:val="22"/>
          <w:lang w:val="lt-LT" w:eastAsia="ja-JP"/>
        </w:rPr>
        <w:t> </w:t>
      </w:r>
      <w:r w:rsidRPr="00F93FFA">
        <w:rPr>
          <w:rFonts w:eastAsia="MS Mincho"/>
          <w:color w:val="000000"/>
          <w:sz w:val="22"/>
          <w:szCs w:val="22"/>
          <w:lang w:val="lt-LT" w:eastAsia="ja-JP"/>
        </w:rPr>
        <w:t>nevertintinas], atitinkamai); (rizikos santykis = 0,398 [0,259</w:t>
      </w:r>
      <w:r w:rsidRPr="00F93FFA">
        <w:rPr>
          <w:rFonts w:eastAsia="MS Mincho"/>
          <w:color w:val="000000"/>
          <w:sz w:val="22"/>
          <w:szCs w:val="22"/>
          <w:lang w:val="lt-LT" w:eastAsia="ja-JP"/>
        </w:rPr>
        <w:noBreakHyphen/>
        <w:t>0,610], p&lt;0,0001). Vertinant po vienerių gydymo metų, bendrojo RFS rodiklis Glivec grupėje buvo reikšmingai geresnis lyginant su placebo grupe (atitinkamai 97,7 % ir 82,3 %; p&lt;0,0001). Taigi, ligos recidyvo atsiradimo rizika buvo sumažinta apytiksliai 89 %, lyginant su placebu (rizikos santykis = 0,113 [0,049</w:t>
      </w:r>
      <w:r w:rsidRPr="00F93FFA">
        <w:rPr>
          <w:rFonts w:eastAsia="MS Mincho"/>
          <w:color w:val="000000"/>
          <w:sz w:val="22"/>
          <w:szCs w:val="22"/>
          <w:lang w:val="lt-LT" w:eastAsia="ja-JP"/>
        </w:rPr>
        <w:noBreakHyphen/>
        <w:t>0,264]).</w:t>
      </w:r>
    </w:p>
    <w:p w14:paraId="1955B0B0"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0768079D" w14:textId="77777777" w:rsidR="00314B70" w:rsidRPr="00F93FFA" w:rsidRDefault="00314B7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 xml:space="preserve">Pacientams po pirminio </w:t>
      </w:r>
      <w:r w:rsidRPr="00F93FFA">
        <w:rPr>
          <w:color w:val="000000"/>
          <w:sz w:val="22"/>
          <w:szCs w:val="22"/>
          <w:lang w:val="lt-LT"/>
        </w:rPr>
        <w:t xml:space="preserve">VTSN </w:t>
      </w:r>
      <w:r w:rsidRPr="00F93FFA">
        <w:rPr>
          <w:rFonts w:eastAsia="MS Mincho"/>
          <w:color w:val="000000"/>
          <w:sz w:val="22"/>
          <w:szCs w:val="22"/>
          <w:lang w:val="lt-LT" w:eastAsia="ja-JP"/>
        </w:rPr>
        <w:t xml:space="preserve">operacinio </w:t>
      </w:r>
      <w:r w:rsidRPr="00F93FFA">
        <w:rPr>
          <w:color w:val="000000"/>
          <w:sz w:val="22"/>
          <w:szCs w:val="22"/>
          <w:lang w:val="lt-LT"/>
        </w:rPr>
        <w:t>gydymo l</w:t>
      </w:r>
      <w:r w:rsidRPr="00F93FFA">
        <w:rPr>
          <w:rFonts w:eastAsia="MS Mincho"/>
          <w:color w:val="000000"/>
          <w:sz w:val="22"/>
          <w:szCs w:val="22"/>
          <w:lang w:val="lt-LT" w:eastAsia="ja-JP"/>
        </w:rPr>
        <w:t xml:space="preserve">igos recidyvo rizika </w:t>
      </w:r>
      <w:r w:rsidRPr="00F93FFA">
        <w:rPr>
          <w:color w:val="000000"/>
          <w:sz w:val="22"/>
          <w:szCs w:val="22"/>
          <w:lang w:val="lt-LT"/>
        </w:rPr>
        <w:t xml:space="preserve">buvo įvertinta retrospektyviai, remiantis toliau nurodytais prognostiniais veiksniais: naviko dydžiu, mitozės indeksu ir naviko lokalizacija. Mitozės indekso duomenys surinkti 556 pacientams iš 713 atrinktos gydymui (angl. </w:t>
      </w:r>
      <w:r w:rsidRPr="00F93FFA">
        <w:rPr>
          <w:rFonts w:eastAsia="MS Mincho"/>
          <w:i/>
          <w:color w:val="000000"/>
          <w:sz w:val="22"/>
          <w:szCs w:val="22"/>
          <w:lang w:val="lt-LT" w:eastAsia="ja-JP"/>
        </w:rPr>
        <w:t>intention-to-treat</w:t>
      </w:r>
      <w:r w:rsidRPr="00F93FFA">
        <w:rPr>
          <w:rFonts w:eastAsia="MS Mincho"/>
          <w:color w:val="000000"/>
          <w:sz w:val="22"/>
          <w:szCs w:val="22"/>
          <w:lang w:val="lt-LT" w:eastAsia="ja-JP"/>
        </w:rPr>
        <w:t xml:space="preserve"> – ITT</w:t>
      </w:r>
      <w:r w:rsidRPr="00F93FFA">
        <w:rPr>
          <w:color w:val="000000"/>
          <w:sz w:val="22"/>
          <w:szCs w:val="22"/>
          <w:lang w:val="lt-LT"/>
        </w:rPr>
        <w:t>) populiacijos asmenų. Remiantis Jungtinių valstijų sveikatos nacionalinio instituto (</w:t>
      </w:r>
      <w:r w:rsidRPr="00F93FFA">
        <w:rPr>
          <w:rFonts w:eastAsia="MS Mincho"/>
          <w:color w:val="000000"/>
          <w:sz w:val="22"/>
          <w:szCs w:val="22"/>
          <w:lang w:val="lt-LT" w:eastAsia="ja-JP"/>
        </w:rPr>
        <w:t xml:space="preserve">United States National Institutes of Health - </w:t>
      </w:r>
      <w:r w:rsidRPr="00F93FFA">
        <w:rPr>
          <w:color w:val="000000"/>
          <w:sz w:val="22"/>
          <w:szCs w:val="22"/>
          <w:lang w:val="lt-LT"/>
        </w:rPr>
        <w:t>NIH) ir Ginkluotųjų pajėgų patologijos instituto (</w:t>
      </w:r>
      <w:r w:rsidRPr="00F93FFA">
        <w:rPr>
          <w:rFonts w:eastAsia="MS Mincho"/>
          <w:color w:val="000000"/>
          <w:sz w:val="22"/>
          <w:szCs w:val="22"/>
          <w:lang w:val="lt-LT" w:eastAsia="ja-JP"/>
        </w:rPr>
        <w:t>Armed Forces Institute of Pathology – AFIP)</w:t>
      </w:r>
      <w:r w:rsidRPr="00F93FFA">
        <w:rPr>
          <w:color w:val="000000"/>
          <w:sz w:val="22"/>
          <w:szCs w:val="22"/>
          <w:lang w:val="lt-LT"/>
        </w:rPr>
        <w:t xml:space="preserve"> sudaryta rizikos klasifikacija, pacientų pogrupių analizės rezultatai pateikti </w:t>
      </w:r>
      <w:r w:rsidR="00BC035E" w:rsidRPr="00F93FFA">
        <w:rPr>
          <w:color w:val="000000"/>
          <w:sz w:val="22"/>
          <w:szCs w:val="22"/>
          <w:lang w:val="lt-LT"/>
        </w:rPr>
        <w:t>7</w:t>
      </w:r>
      <w:r w:rsidRPr="00F93FFA">
        <w:rPr>
          <w:color w:val="000000"/>
          <w:sz w:val="22"/>
          <w:szCs w:val="22"/>
          <w:lang w:val="lt-LT"/>
        </w:rPr>
        <w:t> lentelėje. Žemos ir labai žemos rizikos grupėje vaistinio preparato naudos nepastebėta. Bendram išgyvenamumui naudos nepastebėta.</w:t>
      </w:r>
    </w:p>
    <w:p w14:paraId="3CF8C3F0" w14:textId="77777777" w:rsidR="00314B70" w:rsidRPr="00F93FFA" w:rsidRDefault="00314B70" w:rsidP="00DE16D0">
      <w:pPr>
        <w:pStyle w:val="Text"/>
        <w:widowControl w:val="0"/>
        <w:spacing w:before="0"/>
        <w:jc w:val="left"/>
        <w:rPr>
          <w:lang w:val="lt-LT"/>
        </w:rPr>
      </w:pPr>
    </w:p>
    <w:p w14:paraId="2E81A6FB" w14:textId="77777777" w:rsidR="00314B70" w:rsidRPr="00F93FFA" w:rsidRDefault="00BC035E" w:rsidP="0003209B">
      <w:pPr>
        <w:pStyle w:val="Heading6"/>
        <w:keepLines/>
        <w:widowControl w:val="0"/>
        <w:tabs>
          <w:tab w:val="clear" w:pos="567"/>
          <w:tab w:val="clear" w:pos="4536"/>
          <w:tab w:val="left" w:pos="1134"/>
        </w:tabs>
        <w:spacing w:line="240" w:lineRule="auto"/>
        <w:ind w:left="1080" w:hanging="1080"/>
        <w:rPr>
          <w:rFonts w:eastAsia="MS Mincho"/>
          <w:b/>
          <w:i w:val="0"/>
          <w:color w:val="000000"/>
          <w:szCs w:val="22"/>
          <w:lang w:val="lt-LT" w:eastAsia="ja-JP"/>
        </w:rPr>
      </w:pPr>
      <w:r w:rsidRPr="00F93FFA">
        <w:rPr>
          <w:rFonts w:eastAsia="MS Mincho"/>
          <w:b/>
          <w:i w:val="0"/>
          <w:color w:val="000000"/>
          <w:szCs w:val="22"/>
          <w:lang w:val="lt-LT" w:eastAsia="ja-JP"/>
        </w:rPr>
        <w:lastRenderedPageBreak/>
        <w:t>7</w:t>
      </w:r>
      <w:r w:rsidR="00314B70" w:rsidRPr="00F93FFA">
        <w:rPr>
          <w:rFonts w:eastAsia="MS Mincho"/>
          <w:b/>
          <w:i w:val="0"/>
          <w:color w:val="000000"/>
          <w:szCs w:val="22"/>
          <w:lang w:val="lt-LT" w:eastAsia="ja-JP"/>
        </w:rPr>
        <w:t> lentelė</w:t>
      </w:r>
      <w:r w:rsidR="00314B70" w:rsidRPr="00F93FFA">
        <w:rPr>
          <w:rFonts w:eastAsia="MS Mincho"/>
          <w:b/>
          <w:i w:val="0"/>
          <w:color w:val="000000"/>
          <w:szCs w:val="22"/>
          <w:lang w:val="lt-LT" w:eastAsia="ja-JP"/>
        </w:rPr>
        <w:tab/>
        <w:t>Z9001 klinikinio tyrimo RFS analizės pagal NIH ir AFIP rizikos klasifikacijas santrauka</w:t>
      </w:r>
    </w:p>
    <w:p w14:paraId="3EEFA807" w14:textId="77777777" w:rsidR="00314B70" w:rsidRPr="00F93FFA" w:rsidRDefault="00314B70" w:rsidP="0003209B">
      <w:pPr>
        <w:pStyle w:val="Text"/>
        <w:keepNext/>
        <w:keepLines/>
        <w:widowControl w:val="0"/>
        <w:spacing w:before="0"/>
        <w:rPr>
          <w:sz w:val="22"/>
          <w:szCs w:val="22"/>
          <w:lang w:val="lt-LT"/>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276"/>
        <w:gridCol w:w="1134"/>
        <w:gridCol w:w="2083"/>
        <w:gridCol w:w="1732"/>
        <w:gridCol w:w="1414"/>
        <w:gridCol w:w="1372"/>
      </w:tblGrid>
      <w:tr w:rsidR="00314B70" w:rsidRPr="00F93FFA" w14:paraId="35B95970" w14:textId="77777777" w:rsidTr="0003209B">
        <w:trPr>
          <w:cantSplit/>
        </w:trPr>
        <w:tc>
          <w:tcPr>
            <w:tcW w:w="1129" w:type="dxa"/>
            <w:vMerge w:val="restart"/>
          </w:tcPr>
          <w:p w14:paraId="0B0DDAE7"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Rizikos kriterijai</w:t>
            </w:r>
          </w:p>
        </w:tc>
        <w:tc>
          <w:tcPr>
            <w:tcW w:w="1276" w:type="dxa"/>
            <w:vMerge w:val="restart"/>
            <w:tcBorders>
              <w:right w:val="single" w:sz="4" w:space="0" w:color="auto"/>
            </w:tcBorders>
          </w:tcPr>
          <w:p w14:paraId="2D9398E6"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r w:rsidRPr="00F93FFA">
              <w:rPr>
                <w:rFonts w:ascii="Times New Roman" w:hAnsi="Times New Roman"/>
                <w:b/>
                <w:sz w:val="22"/>
                <w:szCs w:val="22"/>
              </w:rPr>
              <w:t xml:space="preserve">Rizikos lygis </w:t>
            </w:r>
          </w:p>
        </w:tc>
        <w:tc>
          <w:tcPr>
            <w:tcW w:w="1134" w:type="dxa"/>
            <w:vMerge w:val="restart"/>
            <w:tcBorders>
              <w:left w:val="single" w:sz="4" w:space="0" w:color="auto"/>
              <w:right w:val="single" w:sz="4" w:space="0" w:color="auto"/>
            </w:tcBorders>
          </w:tcPr>
          <w:p w14:paraId="125D8640"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 xml:space="preserve">Pacientų skaičius% </w:t>
            </w:r>
          </w:p>
        </w:tc>
        <w:tc>
          <w:tcPr>
            <w:tcW w:w="2083" w:type="dxa"/>
            <w:vMerge w:val="restart"/>
            <w:tcBorders>
              <w:left w:val="single" w:sz="4" w:space="0" w:color="auto"/>
              <w:right w:val="single" w:sz="4" w:space="0" w:color="auto"/>
            </w:tcBorders>
          </w:tcPr>
          <w:p w14:paraId="28F3FECC"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Atvejų skaičius /</w:t>
            </w:r>
          </w:p>
          <w:p w14:paraId="33829EC5"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Pacientų skaičius</w:t>
            </w:r>
          </w:p>
        </w:tc>
        <w:tc>
          <w:tcPr>
            <w:tcW w:w="1732" w:type="dxa"/>
            <w:vMerge w:val="restart"/>
            <w:tcBorders>
              <w:left w:val="single" w:sz="4" w:space="0" w:color="auto"/>
              <w:right w:val="single" w:sz="4" w:space="0" w:color="auto"/>
            </w:tcBorders>
          </w:tcPr>
          <w:p w14:paraId="3511AA0F"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Bendrasis rizikos santykis (95 % PI)*</w:t>
            </w:r>
          </w:p>
        </w:tc>
        <w:tc>
          <w:tcPr>
            <w:tcW w:w="2786" w:type="dxa"/>
            <w:gridSpan w:val="2"/>
            <w:tcBorders>
              <w:left w:val="single" w:sz="4" w:space="0" w:color="auto"/>
            </w:tcBorders>
          </w:tcPr>
          <w:p w14:paraId="01B5C7A9"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RFS dažnis (%)</w:t>
            </w:r>
          </w:p>
        </w:tc>
      </w:tr>
      <w:tr w:rsidR="00314B70" w:rsidRPr="00F93FFA" w14:paraId="1F4B3653" w14:textId="77777777" w:rsidTr="0003209B">
        <w:trPr>
          <w:cantSplit/>
        </w:trPr>
        <w:tc>
          <w:tcPr>
            <w:tcW w:w="1129" w:type="dxa"/>
            <w:vMerge/>
          </w:tcPr>
          <w:p w14:paraId="22A8FCA0"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276" w:type="dxa"/>
            <w:vMerge/>
            <w:tcBorders>
              <w:right w:val="single" w:sz="4" w:space="0" w:color="auto"/>
            </w:tcBorders>
          </w:tcPr>
          <w:p w14:paraId="47F055EC"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134" w:type="dxa"/>
            <w:vMerge/>
            <w:tcBorders>
              <w:left w:val="single" w:sz="4" w:space="0" w:color="auto"/>
              <w:right w:val="single" w:sz="4" w:space="0" w:color="auto"/>
            </w:tcBorders>
          </w:tcPr>
          <w:p w14:paraId="6A1D29BB"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p>
        </w:tc>
        <w:tc>
          <w:tcPr>
            <w:tcW w:w="2083" w:type="dxa"/>
            <w:vMerge/>
            <w:tcBorders>
              <w:left w:val="single" w:sz="4" w:space="0" w:color="auto"/>
              <w:right w:val="single" w:sz="4" w:space="0" w:color="auto"/>
            </w:tcBorders>
          </w:tcPr>
          <w:p w14:paraId="7BD6D375"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p>
        </w:tc>
        <w:tc>
          <w:tcPr>
            <w:tcW w:w="1732" w:type="dxa"/>
            <w:vMerge/>
            <w:tcBorders>
              <w:left w:val="single" w:sz="4" w:space="0" w:color="auto"/>
              <w:right w:val="single" w:sz="4" w:space="0" w:color="auto"/>
            </w:tcBorders>
          </w:tcPr>
          <w:p w14:paraId="7B7B1840"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414" w:type="dxa"/>
            <w:tcBorders>
              <w:left w:val="single" w:sz="4" w:space="0" w:color="auto"/>
              <w:right w:val="single" w:sz="4" w:space="0" w:color="auto"/>
            </w:tcBorders>
          </w:tcPr>
          <w:p w14:paraId="3C5E4D0E"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12 mėn.</w:t>
            </w:r>
          </w:p>
        </w:tc>
        <w:tc>
          <w:tcPr>
            <w:tcW w:w="1372" w:type="dxa"/>
            <w:tcBorders>
              <w:left w:val="single" w:sz="4" w:space="0" w:color="auto"/>
            </w:tcBorders>
          </w:tcPr>
          <w:p w14:paraId="08BEEB08"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24 mėn.</w:t>
            </w:r>
          </w:p>
        </w:tc>
      </w:tr>
      <w:tr w:rsidR="00314B70" w:rsidRPr="00F93FFA" w14:paraId="01A64A1A" w14:textId="77777777" w:rsidTr="0003209B">
        <w:trPr>
          <w:cantSplit/>
        </w:trPr>
        <w:tc>
          <w:tcPr>
            <w:tcW w:w="1129" w:type="dxa"/>
            <w:vMerge/>
          </w:tcPr>
          <w:p w14:paraId="236FCC45"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276" w:type="dxa"/>
            <w:vMerge/>
            <w:tcBorders>
              <w:right w:val="single" w:sz="4" w:space="0" w:color="auto"/>
            </w:tcBorders>
          </w:tcPr>
          <w:p w14:paraId="12FC3CCD"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134" w:type="dxa"/>
            <w:vMerge/>
            <w:tcBorders>
              <w:left w:val="single" w:sz="4" w:space="0" w:color="auto"/>
              <w:right w:val="single" w:sz="4" w:space="0" w:color="auto"/>
            </w:tcBorders>
          </w:tcPr>
          <w:p w14:paraId="71B52DC1"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4EA94889"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c>
          <w:tcPr>
            <w:tcW w:w="1732" w:type="dxa"/>
            <w:vMerge/>
            <w:tcBorders>
              <w:left w:val="single" w:sz="4" w:space="0" w:color="auto"/>
              <w:bottom w:val="single" w:sz="4" w:space="0" w:color="auto"/>
              <w:right w:val="single" w:sz="4" w:space="0" w:color="auto"/>
            </w:tcBorders>
          </w:tcPr>
          <w:p w14:paraId="4F50A0B0"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p>
        </w:tc>
        <w:tc>
          <w:tcPr>
            <w:tcW w:w="1414" w:type="dxa"/>
            <w:tcBorders>
              <w:left w:val="single" w:sz="4" w:space="0" w:color="auto"/>
              <w:bottom w:val="single" w:sz="4" w:space="0" w:color="auto"/>
              <w:right w:val="single" w:sz="4" w:space="0" w:color="auto"/>
            </w:tcBorders>
          </w:tcPr>
          <w:p w14:paraId="63314F82"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c>
          <w:tcPr>
            <w:tcW w:w="1372" w:type="dxa"/>
            <w:tcBorders>
              <w:left w:val="single" w:sz="4" w:space="0" w:color="auto"/>
            </w:tcBorders>
          </w:tcPr>
          <w:p w14:paraId="75C42AAE" w14:textId="77777777" w:rsidR="00314B70" w:rsidRPr="00F93FFA" w:rsidRDefault="00314B70" w:rsidP="0003209B">
            <w:pPr>
              <w:pStyle w:val="Table"/>
              <w:widowControl w:val="0"/>
              <w:tabs>
                <w:tab w:val="left" w:pos="567"/>
              </w:tabs>
              <w:spacing w:before="0" w:after="0"/>
              <w:jc w:val="center"/>
              <w:rPr>
                <w:rFonts w:ascii="Times New Roman" w:hAnsi="Times New Roman"/>
                <w:b/>
                <w:sz w:val="22"/>
                <w:szCs w:val="22"/>
              </w:rPr>
            </w:pPr>
            <w:r w:rsidRPr="00F93FFA">
              <w:rPr>
                <w:rFonts w:ascii="Times New Roman" w:hAnsi="Times New Roman"/>
                <w:b/>
                <w:sz w:val="22"/>
                <w:szCs w:val="22"/>
              </w:rPr>
              <w:t>Glivec lyginant su placebu</w:t>
            </w:r>
          </w:p>
        </w:tc>
      </w:tr>
      <w:tr w:rsidR="00314B70" w:rsidRPr="00F93FFA" w14:paraId="7CDC3546" w14:textId="77777777" w:rsidTr="0003209B">
        <w:trPr>
          <w:cantSplit/>
        </w:trPr>
        <w:tc>
          <w:tcPr>
            <w:tcW w:w="1129" w:type="dxa"/>
            <w:vMerge w:val="restart"/>
            <w:shd w:val="clear" w:color="auto" w:fill="auto"/>
          </w:tcPr>
          <w:p w14:paraId="637588B5" w14:textId="77777777" w:rsidR="00314B70" w:rsidRPr="00F93FFA" w:rsidRDefault="00314B70" w:rsidP="0003209B">
            <w:pPr>
              <w:keepNext/>
              <w:keepLines/>
              <w:widowControl w:val="0"/>
              <w:tabs>
                <w:tab w:val="left" w:pos="567"/>
              </w:tabs>
              <w:rPr>
                <w:sz w:val="22"/>
                <w:szCs w:val="22"/>
              </w:rPr>
            </w:pPr>
            <w:r w:rsidRPr="00F93FFA">
              <w:rPr>
                <w:sz w:val="22"/>
                <w:szCs w:val="22"/>
              </w:rPr>
              <w:t>NIH</w:t>
            </w:r>
          </w:p>
          <w:p w14:paraId="2F0A699D" w14:textId="77777777" w:rsidR="00314B70" w:rsidRPr="00F93FFA" w:rsidRDefault="00314B70" w:rsidP="0003209B">
            <w:pPr>
              <w:pStyle w:val="Text"/>
              <w:keepNext/>
              <w:keepLines/>
              <w:widowControl w:val="0"/>
              <w:tabs>
                <w:tab w:val="left" w:pos="567"/>
              </w:tabs>
              <w:spacing w:before="0"/>
              <w:rPr>
                <w:sz w:val="22"/>
                <w:szCs w:val="22"/>
              </w:rPr>
            </w:pPr>
          </w:p>
        </w:tc>
        <w:tc>
          <w:tcPr>
            <w:tcW w:w="1276" w:type="dxa"/>
            <w:tcBorders>
              <w:bottom w:val="nil"/>
              <w:right w:val="single" w:sz="4" w:space="0" w:color="auto"/>
            </w:tcBorders>
            <w:vAlign w:val="bottom"/>
          </w:tcPr>
          <w:p w14:paraId="3D827384" w14:textId="77777777" w:rsidR="00314B70" w:rsidRPr="00F93FFA" w:rsidRDefault="00314B70" w:rsidP="0003209B">
            <w:pPr>
              <w:keepNext/>
              <w:keepLines/>
              <w:widowControl w:val="0"/>
              <w:tabs>
                <w:tab w:val="left" w:pos="567"/>
              </w:tabs>
              <w:ind w:left="57" w:hanging="57"/>
              <w:rPr>
                <w:sz w:val="22"/>
                <w:szCs w:val="22"/>
              </w:rPr>
            </w:pPr>
            <w:r w:rsidRPr="00F93FFA">
              <w:rPr>
                <w:sz w:val="22"/>
                <w:szCs w:val="22"/>
              </w:rPr>
              <w:t>Maža</w:t>
            </w:r>
          </w:p>
        </w:tc>
        <w:tc>
          <w:tcPr>
            <w:tcW w:w="1134" w:type="dxa"/>
            <w:tcBorders>
              <w:left w:val="single" w:sz="4" w:space="0" w:color="auto"/>
              <w:bottom w:val="nil"/>
              <w:right w:val="single" w:sz="4" w:space="0" w:color="auto"/>
            </w:tcBorders>
            <w:vAlign w:val="bottom"/>
          </w:tcPr>
          <w:p w14:paraId="509673BB" w14:textId="77777777" w:rsidR="00314B70" w:rsidRPr="00F93FFA" w:rsidRDefault="00314B70" w:rsidP="0003209B">
            <w:pPr>
              <w:keepNext/>
              <w:keepLines/>
              <w:widowControl w:val="0"/>
              <w:tabs>
                <w:tab w:val="left" w:pos="567"/>
              </w:tabs>
              <w:ind w:left="57" w:hanging="57"/>
              <w:jc w:val="center"/>
              <w:rPr>
                <w:sz w:val="22"/>
                <w:szCs w:val="22"/>
              </w:rPr>
            </w:pPr>
            <w:r w:rsidRPr="00F93FFA">
              <w:rPr>
                <w:sz w:val="22"/>
                <w:szCs w:val="22"/>
              </w:rPr>
              <w:t>29,5</w:t>
            </w:r>
          </w:p>
        </w:tc>
        <w:tc>
          <w:tcPr>
            <w:tcW w:w="2083" w:type="dxa"/>
            <w:tcBorders>
              <w:left w:val="single" w:sz="4" w:space="0" w:color="auto"/>
              <w:bottom w:val="nil"/>
              <w:right w:val="single" w:sz="4" w:space="0" w:color="auto"/>
            </w:tcBorders>
            <w:vAlign w:val="bottom"/>
          </w:tcPr>
          <w:p w14:paraId="36E2B28A" w14:textId="77777777" w:rsidR="00314B70" w:rsidRPr="00F93FFA" w:rsidRDefault="00314B70" w:rsidP="0003209B">
            <w:pPr>
              <w:keepNext/>
              <w:keepLines/>
              <w:widowControl w:val="0"/>
              <w:tabs>
                <w:tab w:val="left" w:pos="567"/>
              </w:tabs>
              <w:ind w:left="57" w:hanging="57"/>
              <w:rPr>
                <w:sz w:val="22"/>
                <w:szCs w:val="22"/>
              </w:rPr>
            </w:pPr>
            <w:r w:rsidRPr="00F93FFA">
              <w:rPr>
                <w:sz w:val="22"/>
                <w:szCs w:val="22"/>
              </w:rPr>
              <w:t>0/86 ir 2/90</w:t>
            </w:r>
          </w:p>
        </w:tc>
        <w:tc>
          <w:tcPr>
            <w:tcW w:w="1732" w:type="dxa"/>
            <w:tcBorders>
              <w:left w:val="single" w:sz="4" w:space="0" w:color="auto"/>
              <w:bottom w:val="nil"/>
              <w:right w:val="single" w:sz="4" w:space="0" w:color="auto"/>
            </w:tcBorders>
            <w:vAlign w:val="bottom"/>
          </w:tcPr>
          <w:p w14:paraId="31E8174C" w14:textId="77777777" w:rsidR="00314B70" w:rsidRPr="00F93FFA" w:rsidRDefault="00314B70" w:rsidP="0003209B">
            <w:pPr>
              <w:keepNext/>
              <w:keepLines/>
              <w:widowControl w:val="0"/>
              <w:tabs>
                <w:tab w:val="left" w:pos="567"/>
              </w:tabs>
              <w:ind w:left="57" w:hanging="57"/>
              <w:rPr>
                <w:sz w:val="22"/>
                <w:szCs w:val="22"/>
              </w:rPr>
            </w:pPr>
            <w:r w:rsidRPr="00F93FFA">
              <w:rPr>
                <w:sz w:val="22"/>
                <w:szCs w:val="22"/>
              </w:rPr>
              <w:t>N.R.</w:t>
            </w:r>
          </w:p>
        </w:tc>
        <w:tc>
          <w:tcPr>
            <w:tcW w:w="1414" w:type="dxa"/>
            <w:tcBorders>
              <w:left w:val="single" w:sz="4" w:space="0" w:color="auto"/>
              <w:bottom w:val="nil"/>
              <w:right w:val="single" w:sz="4" w:space="0" w:color="auto"/>
            </w:tcBorders>
            <w:vAlign w:val="bottom"/>
          </w:tcPr>
          <w:p w14:paraId="2FD29D2C" w14:textId="77777777" w:rsidR="00314B70" w:rsidRPr="00F93FFA" w:rsidRDefault="00314B70" w:rsidP="0003209B">
            <w:pPr>
              <w:keepNext/>
              <w:keepLines/>
              <w:widowControl w:val="0"/>
              <w:tabs>
                <w:tab w:val="left" w:pos="567"/>
              </w:tabs>
              <w:ind w:left="57" w:hanging="57"/>
              <w:rPr>
                <w:sz w:val="22"/>
                <w:szCs w:val="22"/>
              </w:rPr>
            </w:pPr>
            <w:r w:rsidRPr="00F93FFA">
              <w:rPr>
                <w:sz w:val="22"/>
                <w:szCs w:val="22"/>
              </w:rPr>
              <w:t>100 ir 98,7</w:t>
            </w:r>
          </w:p>
        </w:tc>
        <w:tc>
          <w:tcPr>
            <w:tcW w:w="1372" w:type="dxa"/>
            <w:tcBorders>
              <w:left w:val="single" w:sz="4" w:space="0" w:color="auto"/>
              <w:bottom w:val="nil"/>
            </w:tcBorders>
            <w:vAlign w:val="bottom"/>
          </w:tcPr>
          <w:p w14:paraId="3DE45D4D" w14:textId="77777777" w:rsidR="00314B70" w:rsidRPr="00F93FFA" w:rsidRDefault="00314B70" w:rsidP="0003209B">
            <w:pPr>
              <w:keepNext/>
              <w:keepLines/>
              <w:widowControl w:val="0"/>
              <w:tabs>
                <w:tab w:val="left" w:pos="567"/>
              </w:tabs>
              <w:ind w:left="57" w:hanging="57"/>
              <w:rPr>
                <w:sz w:val="22"/>
                <w:szCs w:val="22"/>
              </w:rPr>
            </w:pPr>
            <w:r w:rsidRPr="00F93FFA">
              <w:rPr>
                <w:sz w:val="22"/>
                <w:szCs w:val="22"/>
              </w:rPr>
              <w:t>100 ir 95,5</w:t>
            </w:r>
          </w:p>
        </w:tc>
      </w:tr>
      <w:tr w:rsidR="00314B70" w:rsidRPr="00F93FFA" w14:paraId="3E04F2C0" w14:textId="77777777" w:rsidTr="0003209B">
        <w:trPr>
          <w:cantSplit/>
        </w:trPr>
        <w:tc>
          <w:tcPr>
            <w:tcW w:w="1129" w:type="dxa"/>
            <w:vMerge/>
            <w:shd w:val="clear" w:color="auto" w:fill="auto"/>
          </w:tcPr>
          <w:p w14:paraId="26F4CA9F" w14:textId="77777777" w:rsidR="00314B70" w:rsidRPr="00F93FFA" w:rsidRDefault="00314B70" w:rsidP="0003209B">
            <w:pPr>
              <w:keepNext/>
              <w:keepLines/>
              <w:widowControl w:val="0"/>
              <w:tabs>
                <w:tab w:val="left" w:pos="567"/>
              </w:tabs>
              <w:rPr>
                <w:b/>
                <w:sz w:val="22"/>
                <w:szCs w:val="22"/>
              </w:rPr>
            </w:pPr>
          </w:p>
        </w:tc>
        <w:tc>
          <w:tcPr>
            <w:tcW w:w="1276" w:type="dxa"/>
            <w:tcBorders>
              <w:top w:val="nil"/>
              <w:bottom w:val="nil"/>
              <w:right w:val="single" w:sz="4" w:space="0" w:color="auto"/>
            </w:tcBorders>
            <w:vAlign w:val="bottom"/>
          </w:tcPr>
          <w:p w14:paraId="180E09E9"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Vidutinė</w:t>
            </w:r>
          </w:p>
        </w:tc>
        <w:tc>
          <w:tcPr>
            <w:tcW w:w="1134" w:type="dxa"/>
            <w:tcBorders>
              <w:top w:val="nil"/>
              <w:left w:val="single" w:sz="4" w:space="0" w:color="auto"/>
              <w:bottom w:val="nil"/>
              <w:right w:val="single" w:sz="4" w:space="0" w:color="auto"/>
            </w:tcBorders>
            <w:vAlign w:val="bottom"/>
          </w:tcPr>
          <w:p w14:paraId="6D9EE272" w14:textId="77777777" w:rsidR="00314B70" w:rsidRPr="00F93FFA" w:rsidRDefault="00314B70" w:rsidP="0003209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03620F1A"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4/75 ir 6/78</w:t>
            </w:r>
          </w:p>
        </w:tc>
        <w:tc>
          <w:tcPr>
            <w:tcW w:w="1732" w:type="dxa"/>
            <w:tcBorders>
              <w:top w:val="nil"/>
              <w:left w:val="single" w:sz="4" w:space="0" w:color="auto"/>
              <w:bottom w:val="nil"/>
              <w:right w:val="single" w:sz="4" w:space="0" w:color="auto"/>
            </w:tcBorders>
            <w:vAlign w:val="bottom"/>
          </w:tcPr>
          <w:p w14:paraId="63EA0A45"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0,59 (0,17; 2,10)</w:t>
            </w:r>
          </w:p>
        </w:tc>
        <w:tc>
          <w:tcPr>
            <w:tcW w:w="1414" w:type="dxa"/>
            <w:tcBorders>
              <w:top w:val="nil"/>
              <w:left w:val="single" w:sz="4" w:space="0" w:color="auto"/>
              <w:bottom w:val="nil"/>
              <w:right w:val="single" w:sz="4" w:space="0" w:color="auto"/>
            </w:tcBorders>
            <w:vAlign w:val="bottom"/>
          </w:tcPr>
          <w:p w14:paraId="2498F141"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94,8</w:t>
            </w:r>
          </w:p>
        </w:tc>
        <w:tc>
          <w:tcPr>
            <w:tcW w:w="1372" w:type="dxa"/>
            <w:tcBorders>
              <w:top w:val="nil"/>
              <w:left w:val="single" w:sz="4" w:space="0" w:color="auto"/>
              <w:bottom w:val="nil"/>
            </w:tcBorders>
            <w:vAlign w:val="bottom"/>
          </w:tcPr>
          <w:p w14:paraId="1A6C0B94"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97,8 ir 89,5</w:t>
            </w:r>
          </w:p>
        </w:tc>
      </w:tr>
      <w:tr w:rsidR="00314B70" w:rsidRPr="00F93FFA" w14:paraId="057FD37C" w14:textId="77777777" w:rsidTr="0003209B">
        <w:trPr>
          <w:cantSplit/>
        </w:trPr>
        <w:tc>
          <w:tcPr>
            <w:tcW w:w="1129" w:type="dxa"/>
            <w:vMerge/>
            <w:shd w:val="clear" w:color="auto" w:fill="auto"/>
          </w:tcPr>
          <w:p w14:paraId="5EE17C40"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p>
        </w:tc>
        <w:tc>
          <w:tcPr>
            <w:tcW w:w="1276" w:type="dxa"/>
            <w:tcBorders>
              <w:top w:val="nil"/>
              <w:right w:val="single" w:sz="4" w:space="0" w:color="auto"/>
            </w:tcBorders>
            <w:vAlign w:val="bottom"/>
          </w:tcPr>
          <w:p w14:paraId="0B688E8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Didelė</w:t>
            </w:r>
          </w:p>
        </w:tc>
        <w:tc>
          <w:tcPr>
            <w:tcW w:w="1134" w:type="dxa"/>
            <w:tcBorders>
              <w:top w:val="nil"/>
              <w:left w:val="single" w:sz="4" w:space="0" w:color="auto"/>
              <w:right w:val="single" w:sz="4" w:space="0" w:color="auto"/>
            </w:tcBorders>
            <w:vAlign w:val="bottom"/>
          </w:tcPr>
          <w:p w14:paraId="45316EE5" w14:textId="77777777" w:rsidR="00314B70" w:rsidRPr="00F93FFA" w:rsidRDefault="00314B70" w:rsidP="0003209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14781F76"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21/140 ir 51/127</w:t>
            </w:r>
          </w:p>
        </w:tc>
        <w:tc>
          <w:tcPr>
            <w:tcW w:w="1732" w:type="dxa"/>
            <w:tcBorders>
              <w:top w:val="nil"/>
              <w:left w:val="single" w:sz="4" w:space="0" w:color="auto"/>
              <w:right w:val="single" w:sz="4" w:space="0" w:color="auto"/>
            </w:tcBorders>
            <w:vAlign w:val="bottom"/>
          </w:tcPr>
          <w:p w14:paraId="5F5BA44B"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0,29 (0,18; 0,49)</w:t>
            </w:r>
          </w:p>
        </w:tc>
        <w:tc>
          <w:tcPr>
            <w:tcW w:w="1414" w:type="dxa"/>
            <w:tcBorders>
              <w:top w:val="nil"/>
              <w:left w:val="single" w:sz="4" w:space="0" w:color="auto"/>
              <w:right w:val="single" w:sz="4" w:space="0" w:color="auto"/>
            </w:tcBorders>
            <w:vAlign w:val="bottom"/>
          </w:tcPr>
          <w:p w14:paraId="59BAB473"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94,8 ir 64,0</w:t>
            </w:r>
          </w:p>
        </w:tc>
        <w:tc>
          <w:tcPr>
            <w:tcW w:w="1372" w:type="dxa"/>
            <w:tcBorders>
              <w:top w:val="nil"/>
              <w:left w:val="single" w:sz="4" w:space="0" w:color="auto"/>
            </w:tcBorders>
            <w:vAlign w:val="bottom"/>
          </w:tcPr>
          <w:p w14:paraId="6AA98C7F"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80,7 ir 46,6</w:t>
            </w:r>
          </w:p>
        </w:tc>
      </w:tr>
      <w:tr w:rsidR="00314B70" w:rsidRPr="00F93FFA" w14:paraId="38F2C431" w14:textId="77777777" w:rsidTr="0003209B">
        <w:trPr>
          <w:cantSplit/>
        </w:trPr>
        <w:tc>
          <w:tcPr>
            <w:tcW w:w="1129" w:type="dxa"/>
            <w:vMerge w:val="restart"/>
            <w:shd w:val="clear" w:color="auto" w:fill="auto"/>
          </w:tcPr>
          <w:p w14:paraId="13E0EC61"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AFIP</w:t>
            </w:r>
          </w:p>
          <w:p w14:paraId="36D8FEC9"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p>
        </w:tc>
        <w:tc>
          <w:tcPr>
            <w:tcW w:w="1276" w:type="dxa"/>
            <w:tcBorders>
              <w:bottom w:val="nil"/>
              <w:right w:val="single" w:sz="4" w:space="0" w:color="auto"/>
            </w:tcBorders>
            <w:vAlign w:val="bottom"/>
          </w:tcPr>
          <w:p w14:paraId="3DB32BA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Labai maža</w:t>
            </w:r>
          </w:p>
        </w:tc>
        <w:tc>
          <w:tcPr>
            <w:tcW w:w="1134" w:type="dxa"/>
            <w:tcBorders>
              <w:left w:val="single" w:sz="4" w:space="0" w:color="auto"/>
              <w:bottom w:val="nil"/>
              <w:right w:val="single" w:sz="4" w:space="0" w:color="auto"/>
            </w:tcBorders>
            <w:vAlign w:val="bottom"/>
          </w:tcPr>
          <w:p w14:paraId="1D9F70B4" w14:textId="77777777" w:rsidR="00314B70" w:rsidRPr="00F93FFA" w:rsidRDefault="00314B70" w:rsidP="0003209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08B36F9A"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0/52 ir 2/63</w:t>
            </w:r>
          </w:p>
        </w:tc>
        <w:tc>
          <w:tcPr>
            <w:tcW w:w="1732" w:type="dxa"/>
            <w:tcBorders>
              <w:left w:val="single" w:sz="4" w:space="0" w:color="auto"/>
              <w:bottom w:val="nil"/>
              <w:right w:val="single" w:sz="4" w:space="0" w:color="auto"/>
            </w:tcBorders>
            <w:vAlign w:val="bottom"/>
          </w:tcPr>
          <w:p w14:paraId="66CD21F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N.R.</w:t>
            </w:r>
          </w:p>
        </w:tc>
        <w:tc>
          <w:tcPr>
            <w:tcW w:w="1414" w:type="dxa"/>
            <w:tcBorders>
              <w:left w:val="single" w:sz="4" w:space="0" w:color="auto"/>
              <w:bottom w:val="nil"/>
              <w:right w:val="single" w:sz="4" w:space="0" w:color="auto"/>
            </w:tcBorders>
            <w:vAlign w:val="bottom"/>
          </w:tcPr>
          <w:p w14:paraId="669DC5D8"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98,1</w:t>
            </w:r>
          </w:p>
        </w:tc>
        <w:tc>
          <w:tcPr>
            <w:tcW w:w="1372" w:type="dxa"/>
            <w:tcBorders>
              <w:left w:val="single" w:sz="4" w:space="0" w:color="auto"/>
              <w:bottom w:val="nil"/>
            </w:tcBorders>
            <w:vAlign w:val="bottom"/>
          </w:tcPr>
          <w:p w14:paraId="4DBBCEA1"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93,0</w:t>
            </w:r>
          </w:p>
        </w:tc>
      </w:tr>
      <w:tr w:rsidR="00314B70" w:rsidRPr="00F93FFA" w14:paraId="4CF13E01" w14:textId="77777777" w:rsidTr="0003209B">
        <w:trPr>
          <w:cantSplit/>
        </w:trPr>
        <w:tc>
          <w:tcPr>
            <w:tcW w:w="1129" w:type="dxa"/>
            <w:vMerge/>
            <w:shd w:val="clear" w:color="auto" w:fill="auto"/>
          </w:tcPr>
          <w:p w14:paraId="545D4D23"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p>
        </w:tc>
        <w:tc>
          <w:tcPr>
            <w:tcW w:w="1276" w:type="dxa"/>
            <w:tcBorders>
              <w:top w:val="nil"/>
              <w:bottom w:val="nil"/>
              <w:right w:val="single" w:sz="4" w:space="0" w:color="auto"/>
            </w:tcBorders>
            <w:vAlign w:val="bottom"/>
          </w:tcPr>
          <w:p w14:paraId="1A65208B"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Maža</w:t>
            </w:r>
          </w:p>
        </w:tc>
        <w:tc>
          <w:tcPr>
            <w:tcW w:w="1134" w:type="dxa"/>
            <w:tcBorders>
              <w:top w:val="nil"/>
              <w:left w:val="single" w:sz="4" w:space="0" w:color="auto"/>
              <w:bottom w:val="nil"/>
              <w:right w:val="single" w:sz="4" w:space="0" w:color="auto"/>
            </w:tcBorders>
            <w:vAlign w:val="bottom"/>
          </w:tcPr>
          <w:p w14:paraId="349E2C65" w14:textId="77777777" w:rsidR="00314B70" w:rsidRPr="00F93FFA" w:rsidRDefault="00314B70" w:rsidP="0003209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3319E580"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2/70 ir 0/69</w:t>
            </w:r>
          </w:p>
        </w:tc>
        <w:tc>
          <w:tcPr>
            <w:tcW w:w="1732" w:type="dxa"/>
            <w:tcBorders>
              <w:top w:val="nil"/>
              <w:left w:val="single" w:sz="4" w:space="0" w:color="auto"/>
              <w:bottom w:val="nil"/>
              <w:right w:val="single" w:sz="4" w:space="0" w:color="auto"/>
            </w:tcBorders>
            <w:vAlign w:val="bottom"/>
          </w:tcPr>
          <w:p w14:paraId="03862BEE"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N.R.</w:t>
            </w:r>
          </w:p>
        </w:tc>
        <w:tc>
          <w:tcPr>
            <w:tcW w:w="1414" w:type="dxa"/>
            <w:tcBorders>
              <w:top w:val="nil"/>
              <w:left w:val="single" w:sz="4" w:space="0" w:color="auto"/>
              <w:bottom w:val="nil"/>
              <w:right w:val="single" w:sz="4" w:space="0" w:color="auto"/>
            </w:tcBorders>
            <w:vAlign w:val="bottom"/>
          </w:tcPr>
          <w:p w14:paraId="4D50076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100 ir 100</w:t>
            </w:r>
          </w:p>
        </w:tc>
        <w:tc>
          <w:tcPr>
            <w:tcW w:w="1372" w:type="dxa"/>
            <w:tcBorders>
              <w:top w:val="nil"/>
              <w:left w:val="single" w:sz="4" w:space="0" w:color="auto"/>
              <w:bottom w:val="nil"/>
            </w:tcBorders>
            <w:vAlign w:val="bottom"/>
          </w:tcPr>
          <w:p w14:paraId="1239C2C2"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97,8 ir 100</w:t>
            </w:r>
          </w:p>
        </w:tc>
      </w:tr>
      <w:tr w:rsidR="00314B70" w:rsidRPr="00F93FFA" w14:paraId="2E1E8623" w14:textId="77777777" w:rsidTr="0003209B">
        <w:trPr>
          <w:cantSplit/>
        </w:trPr>
        <w:tc>
          <w:tcPr>
            <w:tcW w:w="1129" w:type="dxa"/>
            <w:vMerge/>
            <w:shd w:val="clear" w:color="auto" w:fill="auto"/>
          </w:tcPr>
          <w:p w14:paraId="5DE488AC" w14:textId="77777777" w:rsidR="00314B70" w:rsidRPr="00F93FFA" w:rsidRDefault="00314B70" w:rsidP="0003209B">
            <w:pPr>
              <w:pStyle w:val="Table"/>
              <w:widowControl w:val="0"/>
              <w:tabs>
                <w:tab w:val="left" w:pos="567"/>
              </w:tabs>
              <w:spacing w:before="0" w:after="0"/>
              <w:rPr>
                <w:rFonts w:ascii="Times New Roman" w:hAnsi="Times New Roman"/>
                <w:b/>
                <w:sz w:val="22"/>
                <w:szCs w:val="22"/>
              </w:rPr>
            </w:pPr>
          </w:p>
        </w:tc>
        <w:tc>
          <w:tcPr>
            <w:tcW w:w="1276" w:type="dxa"/>
            <w:tcBorders>
              <w:top w:val="nil"/>
              <w:bottom w:val="nil"/>
              <w:right w:val="single" w:sz="4" w:space="0" w:color="auto"/>
            </w:tcBorders>
            <w:vAlign w:val="bottom"/>
          </w:tcPr>
          <w:p w14:paraId="235C264C"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Vidutinė</w:t>
            </w:r>
          </w:p>
        </w:tc>
        <w:tc>
          <w:tcPr>
            <w:tcW w:w="1134" w:type="dxa"/>
            <w:tcBorders>
              <w:top w:val="nil"/>
              <w:left w:val="single" w:sz="4" w:space="0" w:color="auto"/>
              <w:bottom w:val="nil"/>
              <w:right w:val="single" w:sz="4" w:space="0" w:color="auto"/>
            </w:tcBorders>
            <w:vAlign w:val="bottom"/>
          </w:tcPr>
          <w:p w14:paraId="2135F619" w14:textId="77777777" w:rsidR="00314B70" w:rsidRPr="00F93FFA" w:rsidRDefault="00314B70" w:rsidP="0003209B">
            <w:pPr>
              <w:pStyle w:val="Table"/>
              <w:widowControl w:val="0"/>
              <w:tabs>
                <w:tab w:val="left" w:pos="567"/>
              </w:tabs>
              <w:spacing w:before="0" w:after="0"/>
              <w:jc w:val="center"/>
              <w:rPr>
                <w:rFonts w:ascii="Times New Roman" w:hAnsi="Times New Roman"/>
                <w:sz w:val="22"/>
                <w:szCs w:val="22"/>
              </w:rPr>
            </w:pPr>
            <w:r w:rsidRPr="00F93FFA">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2E2ED14F"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2/70 ir 11/67</w:t>
            </w:r>
          </w:p>
        </w:tc>
        <w:tc>
          <w:tcPr>
            <w:tcW w:w="1732" w:type="dxa"/>
            <w:tcBorders>
              <w:top w:val="nil"/>
              <w:left w:val="single" w:sz="4" w:space="0" w:color="auto"/>
              <w:bottom w:val="nil"/>
              <w:right w:val="single" w:sz="4" w:space="0" w:color="auto"/>
            </w:tcBorders>
            <w:vAlign w:val="bottom"/>
          </w:tcPr>
          <w:p w14:paraId="55208E54"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0,16 (0,03; 0,70)</w:t>
            </w:r>
          </w:p>
        </w:tc>
        <w:tc>
          <w:tcPr>
            <w:tcW w:w="1414" w:type="dxa"/>
            <w:tcBorders>
              <w:top w:val="nil"/>
              <w:left w:val="single" w:sz="4" w:space="0" w:color="auto"/>
              <w:bottom w:val="nil"/>
              <w:right w:val="single" w:sz="4" w:space="0" w:color="auto"/>
            </w:tcBorders>
            <w:vAlign w:val="bottom"/>
          </w:tcPr>
          <w:p w14:paraId="5D01030E"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97,9 ir 90,8</w:t>
            </w:r>
          </w:p>
        </w:tc>
        <w:tc>
          <w:tcPr>
            <w:tcW w:w="1372" w:type="dxa"/>
            <w:tcBorders>
              <w:top w:val="nil"/>
              <w:left w:val="single" w:sz="4" w:space="0" w:color="auto"/>
              <w:bottom w:val="nil"/>
            </w:tcBorders>
            <w:vAlign w:val="bottom"/>
          </w:tcPr>
          <w:p w14:paraId="0ADF286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97,9 ir 73,3</w:t>
            </w:r>
          </w:p>
        </w:tc>
      </w:tr>
      <w:tr w:rsidR="00314B70" w:rsidRPr="00F93FFA" w14:paraId="114BFAE5" w14:textId="77777777" w:rsidTr="0003209B">
        <w:trPr>
          <w:cantSplit/>
        </w:trPr>
        <w:tc>
          <w:tcPr>
            <w:tcW w:w="1129" w:type="dxa"/>
            <w:vMerge/>
            <w:tcBorders>
              <w:bottom w:val="single" w:sz="4" w:space="0" w:color="auto"/>
            </w:tcBorders>
            <w:shd w:val="clear" w:color="auto" w:fill="auto"/>
          </w:tcPr>
          <w:p w14:paraId="640CAA74"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p>
        </w:tc>
        <w:tc>
          <w:tcPr>
            <w:tcW w:w="1276" w:type="dxa"/>
            <w:tcBorders>
              <w:top w:val="nil"/>
              <w:bottom w:val="single" w:sz="4" w:space="0" w:color="auto"/>
              <w:right w:val="single" w:sz="4" w:space="0" w:color="auto"/>
            </w:tcBorders>
            <w:vAlign w:val="bottom"/>
          </w:tcPr>
          <w:p w14:paraId="54F417C1"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Didelė</w:t>
            </w:r>
          </w:p>
        </w:tc>
        <w:tc>
          <w:tcPr>
            <w:tcW w:w="1134" w:type="dxa"/>
            <w:tcBorders>
              <w:top w:val="nil"/>
              <w:left w:val="single" w:sz="4" w:space="0" w:color="auto"/>
              <w:bottom w:val="single" w:sz="4" w:space="0" w:color="auto"/>
              <w:right w:val="single" w:sz="4" w:space="0" w:color="auto"/>
            </w:tcBorders>
            <w:vAlign w:val="bottom"/>
          </w:tcPr>
          <w:p w14:paraId="33402B5E" w14:textId="77777777" w:rsidR="00314B70" w:rsidRPr="00F93FFA" w:rsidRDefault="00314B70" w:rsidP="0003209B">
            <w:pPr>
              <w:pStyle w:val="Table"/>
              <w:widowControl w:val="0"/>
              <w:tabs>
                <w:tab w:val="left" w:pos="567"/>
              </w:tabs>
              <w:spacing w:before="0" w:after="0"/>
              <w:ind w:right="-3"/>
              <w:jc w:val="center"/>
              <w:rPr>
                <w:rFonts w:ascii="Times New Roman" w:hAnsi="Times New Roman"/>
                <w:sz w:val="22"/>
                <w:szCs w:val="22"/>
              </w:rPr>
            </w:pPr>
            <w:r w:rsidRPr="00F93FFA">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3FCC9056"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16/84 ir 39/81</w:t>
            </w:r>
          </w:p>
        </w:tc>
        <w:tc>
          <w:tcPr>
            <w:tcW w:w="1732" w:type="dxa"/>
            <w:tcBorders>
              <w:top w:val="nil"/>
              <w:left w:val="single" w:sz="4" w:space="0" w:color="auto"/>
              <w:bottom w:val="single" w:sz="4" w:space="0" w:color="auto"/>
              <w:right w:val="single" w:sz="4" w:space="0" w:color="auto"/>
            </w:tcBorders>
            <w:vAlign w:val="bottom"/>
          </w:tcPr>
          <w:p w14:paraId="25CA0F42"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0,27 (0,15; 0,48)</w:t>
            </w:r>
          </w:p>
        </w:tc>
        <w:tc>
          <w:tcPr>
            <w:tcW w:w="1414" w:type="dxa"/>
            <w:tcBorders>
              <w:top w:val="nil"/>
              <w:left w:val="single" w:sz="4" w:space="0" w:color="auto"/>
              <w:bottom w:val="single" w:sz="4" w:space="0" w:color="auto"/>
              <w:right w:val="single" w:sz="4" w:space="0" w:color="auto"/>
            </w:tcBorders>
            <w:vAlign w:val="bottom"/>
          </w:tcPr>
          <w:p w14:paraId="53B80C8D"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98,7 ir 56,1</w:t>
            </w:r>
          </w:p>
        </w:tc>
        <w:tc>
          <w:tcPr>
            <w:tcW w:w="1372" w:type="dxa"/>
            <w:tcBorders>
              <w:top w:val="nil"/>
              <w:left w:val="single" w:sz="4" w:space="0" w:color="auto"/>
              <w:bottom w:val="single" w:sz="4" w:space="0" w:color="auto"/>
            </w:tcBorders>
            <w:vAlign w:val="bottom"/>
          </w:tcPr>
          <w:p w14:paraId="56C65231" w14:textId="77777777" w:rsidR="00314B70" w:rsidRPr="00F93FFA" w:rsidRDefault="00314B70" w:rsidP="0003209B">
            <w:pPr>
              <w:pStyle w:val="Table"/>
              <w:widowControl w:val="0"/>
              <w:tabs>
                <w:tab w:val="left" w:pos="567"/>
              </w:tabs>
              <w:spacing w:before="0" w:after="0"/>
              <w:rPr>
                <w:rFonts w:ascii="Times New Roman" w:hAnsi="Times New Roman"/>
                <w:sz w:val="22"/>
                <w:szCs w:val="22"/>
              </w:rPr>
            </w:pPr>
            <w:r w:rsidRPr="00F93FFA">
              <w:rPr>
                <w:rFonts w:ascii="Times New Roman" w:hAnsi="Times New Roman"/>
                <w:sz w:val="22"/>
                <w:szCs w:val="22"/>
              </w:rPr>
              <w:t>79,9 ir 41,5</w:t>
            </w:r>
          </w:p>
        </w:tc>
      </w:tr>
    </w:tbl>
    <w:p w14:paraId="2AE4D58B" w14:textId="77777777" w:rsidR="00314B70" w:rsidRPr="00F93FFA" w:rsidRDefault="00314B70" w:rsidP="0003209B">
      <w:pPr>
        <w:pStyle w:val="Text"/>
        <w:keepNext/>
        <w:keepLines/>
        <w:widowControl w:val="0"/>
        <w:spacing w:before="0"/>
        <w:rPr>
          <w:sz w:val="22"/>
          <w:szCs w:val="22"/>
          <w:lang w:val="lt-LT"/>
        </w:rPr>
      </w:pPr>
      <w:r w:rsidRPr="00F93FFA">
        <w:rPr>
          <w:sz w:val="22"/>
          <w:szCs w:val="22"/>
          <w:lang w:val="lt-LT"/>
        </w:rPr>
        <w:t>*Visas stebėjimo laikotarpis; NR – Nenustatytas</w:t>
      </w:r>
    </w:p>
    <w:p w14:paraId="27E111BC"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007223C8" w14:textId="77777777" w:rsidR="00314B70" w:rsidRPr="00F93FFA" w:rsidRDefault="00314B70" w:rsidP="00DE16D0">
      <w:pPr>
        <w:widowControl w:val="0"/>
        <w:rPr>
          <w:rFonts w:eastAsia="MS Mincho"/>
          <w:iCs/>
          <w:sz w:val="22"/>
          <w:szCs w:val="22"/>
          <w:lang w:eastAsia="ja-JP"/>
        </w:rPr>
      </w:pPr>
      <w:r w:rsidRPr="00F93FFA">
        <w:rPr>
          <w:rFonts w:eastAsia="MS Mincho"/>
          <w:sz w:val="22"/>
          <w:szCs w:val="22"/>
          <w:lang w:eastAsia="ja-JP"/>
        </w:rPr>
        <w:t xml:space="preserve">Atlikto antrojo daugiacentrio atvirojo III fazės tyrimo (SSG XVIII/AIO) metu buvo lyginamas </w:t>
      </w:r>
      <w:r w:rsidRPr="00F93FFA">
        <w:rPr>
          <w:color w:val="000000"/>
          <w:sz w:val="22"/>
          <w:szCs w:val="22"/>
        </w:rPr>
        <w:t xml:space="preserve">VTSN sergančių pacientų po chirurginės naviko rezekcijos </w:t>
      </w:r>
      <w:r w:rsidRPr="00F93FFA">
        <w:rPr>
          <w:rFonts w:eastAsia="MS Mincho"/>
          <w:sz w:val="22"/>
          <w:szCs w:val="22"/>
          <w:lang w:eastAsia="ja-JP"/>
        </w:rPr>
        <w:t xml:space="preserve">12 mėnesių trukmės gydymas su 36 mėnesių trukmės gydymu 400 mg Glivec paros doze, kai buvo viena iš toliau nurodytų sąlygų: naviko skersmuo </w:t>
      </w:r>
      <w:r w:rsidRPr="00F93FFA">
        <w:rPr>
          <w:rFonts w:eastAsia="MS Mincho"/>
          <w:iCs/>
          <w:sz w:val="22"/>
          <w:szCs w:val="22"/>
          <w:lang w:eastAsia="ja-JP"/>
        </w:rPr>
        <w:t>&gt; 5</w:t>
      </w:r>
      <w:r w:rsidRPr="00F93FFA">
        <w:rPr>
          <w:rFonts w:eastAsia="MS Mincho"/>
          <w:sz w:val="22"/>
          <w:szCs w:val="22"/>
          <w:lang w:eastAsia="ja-JP"/>
        </w:rPr>
        <w:t> </w:t>
      </w:r>
      <w:r w:rsidRPr="00F93FFA">
        <w:rPr>
          <w:rFonts w:eastAsia="MS Mincho"/>
          <w:iCs/>
          <w:sz w:val="22"/>
          <w:szCs w:val="22"/>
          <w:lang w:eastAsia="ja-JP"/>
        </w:rPr>
        <w:t xml:space="preserve">cm ir mitozių skaičius &gt; 5/50 didelės didinamosios galios laukų (DDGL); arba </w:t>
      </w:r>
      <w:r w:rsidRPr="00F93FFA">
        <w:rPr>
          <w:rFonts w:eastAsia="MS Mincho"/>
          <w:sz w:val="22"/>
          <w:szCs w:val="22"/>
          <w:lang w:eastAsia="ja-JP"/>
        </w:rPr>
        <w:t xml:space="preserve">naviko skersmuo </w:t>
      </w:r>
      <w:r w:rsidRPr="00F93FFA">
        <w:rPr>
          <w:rFonts w:eastAsia="MS Mincho"/>
          <w:iCs/>
          <w:sz w:val="22"/>
          <w:szCs w:val="22"/>
          <w:lang w:eastAsia="ja-JP"/>
        </w:rPr>
        <w:t>&gt; 10</w:t>
      </w:r>
      <w:r w:rsidRPr="00F93FFA">
        <w:rPr>
          <w:rFonts w:eastAsia="MS Mincho"/>
          <w:sz w:val="22"/>
          <w:szCs w:val="22"/>
          <w:lang w:eastAsia="ja-JP"/>
        </w:rPr>
        <w:t> </w:t>
      </w:r>
      <w:r w:rsidRPr="00F93FFA">
        <w:rPr>
          <w:rFonts w:eastAsia="MS Mincho"/>
          <w:iCs/>
          <w:sz w:val="22"/>
          <w:szCs w:val="22"/>
          <w:lang w:eastAsia="ja-JP"/>
        </w:rPr>
        <w:t>cm ir bet koks mitozių skaičius; arba bet kokio skersmens navikas ir mitozių skaičius &gt; 10/50 DDGL; arba navikas plyšęs į pilvaplėvės ertmę. Tyrime sutiko dalyvauti ir buvo atrinkti iš viso 397</w:t>
      </w:r>
      <w:r w:rsidRPr="00F93FFA">
        <w:rPr>
          <w:rFonts w:eastAsia="MS Mincho"/>
          <w:sz w:val="22"/>
          <w:szCs w:val="22"/>
          <w:lang w:eastAsia="ja-JP"/>
        </w:rPr>
        <w:t> </w:t>
      </w:r>
      <w:r w:rsidRPr="00F93FFA">
        <w:rPr>
          <w:rFonts w:eastAsia="MS Mincho"/>
          <w:iCs/>
          <w:sz w:val="22"/>
          <w:szCs w:val="22"/>
          <w:lang w:eastAsia="ja-JP"/>
        </w:rPr>
        <w:t>pacientai (199</w:t>
      </w:r>
      <w:r w:rsidRPr="00F93FFA">
        <w:rPr>
          <w:rFonts w:eastAsia="MS Mincho"/>
          <w:sz w:val="22"/>
          <w:szCs w:val="22"/>
          <w:lang w:eastAsia="ja-JP"/>
        </w:rPr>
        <w:t> </w:t>
      </w:r>
      <w:r w:rsidRPr="00F93FFA">
        <w:rPr>
          <w:rFonts w:eastAsia="MS Mincho"/>
          <w:iCs/>
          <w:sz w:val="22"/>
          <w:szCs w:val="22"/>
          <w:lang w:eastAsia="ja-JP"/>
        </w:rPr>
        <w:t>pacientams skirtas 12 mėnesių trukmės gydymas, o 198</w:t>
      </w:r>
      <w:r w:rsidRPr="00F93FFA">
        <w:rPr>
          <w:rFonts w:eastAsia="MS Mincho"/>
          <w:sz w:val="22"/>
          <w:szCs w:val="22"/>
          <w:lang w:eastAsia="ja-JP"/>
        </w:rPr>
        <w:t> </w:t>
      </w:r>
      <w:r w:rsidRPr="00F93FFA">
        <w:rPr>
          <w:rFonts w:eastAsia="MS Mincho"/>
          <w:iCs/>
          <w:sz w:val="22"/>
          <w:szCs w:val="22"/>
          <w:lang w:eastAsia="ja-JP"/>
        </w:rPr>
        <w:t xml:space="preserve">pacientams skirtas 36 mėnesių trukmės gydymas), jų amžiaus mediana buvo </w:t>
      </w:r>
      <w:r w:rsidRPr="00F93FFA">
        <w:rPr>
          <w:rFonts w:eastAsia="MS Mincho"/>
          <w:bCs/>
          <w:iCs/>
          <w:sz w:val="22"/>
          <w:szCs w:val="22"/>
          <w:lang w:eastAsia="ja-JP"/>
        </w:rPr>
        <w:t>61</w:t>
      </w:r>
      <w:r w:rsidRPr="00F93FFA">
        <w:rPr>
          <w:rFonts w:eastAsia="MS Mincho"/>
          <w:sz w:val="22"/>
          <w:szCs w:val="22"/>
          <w:lang w:eastAsia="ja-JP"/>
        </w:rPr>
        <w:t> metai</w:t>
      </w:r>
      <w:r w:rsidRPr="00F93FFA">
        <w:rPr>
          <w:rFonts w:eastAsia="MS Mincho"/>
          <w:iCs/>
          <w:sz w:val="22"/>
          <w:szCs w:val="22"/>
          <w:lang w:eastAsia="ja-JP"/>
        </w:rPr>
        <w:t xml:space="preserve"> (svyravo nuo 22 iki 84</w:t>
      </w:r>
      <w:r w:rsidRPr="00F93FFA">
        <w:rPr>
          <w:rFonts w:eastAsia="MS Mincho"/>
          <w:sz w:val="22"/>
          <w:szCs w:val="22"/>
          <w:lang w:eastAsia="ja-JP"/>
        </w:rPr>
        <w:t> metų</w:t>
      </w:r>
      <w:r w:rsidRPr="00F93FFA">
        <w:rPr>
          <w:rFonts w:eastAsia="MS Mincho"/>
          <w:iCs/>
          <w:sz w:val="22"/>
          <w:szCs w:val="22"/>
          <w:lang w:eastAsia="ja-JP"/>
        </w:rPr>
        <w:t>). Vidutinė stebėjimo laikotarpio mediana buvo 54</w:t>
      </w:r>
      <w:r w:rsidRPr="00F93FFA">
        <w:rPr>
          <w:rFonts w:eastAsia="MS Mincho"/>
          <w:sz w:val="22"/>
          <w:szCs w:val="22"/>
          <w:lang w:eastAsia="ja-JP"/>
        </w:rPr>
        <w:t> </w:t>
      </w:r>
      <w:r w:rsidRPr="00F93FFA">
        <w:rPr>
          <w:rFonts w:eastAsia="MS Mincho"/>
          <w:iCs/>
          <w:sz w:val="22"/>
          <w:szCs w:val="22"/>
          <w:lang w:eastAsia="ja-JP"/>
        </w:rPr>
        <w:t xml:space="preserve">mėnesiai (nuo </w:t>
      </w:r>
      <w:r w:rsidRPr="00F93FFA">
        <w:rPr>
          <w:rFonts w:eastAsia="MS Mincho"/>
          <w:color w:val="000000"/>
          <w:sz w:val="22"/>
          <w:szCs w:val="22"/>
          <w:lang w:eastAsia="ja-JP"/>
        </w:rPr>
        <w:t xml:space="preserve">randomizacijos </w:t>
      </w:r>
      <w:r w:rsidRPr="00F93FFA">
        <w:rPr>
          <w:rFonts w:eastAsia="MS Mincho"/>
          <w:iCs/>
          <w:sz w:val="22"/>
          <w:szCs w:val="22"/>
          <w:lang w:eastAsia="ja-JP"/>
        </w:rPr>
        <w:t>dienos iki tyrimo pabaigos), nuo pirmojo paciento atrankos iki tyrimo pabaigos dienos praėjo iš viso 83</w:t>
      </w:r>
      <w:r w:rsidRPr="00F93FFA">
        <w:rPr>
          <w:rFonts w:eastAsia="MS Mincho"/>
          <w:sz w:val="22"/>
          <w:szCs w:val="22"/>
          <w:lang w:eastAsia="ja-JP"/>
        </w:rPr>
        <w:t> </w:t>
      </w:r>
      <w:r w:rsidRPr="00F93FFA">
        <w:rPr>
          <w:rFonts w:eastAsia="MS Mincho"/>
          <w:iCs/>
          <w:sz w:val="22"/>
          <w:szCs w:val="22"/>
          <w:lang w:eastAsia="ja-JP"/>
        </w:rPr>
        <w:t>mėnesiai.</w:t>
      </w:r>
    </w:p>
    <w:p w14:paraId="35D351E6" w14:textId="77777777" w:rsidR="00314B70" w:rsidRPr="00F93FFA" w:rsidRDefault="00314B70" w:rsidP="00DE16D0">
      <w:pPr>
        <w:widowControl w:val="0"/>
        <w:rPr>
          <w:rFonts w:eastAsia="MS Mincho"/>
          <w:iCs/>
          <w:sz w:val="22"/>
          <w:szCs w:val="22"/>
          <w:lang w:eastAsia="ja-JP"/>
        </w:rPr>
      </w:pPr>
    </w:p>
    <w:p w14:paraId="06F9BEC6" w14:textId="77777777" w:rsidR="00314B70" w:rsidRPr="00F93FFA" w:rsidRDefault="00314B70" w:rsidP="00DE16D0">
      <w:pPr>
        <w:widowControl w:val="0"/>
        <w:rPr>
          <w:rFonts w:eastAsia="MS Mincho"/>
          <w:sz w:val="22"/>
          <w:szCs w:val="22"/>
          <w:lang w:eastAsia="ja-JP"/>
        </w:rPr>
      </w:pPr>
      <w:r w:rsidRPr="00F93FFA">
        <w:rPr>
          <w:rFonts w:eastAsia="MS Mincho"/>
          <w:sz w:val="22"/>
          <w:szCs w:val="22"/>
          <w:lang w:eastAsia="ja-JP"/>
        </w:rPr>
        <w:t xml:space="preserve">Pirminė tyrimo vertinamoji baigtis buvo </w:t>
      </w:r>
      <w:r w:rsidRPr="00F93FFA">
        <w:rPr>
          <w:rFonts w:eastAsia="MS Mincho"/>
          <w:color w:val="000000"/>
          <w:sz w:val="22"/>
          <w:szCs w:val="22"/>
          <w:lang w:eastAsia="ja-JP"/>
        </w:rPr>
        <w:t xml:space="preserve">išgyvenamumas be ligos recidyvo (angl. </w:t>
      </w:r>
      <w:r w:rsidRPr="00F93FFA">
        <w:rPr>
          <w:rFonts w:eastAsia="MS Mincho"/>
          <w:i/>
          <w:color w:val="000000"/>
          <w:sz w:val="22"/>
          <w:szCs w:val="22"/>
          <w:lang w:eastAsia="ja-JP"/>
        </w:rPr>
        <w:t>recurrence-free survival – RFS</w:t>
      </w:r>
      <w:r w:rsidRPr="00F93FFA">
        <w:rPr>
          <w:rFonts w:eastAsia="MS Mincho"/>
          <w:color w:val="000000"/>
          <w:sz w:val="22"/>
          <w:szCs w:val="22"/>
          <w:lang w:eastAsia="ja-JP"/>
        </w:rPr>
        <w:t>), nustatomas kaip laikas nuo randomizacijos dienos iki recidyvo pasireiškimo dienos arba mirties dėl bet kokios priežasties</w:t>
      </w:r>
      <w:r w:rsidRPr="00F93FFA">
        <w:rPr>
          <w:rFonts w:eastAsia="MS Mincho"/>
          <w:sz w:val="22"/>
          <w:szCs w:val="22"/>
          <w:lang w:eastAsia="ja-JP"/>
        </w:rPr>
        <w:t>.</w:t>
      </w:r>
    </w:p>
    <w:p w14:paraId="3618652E" w14:textId="77777777" w:rsidR="00314B70" w:rsidRPr="00F93FFA" w:rsidRDefault="00314B70" w:rsidP="00DE16D0">
      <w:pPr>
        <w:widowControl w:val="0"/>
        <w:rPr>
          <w:rFonts w:eastAsia="MS Mincho"/>
          <w:sz w:val="22"/>
          <w:szCs w:val="22"/>
          <w:lang w:eastAsia="ja-JP"/>
        </w:rPr>
      </w:pPr>
    </w:p>
    <w:p w14:paraId="60EE78D7" w14:textId="77777777" w:rsidR="00314B70" w:rsidRPr="00F93FFA" w:rsidRDefault="00314B70" w:rsidP="00DE16D0">
      <w:pPr>
        <w:widowControl w:val="0"/>
        <w:rPr>
          <w:rFonts w:eastAsia="MS Mincho"/>
          <w:iCs/>
          <w:color w:val="000000"/>
          <w:sz w:val="22"/>
          <w:szCs w:val="22"/>
          <w:lang w:eastAsia="ja-JP"/>
        </w:rPr>
      </w:pPr>
      <w:r w:rsidRPr="00F93FFA">
        <w:rPr>
          <w:rFonts w:eastAsia="MS Mincho"/>
          <w:iCs/>
          <w:sz w:val="22"/>
          <w:szCs w:val="22"/>
          <w:lang w:eastAsia="ja-JP"/>
        </w:rPr>
        <w:t>Trisdešimt šešių (36) mėnesių trukmės gydymas Glivec reikšmingai pailgino RFS rodiklį, lyginant su 12</w:t>
      </w:r>
      <w:r w:rsidRPr="00F93FFA">
        <w:rPr>
          <w:rFonts w:eastAsia="MS Mincho"/>
          <w:sz w:val="22"/>
          <w:szCs w:val="22"/>
          <w:lang w:eastAsia="ja-JP"/>
        </w:rPr>
        <w:t> </w:t>
      </w:r>
      <w:r w:rsidRPr="00F93FFA">
        <w:rPr>
          <w:rFonts w:eastAsia="MS Mincho"/>
          <w:iCs/>
          <w:sz w:val="22"/>
          <w:szCs w:val="22"/>
          <w:lang w:eastAsia="ja-JP"/>
        </w:rPr>
        <w:t xml:space="preserve">mėnesių trukmės gydymu Glivec </w:t>
      </w:r>
      <w:r w:rsidRPr="00F93FFA">
        <w:rPr>
          <w:rFonts w:eastAsia="MS Mincho"/>
          <w:iCs/>
          <w:color w:val="000000"/>
          <w:sz w:val="22"/>
          <w:szCs w:val="22"/>
          <w:lang w:eastAsia="ja-JP"/>
        </w:rPr>
        <w:t xml:space="preserve">(bendrasis rizikos santykis (RS) lygus 0,46 [0,32, 0,65], p&lt;0,0001) (žr. </w:t>
      </w:r>
      <w:r w:rsidR="00BC035E" w:rsidRPr="00F93FFA">
        <w:rPr>
          <w:rFonts w:eastAsia="MS Mincho"/>
          <w:iCs/>
          <w:color w:val="000000"/>
          <w:sz w:val="22"/>
          <w:szCs w:val="22"/>
          <w:lang w:eastAsia="ja-JP"/>
        </w:rPr>
        <w:t>8</w:t>
      </w:r>
      <w:r w:rsidRPr="00F93FFA">
        <w:rPr>
          <w:rFonts w:eastAsia="MS Mincho"/>
          <w:iCs/>
          <w:color w:val="000000"/>
          <w:sz w:val="22"/>
          <w:szCs w:val="22"/>
          <w:lang w:eastAsia="ja-JP"/>
        </w:rPr>
        <w:t xml:space="preserve"> lentelę, </w:t>
      </w:r>
      <w:r w:rsidRPr="00F93FFA">
        <w:rPr>
          <w:rFonts w:eastAsia="MS Mincho"/>
          <w:sz w:val="22"/>
          <w:szCs w:val="22"/>
        </w:rPr>
        <w:t>1 pav.</w:t>
      </w:r>
      <w:r w:rsidRPr="00F93FFA">
        <w:rPr>
          <w:rFonts w:eastAsia="MS Mincho"/>
          <w:iCs/>
          <w:color w:val="000000"/>
          <w:sz w:val="22"/>
          <w:szCs w:val="22"/>
          <w:lang w:eastAsia="ja-JP"/>
        </w:rPr>
        <w:t>).</w:t>
      </w:r>
    </w:p>
    <w:p w14:paraId="379EB5DC" w14:textId="77777777" w:rsidR="00314B70" w:rsidRPr="00F93FFA" w:rsidRDefault="00314B70" w:rsidP="00DE16D0">
      <w:pPr>
        <w:widowControl w:val="0"/>
        <w:rPr>
          <w:rFonts w:eastAsia="MS Mincho"/>
          <w:iCs/>
          <w:color w:val="000000"/>
          <w:sz w:val="22"/>
          <w:szCs w:val="22"/>
          <w:lang w:eastAsia="ja-JP"/>
        </w:rPr>
      </w:pPr>
    </w:p>
    <w:p w14:paraId="5EB38606" w14:textId="4068315E" w:rsidR="00314B70" w:rsidRPr="00F93FFA" w:rsidRDefault="00314B70" w:rsidP="00DE16D0">
      <w:pPr>
        <w:widowControl w:val="0"/>
        <w:rPr>
          <w:rFonts w:eastAsia="MS Mincho"/>
          <w:iCs/>
          <w:color w:val="000000"/>
          <w:sz w:val="22"/>
          <w:szCs w:val="22"/>
          <w:lang w:eastAsia="ja-JP"/>
        </w:rPr>
      </w:pPr>
      <w:r w:rsidRPr="00F93FFA">
        <w:rPr>
          <w:rFonts w:eastAsia="MS Mincho"/>
          <w:iCs/>
          <w:color w:val="000000"/>
          <w:sz w:val="22"/>
          <w:szCs w:val="22"/>
          <w:lang w:eastAsia="ja-JP"/>
        </w:rPr>
        <w:t>Be to, t</w:t>
      </w:r>
      <w:r w:rsidRPr="00F93FFA">
        <w:rPr>
          <w:rFonts w:eastAsia="MS Mincho"/>
          <w:iCs/>
          <w:sz w:val="22"/>
          <w:szCs w:val="22"/>
          <w:lang w:eastAsia="ja-JP"/>
        </w:rPr>
        <w:t>risdešimt šešių (36) mėnesių trukmės gydymas Glivec reikšmingai pailgino bendrojo išgyvenamumo rodiklį, lyginant su 12</w:t>
      </w:r>
      <w:r w:rsidRPr="00F93FFA">
        <w:rPr>
          <w:rFonts w:eastAsia="MS Mincho"/>
          <w:sz w:val="22"/>
          <w:szCs w:val="22"/>
          <w:lang w:eastAsia="ja-JP"/>
        </w:rPr>
        <w:t> </w:t>
      </w:r>
      <w:r w:rsidRPr="00F93FFA">
        <w:rPr>
          <w:rFonts w:eastAsia="MS Mincho"/>
          <w:iCs/>
          <w:sz w:val="22"/>
          <w:szCs w:val="22"/>
          <w:lang w:eastAsia="ja-JP"/>
        </w:rPr>
        <w:t xml:space="preserve">mėnesių trukmės gydymu Glivec </w:t>
      </w:r>
      <w:r w:rsidRPr="00F93FFA">
        <w:rPr>
          <w:rFonts w:eastAsia="MS Mincho"/>
          <w:iCs/>
          <w:color w:val="000000"/>
          <w:sz w:val="22"/>
          <w:szCs w:val="22"/>
          <w:lang w:eastAsia="ja-JP"/>
        </w:rPr>
        <w:t>(RS</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0,45 [0,22, 0,89], p</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w:t>
      </w:r>
      <w:r w:rsidR="00B37342" w:rsidRPr="00F93FFA">
        <w:rPr>
          <w:rFonts w:eastAsia="MS Mincho"/>
          <w:iCs/>
          <w:color w:val="000000"/>
          <w:sz w:val="22"/>
          <w:szCs w:val="22"/>
          <w:lang w:eastAsia="ja-JP"/>
        </w:rPr>
        <w:t> </w:t>
      </w:r>
      <w:r w:rsidRPr="00F93FFA">
        <w:rPr>
          <w:rFonts w:eastAsia="MS Mincho"/>
          <w:iCs/>
          <w:color w:val="000000"/>
          <w:sz w:val="22"/>
          <w:szCs w:val="22"/>
          <w:lang w:eastAsia="ja-JP"/>
        </w:rPr>
        <w:t xml:space="preserve">0,0187) (žr. </w:t>
      </w:r>
      <w:r w:rsidR="00BC035E" w:rsidRPr="00F93FFA">
        <w:rPr>
          <w:rFonts w:eastAsia="MS Mincho"/>
          <w:iCs/>
          <w:color w:val="000000"/>
          <w:sz w:val="22"/>
          <w:szCs w:val="22"/>
          <w:lang w:eastAsia="ja-JP"/>
        </w:rPr>
        <w:t>8</w:t>
      </w:r>
      <w:r w:rsidRPr="00F93FFA">
        <w:rPr>
          <w:rFonts w:eastAsia="MS Mincho"/>
          <w:iCs/>
          <w:color w:val="000000"/>
          <w:sz w:val="22"/>
          <w:szCs w:val="22"/>
          <w:lang w:eastAsia="ja-JP"/>
        </w:rPr>
        <w:t> lentelę, 2</w:t>
      </w:r>
      <w:r w:rsidRPr="00F93FFA">
        <w:rPr>
          <w:rFonts w:eastAsia="MS Mincho"/>
          <w:sz w:val="22"/>
          <w:szCs w:val="22"/>
        </w:rPr>
        <w:t> pav.</w:t>
      </w:r>
      <w:r w:rsidRPr="00F93FFA">
        <w:rPr>
          <w:rFonts w:eastAsia="MS Mincho"/>
          <w:iCs/>
          <w:color w:val="000000"/>
          <w:sz w:val="22"/>
          <w:szCs w:val="22"/>
          <w:lang w:eastAsia="ja-JP"/>
        </w:rPr>
        <w:t>).</w:t>
      </w:r>
    </w:p>
    <w:p w14:paraId="28296A80" w14:textId="77777777" w:rsidR="00314B70" w:rsidRPr="00F93FFA" w:rsidRDefault="00314B70" w:rsidP="00DE16D0">
      <w:pPr>
        <w:widowControl w:val="0"/>
        <w:rPr>
          <w:rFonts w:eastAsia="MS Mincho"/>
          <w:iCs/>
          <w:color w:val="000000"/>
          <w:sz w:val="22"/>
          <w:szCs w:val="22"/>
          <w:lang w:eastAsia="ja-JP"/>
        </w:rPr>
      </w:pPr>
    </w:p>
    <w:p w14:paraId="57E76D91" w14:textId="77777777" w:rsidR="00314B70" w:rsidRPr="00F93FFA" w:rsidRDefault="00314B70" w:rsidP="00DE16D0">
      <w:pPr>
        <w:widowControl w:val="0"/>
        <w:rPr>
          <w:rFonts w:eastAsia="MS Mincho"/>
          <w:iCs/>
          <w:color w:val="000000"/>
          <w:sz w:val="22"/>
          <w:szCs w:val="22"/>
          <w:lang w:eastAsia="ja-JP"/>
        </w:rPr>
      </w:pPr>
      <w:r w:rsidRPr="00F93FFA">
        <w:rPr>
          <w:rFonts w:eastAsia="MS Mincho"/>
          <w:iCs/>
          <w:color w:val="000000"/>
          <w:sz w:val="22"/>
          <w:szCs w:val="22"/>
          <w:lang w:eastAsia="ja-JP"/>
        </w:rPr>
        <w:t>Ilgesnė gydymo trukmė (&gt; 36 mėnesių) gali atitolinti kitų recidyvų pasireiškimo pradžią; tačiau šių duomenų reikšmė bendrajam išgyvenamumui iki šiol nežinoma.</w:t>
      </w:r>
    </w:p>
    <w:p w14:paraId="64632EF0" w14:textId="77777777" w:rsidR="00314B70" w:rsidRPr="00F93FFA" w:rsidRDefault="00314B70" w:rsidP="00DE16D0">
      <w:pPr>
        <w:widowControl w:val="0"/>
        <w:rPr>
          <w:rFonts w:eastAsia="MS Mincho"/>
          <w:iCs/>
          <w:color w:val="000000"/>
          <w:sz w:val="22"/>
          <w:szCs w:val="22"/>
          <w:lang w:eastAsia="ja-JP"/>
        </w:rPr>
      </w:pPr>
    </w:p>
    <w:p w14:paraId="4C0C902B" w14:textId="77777777" w:rsidR="00314B70" w:rsidRPr="00F93FFA" w:rsidRDefault="00314B70" w:rsidP="00DE16D0">
      <w:pPr>
        <w:widowControl w:val="0"/>
        <w:rPr>
          <w:rFonts w:eastAsia="MS Mincho"/>
          <w:iCs/>
          <w:color w:val="000000"/>
          <w:sz w:val="22"/>
          <w:szCs w:val="22"/>
          <w:lang w:eastAsia="ja-JP"/>
        </w:rPr>
      </w:pPr>
      <w:r w:rsidRPr="00F93FFA">
        <w:rPr>
          <w:rFonts w:eastAsia="MS Mincho"/>
          <w:iCs/>
          <w:sz w:val="22"/>
          <w:szCs w:val="22"/>
          <w:lang w:eastAsia="ja-JP"/>
        </w:rPr>
        <w:t>12</w:t>
      </w:r>
      <w:r w:rsidRPr="00F93FFA">
        <w:rPr>
          <w:rFonts w:eastAsia="MS Mincho"/>
          <w:sz w:val="22"/>
          <w:szCs w:val="22"/>
          <w:lang w:eastAsia="ja-JP"/>
        </w:rPr>
        <w:t> </w:t>
      </w:r>
      <w:r w:rsidRPr="00F93FFA">
        <w:rPr>
          <w:rFonts w:eastAsia="MS Mincho"/>
          <w:iCs/>
          <w:sz w:val="22"/>
          <w:szCs w:val="22"/>
          <w:lang w:eastAsia="ja-JP"/>
        </w:rPr>
        <w:t xml:space="preserve">mėnesių trukmės ir </w:t>
      </w:r>
      <w:r w:rsidRPr="00F93FFA">
        <w:rPr>
          <w:rFonts w:eastAsia="MS Mincho"/>
          <w:iCs/>
          <w:color w:val="000000"/>
          <w:sz w:val="22"/>
          <w:szCs w:val="22"/>
          <w:lang w:eastAsia="ja-JP"/>
        </w:rPr>
        <w:t>36 mėnesių trukmės gydymo grupėse bendrasis mirčių atvejų skaičius buvo, atitinkamai, 25 ir 12.</w:t>
      </w:r>
    </w:p>
    <w:p w14:paraId="19039971" w14:textId="77777777" w:rsidR="00314B70" w:rsidRPr="00F93FFA" w:rsidRDefault="00314B70" w:rsidP="00DE16D0">
      <w:pPr>
        <w:widowControl w:val="0"/>
        <w:rPr>
          <w:rFonts w:eastAsia="MS Mincho"/>
          <w:iCs/>
          <w:sz w:val="22"/>
          <w:szCs w:val="22"/>
          <w:lang w:eastAsia="ja-JP"/>
        </w:rPr>
      </w:pPr>
    </w:p>
    <w:p w14:paraId="3A223308" w14:textId="77777777" w:rsidR="00314B70" w:rsidRPr="00F93FFA" w:rsidRDefault="00314B70" w:rsidP="00DE16D0">
      <w:pPr>
        <w:widowControl w:val="0"/>
        <w:rPr>
          <w:rFonts w:eastAsia="MS Mincho"/>
          <w:iCs/>
          <w:sz w:val="22"/>
          <w:szCs w:val="22"/>
          <w:lang w:eastAsia="ja-JP"/>
        </w:rPr>
      </w:pPr>
      <w:r w:rsidRPr="00F93FFA">
        <w:rPr>
          <w:rFonts w:eastAsia="MS Mincho"/>
          <w:iCs/>
          <w:sz w:val="22"/>
          <w:szCs w:val="22"/>
          <w:lang w:eastAsia="ja-JP"/>
        </w:rPr>
        <w:t xml:space="preserve">Atlikus gydymui atrinktos populiacijos analizę (t. y., įtraukiant visos tyrimo populiacijos duomenis) nustatyta, kad 36 mėnesių trukmės gydymas imatinibu buvo veiksmingesnis nei 12 mėnesių trukmės gydymas. Atlikus planuotą pogrupių analizę pagal mutacijos tipą nustatyta, kad 36 mėnesius gydant pacientus, kuriems nustatytos 11 egzono mutacijos, RFS rodiklio rizikos santykis buvo 0,35 [95 % PI: 0,22, 0,56]. Kadangi pasireiškusių recidyvų skaičius buvo nedidelis, negalima pateikti jokių išvadų apie </w:t>
      </w:r>
      <w:r w:rsidR="00D62405" w:rsidRPr="00F93FFA">
        <w:rPr>
          <w:rFonts w:eastAsia="MS Mincho"/>
          <w:iCs/>
          <w:sz w:val="22"/>
          <w:szCs w:val="22"/>
          <w:lang w:eastAsia="ja-JP"/>
        </w:rPr>
        <w:t xml:space="preserve">vaistinio preparato </w:t>
      </w:r>
      <w:r w:rsidRPr="00F93FFA">
        <w:rPr>
          <w:rFonts w:eastAsia="MS Mincho"/>
          <w:iCs/>
          <w:sz w:val="22"/>
          <w:szCs w:val="22"/>
          <w:lang w:eastAsia="ja-JP"/>
        </w:rPr>
        <w:t>poveikį pacientų, kuriems nustatytos kitos retesnės mutacijos, pogrupiams.</w:t>
      </w:r>
    </w:p>
    <w:p w14:paraId="4D0C8F79" w14:textId="77777777" w:rsidR="00314B70" w:rsidRPr="00F93FFA" w:rsidRDefault="00314B70" w:rsidP="00DE16D0">
      <w:pPr>
        <w:widowControl w:val="0"/>
        <w:rPr>
          <w:rFonts w:eastAsia="MS Mincho"/>
          <w:iCs/>
          <w:sz w:val="22"/>
          <w:szCs w:val="22"/>
          <w:lang w:eastAsia="ja-JP"/>
        </w:rPr>
      </w:pPr>
    </w:p>
    <w:p w14:paraId="75E8FF6D" w14:textId="77777777" w:rsidR="00314B70" w:rsidRPr="00F93FFA" w:rsidRDefault="00BC035E" w:rsidP="0003209B">
      <w:pPr>
        <w:keepNext/>
        <w:keepLines/>
        <w:widowControl w:val="0"/>
        <w:ind w:left="1134" w:hanging="1134"/>
        <w:rPr>
          <w:rFonts w:eastAsia="MS Mincho"/>
          <w:b/>
          <w:sz w:val="22"/>
          <w:szCs w:val="22"/>
          <w:lang w:eastAsia="ja-JP"/>
        </w:rPr>
      </w:pPr>
      <w:r w:rsidRPr="00F93FFA">
        <w:rPr>
          <w:rFonts w:eastAsia="MS Mincho"/>
          <w:b/>
          <w:sz w:val="22"/>
          <w:szCs w:val="22"/>
        </w:rPr>
        <w:lastRenderedPageBreak/>
        <w:t>8</w:t>
      </w:r>
      <w:r w:rsidR="00314B70" w:rsidRPr="00F93FFA">
        <w:rPr>
          <w:rFonts w:eastAsia="MS Mincho"/>
          <w:b/>
          <w:sz w:val="22"/>
          <w:szCs w:val="22"/>
        </w:rPr>
        <w:t> lentelė</w:t>
      </w:r>
      <w:r w:rsidR="00314B70" w:rsidRPr="00F93FFA">
        <w:rPr>
          <w:rFonts w:eastAsia="MS Mincho"/>
          <w:sz w:val="22"/>
          <w:szCs w:val="22"/>
        </w:rPr>
        <w:tab/>
      </w:r>
      <w:r w:rsidR="00314B70" w:rsidRPr="00F93FFA">
        <w:rPr>
          <w:rFonts w:eastAsia="MS Mincho"/>
          <w:b/>
          <w:sz w:val="22"/>
          <w:szCs w:val="22"/>
          <w:lang w:eastAsia="ja-JP"/>
        </w:rPr>
        <w:t>12 mėnesių ir 36 mėnesių trukmės gydymas Glivec (SSGXVIII/AIO klinikinis tyrimas)</w:t>
      </w:r>
    </w:p>
    <w:p w14:paraId="069BFD13" w14:textId="77777777" w:rsidR="00314B70" w:rsidRPr="00F93FFA" w:rsidRDefault="00314B70" w:rsidP="0003209B">
      <w:pPr>
        <w:keepNext/>
        <w:keepLines/>
        <w:widowControl w:val="0"/>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314B70" w:rsidRPr="00F93FFA" w14:paraId="78B4DD17" w14:textId="77777777" w:rsidTr="0003209B">
        <w:trPr>
          <w:cantSplit/>
        </w:trPr>
        <w:tc>
          <w:tcPr>
            <w:tcW w:w="3099" w:type="dxa"/>
            <w:tcBorders>
              <w:top w:val="single" w:sz="4" w:space="0" w:color="auto"/>
              <w:bottom w:val="nil"/>
            </w:tcBorders>
            <w:shd w:val="clear" w:color="auto" w:fill="auto"/>
          </w:tcPr>
          <w:p w14:paraId="29487AC6" w14:textId="77777777" w:rsidR="00314B70" w:rsidRPr="00F93FFA" w:rsidRDefault="00314B70" w:rsidP="0003209B">
            <w:pPr>
              <w:keepNext/>
              <w:keepLines/>
              <w:widowControl w:val="0"/>
              <w:tabs>
                <w:tab w:val="left" w:pos="284"/>
              </w:tabs>
              <w:rPr>
                <w:rFonts w:eastAsia="MS Mincho"/>
                <w:sz w:val="22"/>
                <w:szCs w:val="22"/>
              </w:rPr>
            </w:pPr>
          </w:p>
        </w:tc>
        <w:tc>
          <w:tcPr>
            <w:tcW w:w="3100" w:type="dxa"/>
            <w:tcBorders>
              <w:top w:val="single" w:sz="4" w:space="0" w:color="auto"/>
              <w:bottom w:val="nil"/>
            </w:tcBorders>
            <w:shd w:val="clear" w:color="auto" w:fill="auto"/>
          </w:tcPr>
          <w:p w14:paraId="5C9AD299"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12 mėnesių trukmės gydymo grupė</w:t>
            </w:r>
          </w:p>
        </w:tc>
        <w:tc>
          <w:tcPr>
            <w:tcW w:w="3100" w:type="dxa"/>
            <w:tcBorders>
              <w:top w:val="single" w:sz="4" w:space="0" w:color="auto"/>
              <w:bottom w:val="nil"/>
            </w:tcBorders>
            <w:shd w:val="clear" w:color="auto" w:fill="auto"/>
          </w:tcPr>
          <w:p w14:paraId="3A8E1B2A"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36 mėnesių trukmės gydymo grupė</w:t>
            </w:r>
          </w:p>
        </w:tc>
      </w:tr>
      <w:tr w:rsidR="00314B70" w:rsidRPr="00F93FFA" w14:paraId="5D49C9B7" w14:textId="77777777" w:rsidTr="0003209B">
        <w:trPr>
          <w:cantSplit/>
        </w:trPr>
        <w:tc>
          <w:tcPr>
            <w:tcW w:w="3099" w:type="dxa"/>
            <w:tcBorders>
              <w:top w:val="nil"/>
            </w:tcBorders>
            <w:shd w:val="clear" w:color="auto" w:fill="auto"/>
          </w:tcPr>
          <w:p w14:paraId="4D92BC75"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RFS rodiklis</w:t>
            </w:r>
          </w:p>
        </w:tc>
        <w:tc>
          <w:tcPr>
            <w:tcW w:w="3100" w:type="dxa"/>
            <w:tcBorders>
              <w:top w:val="nil"/>
            </w:tcBorders>
            <w:shd w:val="clear" w:color="auto" w:fill="auto"/>
          </w:tcPr>
          <w:p w14:paraId="1154AD26"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%(PI)</w:t>
            </w:r>
          </w:p>
        </w:tc>
        <w:tc>
          <w:tcPr>
            <w:tcW w:w="3100" w:type="dxa"/>
            <w:tcBorders>
              <w:top w:val="nil"/>
            </w:tcBorders>
            <w:shd w:val="clear" w:color="auto" w:fill="auto"/>
          </w:tcPr>
          <w:p w14:paraId="788339B5"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%(PI)</w:t>
            </w:r>
          </w:p>
        </w:tc>
      </w:tr>
      <w:tr w:rsidR="00314B70" w:rsidRPr="00F93FFA" w14:paraId="3077DC92" w14:textId="77777777" w:rsidTr="0003209B">
        <w:trPr>
          <w:cantSplit/>
        </w:trPr>
        <w:tc>
          <w:tcPr>
            <w:tcW w:w="3099" w:type="dxa"/>
            <w:shd w:val="clear" w:color="auto" w:fill="auto"/>
          </w:tcPr>
          <w:p w14:paraId="72CC6026"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12</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25917683"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93,7 (89,2</w:t>
            </w:r>
            <w:r w:rsidRPr="00F93FFA">
              <w:rPr>
                <w:rFonts w:eastAsia="MS Mincho"/>
                <w:sz w:val="22"/>
                <w:szCs w:val="22"/>
              </w:rPr>
              <w:noBreakHyphen/>
              <w:t>96,4)</w:t>
            </w:r>
          </w:p>
        </w:tc>
        <w:tc>
          <w:tcPr>
            <w:tcW w:w="3100" w:type="dxa"/>
            <w:shd w:val="clear" w:color="auto" w:fill="auto"/>
          </w:tcPr>
          <w:p w14:paraId="587C37DC"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95,9 (91,9</w:t>
            </w:r>
            <w:r w:rsidRPr="00F93FFA">
              <w:rPr>
                <w:rFonts w:eastAsia="MS Mincho"/>
                <w:sz w:val="22"/>
                <w:szCs w:val="22"/>
              </w:rPr>
              <w:noBreakHyphen/>
              <w:t>97,9)</w:t>
            </w:r>
          </w:p>
        </w:tc>
      </w:tr>
      <w:tr w:rsidR="00314B70" w:rsidRPr="00F93FFA" w14:paraId="1DF67D39" w14:textId="77777777" w:rsidTr="0003209B">
        <w:trPr>
          <w:cantSplit/>
        </w:trPr>
        <w:tc>
          <w:tcPr>
            <w:tcW w:w="3099" w:type="dxa"/>
            <w:shd w:val="clear" w:color="auto" w:fill="auto"/>
          </w:tcPr>
          <w:p w14:paraId="0155AB3A"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24</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4E968FE9"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75,4 (68,6</w:t>
            </w:r>
            <w:r w:rsidRPr="00F93FFA">
              <w:rPr>
                <w:rFonts w:eastAsia="MS Mincho"/>
                <w:sz w:val="22"/>
                <w:szCs w:val="22"/>
              </w:rPr>
              <w:noBreakHyphen/>
              <w:t>81,0)</w:t>
            </w:r>
          </w:p>
        </w:tc>
        <w:tc>
          <w:tcPr>
            <w:tcW w:w="3100" w:type="dxa"/>
            <w:shd w:val="clear" w:color="auto" w:fill="auto"/>
          </w:tcPr>
          <w:p w14:paraId="011BAE33"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90,7 (85,6</w:t>
            </w:r>
            <w:r w:rsidRPr="00F93FFA">
              <w:rPr>
                <w:rFonts w:eastAsia="MS Mincho"/>
                <w:sz w:val="22"/>
                <w:szCs w:val="22"/>
              </w:rPr>
              <w:noBreakHyphen/>
              <w:t>94,0)</w:t>
            </w:r>
          </w:p>
        </w:tc>
      </w:tr>
      <w:tr w:rsidR="00314B70" w:rsidRPr="00F93FFA" w14:paraId="74DCB009" w14:textId="77777777" w:rsidTr="0003209B">
        <w:trPr>
          <w:cantSplit/>
        </w:trPr>
        <w:tc>
          <w:tcPr>
            <w:tcW w:w="3099" w:type="dxa"/>
            <w:shd w:val="clear" w:color="auto" w:fill="auto"/>
          </w:tcPr>
          <w:p w14:paraId="142EAB02"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36</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5D632CA7"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60,1 (52,5</w:t>
            </w:r>
            <w:r w:rsidRPr="00F93FFA">
              <w:rPr>
                <w:rFonts w:eastAsia="MS Mincho"/>
                <w:sz w:val="22"/>
                <w:szCs w:val="22"/>
              </w:rPr>
              <w:noBreakHyphen/>
              <w:t>66,9)</w:t>
            </w:r>
          </w:p>
        </w:tc>
        <w:tc>
          <w:tcPr>
            <w:tcW w:w="3100" w:type="dxa"/>
            <w:shd w:val="clear" w:color="auto" w:fill="auto"/>
          </w:tcPr>
          <w:p w14:paraId="40B4D859"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86,6 (80,8</w:t>
            </w:r>
            <w:r w:rsidRPr="00F93FFA">
              <w:rPr>
                <w:rFonts w:eastAsia="MS Mincho"/>
                <w:sz w:val="22"/>
                <w:szCs w:val="22"/>
              </w:rPr>
              <w:noBreakHyphen/>
              <w:t>90,8)</w:t>
            </w:r>
          </w:p>
        </w:tc>
      </w:tr>
      <w:tr w:rsidR="00314B70" w:rsidRPr="00F93FFA" w14:paraId="31E20E42" w14:textId="77777777" w:rsidTr="0003209B">
        <w:trPr>
          <w:cantSplit/>
        </w:trPr>
        <w:tc>
          <w:tcPr>
            <w:tcW w:w="3099" w:type="dxa"/>
            <w:shd w:val="clear" w:color="auto" w:fill="auto"/>
          </w:tcPr>
          <w:p w14:paraId="515A4414"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48</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0EF28205"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52,3 (44,0</w:t>
            </w:r>
            <w:r w:rsidRPr="00F93FFA">
              <w:rPr>
                <w:rFonts w:eastAsia="MS Mincho"/>
                <w:sz w:val="22"/>
                <w:szCs w:val="22"/>
              </w:rPr>
              <w:noBreakHyphen/>
              <w:t>59,8)</w:t>
            </w:r>
          </w:p>
        </w:tc>
        <w:tc>
          <w:tcPr>
            <w:tcW w:w="3100" w:type="dxa"/>
            <w:shd w:val="clear" w:color="auto" w:fill="auto"/>
          </w:tcPr>
          <w:p w14:paraId="0872A9A0"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78,3 (70,8</w:t>
            </w:r>
            <w:r w:rsidRPr="00F93FFA">
              <w:rPr>
                <w:rFonts w:eastAsia="MS Mincho"/>
                <w:sz w:val="22"/>
                <w:szCs w:val="22"/>
              </w:rPr>
              <w:noBreakHyphen/>
              <w:t>84,1)</w:t>
            </w:r>
          </w:p>
        </w:tc>
      </w:tr>
      <w:tr w:rsidR="00314B70" w:rsidRPr="00F93FFA" w14:paraId="5F30A905" w14:textId="77777777" w:rsidTr="0003209B">
        <w:trPr>
          <w:cantSplit/>
        </w:trPr>
        <w:tc>
          <w:tcPr>
            <w:tcW w:w="3099" w:type="dxa"/>
            <w:shd w:val="clear" w:color="auto" w:fill="auto"/>
          </w:tcPr>
          <w:p w14:paraId="4849B71E"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60</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4F02DC21"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47,9 (39,0</w:t>
            </w:r>
            <w:r w:rsidRPr="00F93FFA">
              <w:rPr>
                <w:rFonts w:eastAsia="MS Mincho"/>
                <w:sz w:val="22"/>
                <w:szCs w:val="22"/>
              </w:rPr>
              <w:noBreakHyphen/>
              <w:t>56,3)</w:t>
            </w:r>
          </w:p>
        </w:tc>
        <w:tc>
          <w:tcPr>
            <w:tcW w:w="3100" w:type="dxa"/>
            <w:shd w:val="clear" w:color="auto" w:fill="auto"/>
          </w:tcPr>
          <w:p w14:paraId="3BC3BCD9"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65,6 (56,1</w:t>
            </w:r>
            <w:r w:rsidRPr="00F93FFA">
              <w:rPr>
                <w:rFonts w:eastAsia="MS Mincho"/>
                <w:sz w:val="22"/>
                <w:szCs w:val="22"/>
              </w:rPr>
              <w:noBreakHyphen/>
              <w:t>73,4)</w:t>
            </w:r>
          </w:p>
        </w:tc>
      </w:tr>
      <w:tr w:rsidR="00314B70" w:rsidRPr="00F93FFA" w14:paraId="25685701" w14:textId="77777777" w:rsidTr="0003209B">
        <w:trPr>
          <w:cantSplit/>
        </w:trPr>
        <w:tc>
          <w:tcPr>
            <w:tcW w:w="3099" w:type="dxa"/>
            <w:shd w:val="clear" w:color="auto" w:fill="auto"/>
          </w:tcPr>
          <w:p w14:paraId="68D11D00" w14:textId="77777777" w:rsidR="00314B70" w:rsidRPr="00F93FFA" w:rsidRDefault="00314B70" w:rsidP="0003209B">
            <w:pPr>
              <w:keepNext/>
              <w:keepLines/>
              <w:widowControl w:val="0"/>
              <w:tabs>
                <w:tab w:val="left" w:pos="284"/>
              </w:tabs>
              <w:rPr>
                <w:rFonts w:eastAsia="MS Mincho"/>
                <w:b/>
                <w:sz w:val="22"/>
                <w:szCs w:val="22"/>
              </w:rPr>
            </w:pPr>
            <w:r w:rsidRPr="00F93FFA">
              <w:rPr>
                <w:rFonts w:eastAsia="MS Mincho"/>
                <w:b/>
                <w:sz w:val="22"/>
                <w:szCs w:val="22"/>
              </w:rPr>
              <w:t>Išgyvenamumas</w:t>
            </w:r>
          </w:p>
        </w:tc>
        <w:tc>
          <w:tcPr>
            <w:tcW w:w="3100" w:type="dxa"/>
            <w:shd w:val="clear" w:color="auto" w:fill="auto"/>
          </w:tcPr>
          <w:p w14:paraId="39527054" w14:textId="77777777" w:rsidR="00314B70" w:rsidRPr="00F93FFA" w:rsidRDefault="00314B70" w:rsidP="0003209B">
            <w:pPr>
              <w:keepNext/>
              <w:keepLines/>
              <w:widowControl w:val="0"/>
              <w:tabs>
                <w:tab w:val="left" w:pos="284"/>
              </w:tabs>
              <w:rPr>
                <w:rFonts w:eastAsia="MS Mincho"/>
                <w:sz w:val="22"/>
                <w:szCs w:val="22"/>
              </w:rPr>
            </w:pPr>
          </w:p>
        </w:tc>
        <w:tc>
          <w:tcPr>
            <w:tcW w:w="3100" w:type="dxa"/>
            <w:shd w:val="clear" w:color="auto" w:fill="auto"/>
          </w:tcPr>
          <w:p w14:paraId="2AAC0C80" w14:textId="77777777" w:rsidR="00314B70" w:rsidRPr="00F93FFA" w:rsidRDefault="00314B70" w:rsidP="0003209B">
            <w:pPr>
              <w:keepNext/>
              <w:keepLines/>
              <w:widowControl w:val="0"/>
              <w:tabs>
                <w:tab w:val="left" w:pos="284"/>
              </w:tabs>
              <w:rPr>
                <w:rFonts w:eastAsia="MS Mincho"/>
                <w:sz w:val="22"/>
                <w:szCs w:val="22"/>
              </w:rPr>
            </w:pPr>
          </w:p>
        </w:tc>
      </w:tr>
      <w:tr w:rsidR="00314B70" w:rsidRPr="00F93FFA" w14:paraId="6D777B0B" w14:textId="77777777" w:rsidTr="0003209B">
        <w:trPr>
          <w:cantSplit/>
        </w:trPr>
        <w:tc>
          <w:tcPr>
            <w:tcW w:w="3099" w:type="dxa"/>
            <w:shd w:val="clear" w:color="auto" w:fill="auto"/>
          </w:tcPr>
          <w:p w14:paraId="2EDE864C"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36</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29D2EFA5"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94,0 (89,5</w:t>
            </w:r>
            <w:r w:rsidRPr="00F93FFA">
              <w:rPr>
                <w:rFonts w:eastAsia="MS Mincho"/>
                <w:sz w:val="22"/>
                <w:szCs w:val="22"/>
              </w:rPr>
              <w:noBreakHyphen/>
              <w:t>96,7)</w:t>
            </w:r>
          </w:p>
        </w:tc>
        <w:tc>
          <w:tcPr>
            <w:tcW w:w="3100" w:type="dxa"/>
            <w:shd w:val="clear" w:color="auto" w:fill="auto"/>
          </w:tcPr>
          <w:p w14:paraId="1C406536"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96,3 (92,4</w:t>
            </w:r>
            <w:r w:rsidRPr="00F93FFA">
              <w:rPr>
                <w:rFonts w:eastAsia="MS Mincho"/>
                <w:sz w:val="22"/>
                <w:szCs w:val="22"/>
              </w:rPr>
              <w:noBreakHyphen/>
              <w:t>98,2)</w:t>
            </w:r>
          </w:p>
        </w:tc>
      </w:tr>
      <w:tr w:rsidR="00314B70" w:rsidRPr="00F93FFA" w14:paraId="04027F21" w14:textId="77777777" w:rsidTr="0003209B">
        <w:trPr>
          <w:cantSplit/>
        </w:trPr>
        <w:tc>
          <w:tcPr>
            <w:tcW w:w="3099" w:type="dxa"/>
            <w:shd w:val="clear" w:color="auto" w:fill="auto"/>
          </w:tcPr>
          <w:p w14:paraId="1BB83834"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48</w:t>
            </w:r>
            <w:r w:rsidRPr="00F93FFA">
              <w:rPr>
                <w:rFonts w:eastAsia="MS Mincho"/>
                <w:sz w:val="22"/>
                <w:szCs w:val="22"/>
                <w:lang w:eastAsia="ja-JP"/>
              </w:rPr>
              <w:t> </w:t>
            </w:r>
            <w:r w:rsidRPr="00F93FFA">
              <w:rPr>
                <w:rFonts w:eastAsia="MS Mincho"/>
                <w:sz w:val="22"/>
                <w:szCs w:val="22"/>
              </w:rPr>
              <w:t>mėnesiai</w:t>
            </w:r>
          </w:p>
        </w:tc>
        <w:tc>
          <w:tcPr>
            <w:tcW w:w="3100" w:type="dxa"/>
            <w:shd w:val="clear" w:color="auto" w:fill="auto"/>
          </w:tcPr>
          <w:p w14:paraId="0550E941"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87,9 (81,1</w:t>
            </w:r>
            <w:r w:rsidRPr="00F93FFA">
              <w:rPr>
                <w:rFonts w:eastAsia="MS Mincho"/>
                <w:sz w:val="22"/>
                <w:szCs w:val="22"/>
              </w:rPr>
              <w:noBreakHyphen/>
              <w:t>92,3)</w:t>
            </w:r>
          </w:p>
        </w:tc>
        <w:tc>
          <w:tcPr>
            <w:tcW w:w="3100" w:type="dxa"/>
            <w:shd w:val="clear" w:color="auto" w:fill="auto"/>
          </w:tcPr>
          <w:p w14:paraId="0C11053C"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95,6 (91,2</w:t>
            </w:r>
            <w:r w:rsidRPr="00F93FFA">
              <w:rPr>
                <w:rFonts w:eastAsia="MS Mincho"/>
                <w:sz w:val="22"/>
                <w:szCs w:val="22"/>
              </w:rPr>
              <w:noBreakHyphen/>
              <w:t>97,8)</w:t>
            </w:r>
          </w:p>
        </w:tc>
      </w:tr>
      <w:tr w:rsidR="00314B70" w:rsidRPr="00F93FFA" w14:paraId="4E2A5E38" w14:textId="77777777" w:rsidTr="0003209B">
        <w:trPr>
          <w:cantSplit/>
        </w:trPr>
        <w:tc>
          <w:tcPr>
            <w:tcW w:w="3099" w:type="dxa"/>
            <w:shd w:val="clear" w:color="auto" w:fill="auto"/>
          </w:tcPr>
          <w:p w14:paraId="6ED3CE88" w14:textId="77777777" w:rsidR="00314B70" w:rsidRPr="00F93FFA" w:rsidRDefault="00314B70" w:rsidP="0003209B">
            <w:pPr>
              <w:keepNext/>
              <w:keepLines/>
              <w:widowControl w:val="0"/>
              <w:ind w:left="284"/>
              <w:rPr>
                <w:rFonts w:eastAsia="MS Mincho"/>
                <w:sz w:val="22"/>
                <w:szCs w:val="22"/>
              </w:rPr>
            </w:pPr>
            <w:r w:rsidRPr="00F93FFA">
              <w:rPr>
                <w:rFonts w:eastAsia="MS Mincho"/>
                <w:sz w:val="22"/>
                <w:szCs w:val="22"/>
              </w:rPr>
              <w:t>60</w:t>
            </w:r>
            <w:r w:rsidRPr="00F93FFA">
              <w:rPr>
                <w:rFonts w:eastAsia="MS Mincho"/>
                <w:sz w:val="22"/>
                <w:szCs w:val="22"/>
                <w:lang w:eastAsia="ja-JP"/>
              </w:rPr>
              <w:t> </w:t>
            </w:r>
            <w:r w:rsidRPr="00F93FFA">
              <w:rPr>
                <w:rFonts w:eastAsia="MS Mincho"/>
                <w:sz w:val="22"/>
                <w:szCs w:val="22"/>
              </w:rPr>
              <w:t>mėnesių</w:t>
            </w:r>
          </w:p>
        </w:tc>
        <w:tc>
          <w:tcPr>
            <w:tcW w:w="3100" w:type="dxa"/>
            <w:shd w:val="clear" w:color="auto" w:fill="auto"/>
          </w:tcPr>
          <w:p w14:paraId="4EA7246D"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81,7 (73,0</w:t>
            </w:r>
            <w:r w:rsidRPr="00F93FFA">
              <w:rPr>
                <w:rFonts w:eastAsia="MS Mincho"/>
                <w:sz w:val="22"/>
                <w:szCs w:val="22"/>
              </w:rPr>
              <w:noBreakHyphen/>
              <w:t>87,8)</w:t>
            </w:r>
          </w:p>
        </w:tc>
        <w:tc>
          <w:tcPr>
            <w:tcW w:w="3100" w:type="dxa"/>
            <w:shd w:val="clear" w:color="auto" w:fill="auto"/>
          </w:tcPr>
          <w:p w14:paraId="7D2D4E86" w14:textId="77777777" w:rsidR="00314B70" w:rsidRPr="00F93FFA" w:rsidRDefault="00314B70" w:rsidP="0003209B">
            <w:pPr>
              <w:keepNext/>
              <w:keepLines/>
              <w:widowControl w:val="0"/>
              <w:tabs>
                <w:tab w:val="left" w:pos="284"/>
              </w:tabs>
              <w:rPr>
                <w:rFonts w:eastAsia="MS Mincho"/>
                <w:sz w:val="22"/>
                <w:szCs w:val="22"/>
              </w:rPr>
            </w:pPr>
            <w:r w:rsidRPr="00F93FFA">
              <w:rPr>
                <w:rFonts w:eastAsia="MS Mincho"/>
                <w:sz w:val="22"/>
                <w:szCs w:val="22"/>
              </w:rPr>
              <w:t>92,0 (85,3</w:t>
            </w:r>
            <w:r w:rsidRPr="00F93FFA">
              <w:rPr>
                <w:rFonts w:eastAsia="MS Mincho"/>
                <w:sz w:val="22"/>
                <w:szCs w:val="22"/>
              </w:rPr>
              <w:noBreakHyphen/>
              <w:t>95,7)</w:t>
            </w:r>
          </w:p>
        </w:tc>
      </w:tr>
    </w:tbl>
    <w:p w14:paraId="4A6D67C7" w14:textId="77777777" w:rsidR="00314B70" w:rsidRPr="00F93FFA" w:rsidRDefault="00314B70" w:rsidP="00DE16D0">
      <w:pPr>
        <w:widowControl w:val="0"/>
        <w:rPr>
          <w:rFonts w:eastAsia="MS Mincho"/>
          <w:sz w:val="22"/>
          <w:szCs w:val="22"/>
        </w:rPr>
      </w:pPr>
    </w:p>
    <w:p w14:paraId="62332A89" w14:textId="77777777" w:rsidR="00314B70" w:rsidRPr="00F93FFA" w:rsidRDefault="00C3077F" w:rsidP="0003209B">
      <w:pPr>
        <w:keepNext/>
        <w:keepLines/>
        <w:widowControl w:val="0"/>
        <w:ind w:left="1134" w:hanging="1134"/>
        <w:rPr>
          <w:rFonts w:eastAsia="MS Mincho"/>
          <w:sz w:val="22"/>
          <w:szCs w:val="22"/>
        </w:rPr>
      </w:pPr>
      <w:r w:rsidRPr="00F93FFA">
        <w:rPr>
          <w:noProof/>
          <w:lang w:val="en-US"/>
        </w:rPr>
        <mc:AlternateContent>
          <mc:Choice Requires="wps">
            <w:drawing>
              <wp:anchor distT="0" distB="0" distL="114300" distR="114300" simplePos="0" relativeHeight="251658240" behindDoc="0" locked="0" layoutInCell="1" allowOverlap="1" wp14:anchorId="698F6A77" wp14:editId="3DF4381D">
                <wp:simplePos x="0" y="0"/>
                <wp:positionH relativeFrom="column">
                  <wp:posOffset>-221615</wp:posOffset>
                </wp:positionH>
                <wp:positionV relativeFrom="paragraph">
                  <wp:posOffset>114300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1840B" w14:textId="77777777" w:rsidR="00481ECF" w:rsidRDefault="00481ECF" w:rsidP="00314B70">
                            <w:pPr>
                              <w:rPr>
                                <w:rFonts w:ascii="Arial" w:hAnsi="Arial" w:cs="Arial"/>
                                <w:sz w:val="20"/>
                                <w:szCs w:val="20"/>
                              </w:rPr>
                            </w:pPr>
                            <w:r>
                              <w:rPr>
                                <w:rFonts w:ascii="Arial" w:hAnsi="Arial" w:cs="Arial"/>
                                <w:sz w:val="20"/>
                                <w:szCs w:val="20"/>
                              </w:rPr>
                              <w:t>Išgyvenamumo be ligos recidyvo tikimybė</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8F6A77" id="_x0000_s1032" type="#_x0000_t202" style="position:absolute;left:0;text-align:left;margin-left:-17.45pt;margin-top:9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Ea3TFbeAAAACQEAAA8AAABkcnMvZG93bnJldi54bWxMj0FLw0AQhe+C/2EZwVu7&#10;sS26jdkUEQqCIFir1Ns0mSbB7GzIbtvor3dy0tPweB9v3stWg2vVifrQeLZwM01AERe+bLiysH1b&#10;TwyoEJFLbD2ThW8KsMovLzJMS3/mVzptYqUkhEOKFuoYu1TrUNTkMEx9RyzewfcOo8i+0mWPZwl3&#10;rZ4lya122LB8qLGjx5qKr83RWfj8+DH0HvULPsX53Zq24fmwM9ZeXw0P96AiDfEPhrG+VIdcOu39&#10;kcugWguT+WIpqBhGNo3AePcWFmaWgM4z/X9B/gsAAP//AwBQSwECLQAUAAYACAAAACEAtoM4kv4A&#10;AADhAQAAEwAAAAAAAAAAAAAAAAAAAAAAW0NvbnRlbnRfVHlwZXNdLnhtbFBLAQItABQABgAIAAAA&#10;IQA4/SH/1gAAAJQBAAALAAAAAAAAAAAAAAAAAC8BAABfcmVscy8ucmVsc1BLAQItABQABgAIAAAA&#10;IQDsZFhuFgIAABcEAAAOAAAAAAAAAAAAAAAAAC4CAABkcnMvZTJvRG9jLnhtbFBLAQItABQABgAI&#10;AAAAIQBGt0xW3gAAAAkBAAAPAAAAAAAAAAAAAAAAAHAEAABkcnMvZG93bnJldi54bWxQSwUGAAAA&#10;AAQABADzAAAAewUAAAAA&#10;" stroked="f">
                <v:fill opacity="0"/>
                <v:textbox style="layout-flow:vertical;mso-layout-flow-alt:bottom-to-top">
                  <w:txbxContent>
                    <w:p w14:paraId="25D1840B" w14:textId="77777777" w:rsidR="00481ECF" w:rsidRDefault="00481ECF" w:rsidP="00314B70">
                      <w:pPr>
                        <w:rPr>
                          <w:rFonts w:ascii="Arial" w:hAnsi="Arial" w:cs="Arial"/>
                          <w:sz w:val="20"/>
                          <w:szCs w:val="20"/>
                        </w:rPr>
                      </w:pPr>
                      <w:r>
                        <w:rPr>
                          <w:rFonts w:ascii="Arial" w:hAnsi="Arial" w:cs="Arial"/>
                          <w:sz w:val="20"/>
                          <w:szCs w:val="20"/>
                        </w:rPr>
                        <w:t>Išgyvenamumo be ligos recidyvo tikimybė</w:t>
                      </w:r>
                    </w:p>
                  </w:txbxContent>
                </v:textbox>
              </v:shape>
            </w:pict>
          </mc:Fallback>
        </mc:AlternateContent>
      </w:r>
      <w:r w:rsidR="00314B70" w:rsidRPr="00F93FFA">
        <w:rPr>
          <w:rFonts w:eastAsia="MS Mincho"/>
          <w:b/>
          <w:sz w:val="22"/>
          <w:szCs w:val="22"/>
        </w:rPr>
        <w:t>1 pav.</w:t>
      </w:r>
      <w:r w:rsidR="00314B70" w:rsidRPr="00F93FFA">
        <w:rPr>
          <w:rFonts w:eastAsia="MS Mincho"/>
          <w:b/>
          <w:sz w:val="22"/>
          <w:szCs w:val="22"/>
        </w:rPr>
        <w:tab/>
        <w:t>Pirminės vertinamosios baigties išgyvenamumo be ligos recidyvo duomenys, Kaplan-Meier kreivė (ITT populiacija)</w:t>
      </w:r>
    </w:p>
    <w:p w14:paraId="5FF3C387" w14:textId="77777777" w:rsidR="00314B70" w:rsidRPr="00F93FFA" w:rsidRDefault="00314B70" w:rsidP="00DE16D0">
      <w:pPr>
        <w:keepNext/>
        <w:widowControl w:val="0"/>
        <w:rPr>
          <w:rFonts w:eastAsia="MS Mincho"/>
          <w:sz w:val="22"/>
          <w:szCs w:val="22"/>
        </w:rPr>
      </w:pPr>
    </w:p>
    <w:p w14:paraId="25A0F241" w14:textId="77777777" w:rsidR="00314B7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59264" behindDoc="0" locked="0" layoutInCell="1" allowOverlap="1" wp14:anchorId="5D19850E" wp14:editId="37123FBB">
                <wp:simplePos x="0" y="0"/>
                <wp:positionH relativeFrom="column">
                  <wp:posOffset>350520</wp:posOffset>
                </wp:positionH>
                <wp:positionV relativeFrom="paragraph">
                  <wp:posOffset>1267460</wp:posOffset>
                </wp:positionV>
                <wp:extent cx="4585335" cy="11531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817"/>
                              <w:gridCol w:w="1680"/>
                            </w:tblGrid>
                            <w:tr w:rsidR="00481ECF" w14:paraId="5D57C8C0" w14:textId="77777777">
                              <w:trPr>
                                <w:gridAfter w:val="3"/>
                                <w:wAfter w:w="3348" w:type="dxa"/>
                              </w:trPr>
                              <w:tc>
                                <w:tcPr>
                                  <w:tcW w:w="3281" w:type="dxa"/>
                                  <w:gridSpan w:val="2"/>
                                  <w:shd w:val="clear" w:color="auto" w:fill="auto"/>
                                </w:tcPr>
                                <w:p w14:paraId="6D37E459" w14:textId="77777777" w:rsidR="00481ECF" w:rsidRDefault="00481ECF">
                                  <w:pPr>
                                    <w:rPr>
                                      <w:rFonts w:ascii="Arial" w:hAnsi="Arial" w:cs="Arial"/>
                                      <w:sz w:val="20"/>
                                    </w:rPr>
                                  </w:pPr>
                                  <w:r>
                                    <w:rPr>
                                      <w:rFonts w:ascii="Arial" w:hAnsi="Arial" w:cs="Arial"/>
                                      <w:sz w:val="20"/>
                                    </w:rPr>
                                    <w:t>p &lt; 0,0001</w:t>
                                  </w:r>
                                </w:p>
                                <w:p w14:paraId="14402F08" w14:textId="77777777" w:rsidR="00481ECF" w:rsidRDefault="00481ECF">
                                  <w:pPr>
                                    <w:rPr>
                                      <w:rFonts w:ascii="Arial" w:hAnsi="Arial" w:cs="Arial"/>
                                      <w:sz w:val="20"/>
                                    </w:rPr>
                                  </w:pPr>
                                  <w:r>
                                    <w:rPr>
                                      <w:rFonts w:ascii="Arial" w:hAnsi="Arial" w:cs="Arial"/>
                                      <w:sz w:val="20"/>
                                      <w:szCs w:val="20"/>
                                    </w:rPr>
                                    <w:t>Rizikos santykis</w:t>
                                  </w:r>
                                  <w:r>
                                    <w:rPr>
                                      <w:rFonts w:ascii="Arial" w:hAnsi="Arial" w:cs="Arial"/>
                                      <w:sz w:val="20"/>
                                    </w:rPr>
                                    <w:t xml:space="preserve"> 0,46</w:t>
                                  </w:r>
                                </w:p>
                                <w:p w14:paraId="7D5913C1" w14:textId="77777777" w:rsidR="00481ECF" w:rsidRDefault="00481ECF">
                                  <w:pPr>
                                    <w:rPr>
                                      <w:rFonts w:ascii="Arial" w:hAnsi="Arial" w:cs="Arial"/>
                                      <w:sz w:val="20"/>
                                      <w:lang w:val="de-DE"/>
                                    </w:rPr>
                                  </w:pPr>
                                  <w:r>
                                    <w:rPr>
                                      <w:rFonts w:ascii="Arial" w:hAnsi="Arial" w:cs="Arial"/>
                                      <w:sz w:val="20"/>
                                    </w:rPr>
                                    <w:t>(95 % Pl, 0,32</w:t>
                                  </w:r>
                                  <w:r>
                                    <w:rPr>
                                      <w:rFonts w:ascii="Arial" w:hAnsi="Arial" w:cs="Arial"/>
                                      <w:sz w:val="20"/>
                                    </w:rPr>
                                    <w:noBreakHyphen/>
                                    <w:t>0,65)</w:t>
                                  </w:r>
                                </w:p>
                              </w:tc>
                            </w:tr>
                            <w:tr w:rsidR="00481ECF" w14:paraId="2ED29515" w14:textId="77777777">
                              <w:tc>
                                <w:tcPr>
                                  <w:tcW w:w="817" w:type="dxa"/>
                                  <w:shd w:val="clear" w:color="auto" w:fill="auto"/>
                                </w:tcPr>
                                <w:p w14:paraId="0BBD4E7C" w14:textId="77777777" w:rsidR="00481ECF" w:rsidRDefault="00481ECF">
                                  <w:pPr>
                                    <w:rPr>
                                      <w:rFonts w:ascii="Arial" w:hAnsi="Arial" w:cs="Arial"/>
                                      <w:sz w:val="20"/>
                                      <w:szCs w:val="20"/>
                                    </w:rPr>
                                  </w:pPr>
                                </w:p>
                              </w:tc>
                              <w:tc>
                                <w:tcPr>
                                  <w:tcW w:w="2464" w:type="dxa"/>
                                  <w:shd w:val="clear" w:color="auto" w:fill="auto"/>
                                </w:tcPr>
                                <w:p w14:paraId="7878B1A0"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49434B60"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35AF6C48"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25D9C7CC"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52A81029" w14:textId="77777777">
                              <w:tc>
                                <w:tcPr>
                                  <w:tcW w:w="817" w:type="dxa"/>
                                  <w:shd w:val="clear" w:color="auto" w:fill="auto"/>
                                </w:tcPr>
                                <w:p w14:paraId="5FAE1467"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3451A217"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3AC40AB2"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0DDB2D4D" w14:textId="77777777" w:rsidR="00481ECF" w:rsidRDefault="00481ECF">
                                  <w:pPr>
                                    <w:rPr>
                                      <w:rFonts w:ascii="Arial" w:hAnsi="Arial" w:cs="Arial"/>
                                      <w:sz w:val="20"/>
                                      <w:szCs w:val="20"/>
                                    </w:rPr>
                                  </w:pPr>
                                  <w:r>
                                    <w:rPr>
                                      <w:rFonts w:ascii="Arial" w:hAnsi="Arial" w:cs="Arial"/>
                                      <w:sz w:val="20"/>
                                      <w:szCs w:val="20"/>
                                    </w:rPr>
                                    <w:t>84</w:t>
                                  </w:r>
                                </w:p>
                              </w:tc>
                              <w:tc>
                                <w:tcPr>
                                  <w:tcW w:w="1680" w:type="dxa"/>
                                  <w:tcBorders>
                                    <w:top w:val="single" w:sz="4" w:space="0" w:color="auto"/>
                                  </w:tcBorders>
                                  <w:shd w:val="clear" w:color="auto" w:fill="auto"/>
                                </w:tcPr>
                                <w:p w14:paraId="2C65A643" w14:textId="77777777" w:rsidR="00481ECF" w:rsidRDefault="00481ECF">
                                  <w:pPr>
                                    <w:rPr>
                                      <w:rFonts w:ascii="Arial" w:hAnsi="Arial" w:cs="Arial"/>
                                      <w:sz w:val="20"/>
                                      <w:szCs w:val="20"/>
                                    </w:rPr>
                                  </w:pPr>
                                  <w:r>
                                    <w:rPr>
                                      <w:rFonts w:ascii="Arial" w:hAnsi="Arial" w:cs="Arial"/>
                                      <w:sz w:val="20"/>
                                      <w:szCs w:val="20"/>
                                    </w:rPr>
                                    <w:t>115</w:t>
                                  </w:r>
                                </w:p>
                              </w:tc>
                            </w:tr>
                            <w:tr w:rsidR="00481ECF" w14:paraId="5A1E889D" w14:textId="77777777">
                              <w:tc>
                                <w:tcPr>
                                  <w:tcW w:w="817" w:type="dxa"/>
                                  <w:shd w:val="clear" w:color="auto" w:fill="auto"/>
                                </w:tcPr>
                                <w:p w14:paraId="1480DB1A"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E621EA2"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53DEA72"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3357D6BB" w14:textId="77777777" w:rsidR="00481ECF" w:rsidRDefault="00481ECF">
                                  <w:pPr>
                                    <w:rPr>
                                      <w:rFonts w:ascii="Arial" w:hAnsi="Arial" w:cs="Arial"/>
                                      <w:sz w:val="20"/>
                                      <w:szCs w:val="20"/>
                                    </w:rPr>
                                  </w:pPr>
                                  <w:r>
                                    <w:rPr>
                                      <w:rFonts w:ascii="Arial" w:hAnsi="Arial" w:cs="Arial"/>
                                      <w:sz w:val="20"/>
                                      <w:szCs w:val="20"/>
                                    </w:rPr>
                                    <w:t>50</w:t>
                                  </w:r>
                                </w:p>
                              </w:tc>
                              <w:tc>
                                <w:tcPr>
                                  <w:tcW w:w="1680" w:type="dxa"/>
                                  <w:tcBorders>
                                    <w:bottom w:val="single" w:sz="4" w:space="0" w:color="auto"/>
                                  </w:tcBorders>
                                  <w:shd w:val="clear" w:color="auto" w:fill="auto"/>
                                </w:tcPr>
                                <w:p w14:paraId="4BD58A11" w14:textId="77777777" w:rsidR="00481ECF" w:rsidRDefault="00481ECF">
                                  <w:pPr>
                                    <w:rPr>
                                      <w:rFonts w:ascii="Arial" w:hAnsi="Arial" w:cs="Arial"/>
                                      <w:sz w:val="20"/>
                                      <w:szCs w:val="20"/>
                                    </w:rPr>
                                  </w:pPr>
                                  <w:r>
                                    <w:rPr>
                                      <w:rFonts w:ascii="Arial" w:hAnsi="Arial" w:cs="Arial"/>
                                      <w:sz w:val="20"/>
                                      <w:szCs w:val="20"/>
                                    </w:rPr>
                                    <w:t>148</w:t>
                                  </w:r>
                                </w:p>
                              </w:tc>
                            </w:tr>
                            <w:tr w:rsidR="00481ECF" w14:paraId="7A0B91DE" w14:textId="77777777">
                              <w:tc>
                                <w:tcPr>
                                  <w:tcW w:w="817" w:type="dxa"/>
                                  <w:shd w:val="clear" w:color="auto" w:fill="auto"/>
                                </w:tcPr>
                                <w:p w14:paraId="606BD21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3679B24"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58B7854D"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1381B0EB"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716CE7F5" w14:textId="77777777" w:rsidR="00481ECF" w:rsidRDefault="00481ECF">
                                  <w:pPr>
                                    <w:rPr>
                                      <w:rFonts w:ascii="Arial" w:hAnsi="Arial" w:cs="Arial"/>
                                      <w:sz w:val="20"/>
                                      <w:szCs w:val="20"/>
                                    </w:rPr>
                                  </w:pPr>
                                </w:p>
                              </w:tc>
                            </w:tr>
                          </w:tbl>
                          <w:p w14:paraId="28E7F932" w14:textId="77777777" w:rsidR="00481ECF" w:rsidRDefault="00481ECF" w:rsidP="00314B70">
                            <w:pPr>
                              <w:rPr>
                                <w:rFonts w:ascii="Arial" w:hAnsi="Arial" w:cs="Arial"/>
                                <w:sz w:val="20"/>
                                <w:szCs w:val="20"/>
                              </w:rPr>
                            </w:pPr>
                          </w:p>
                          <w:p w14:paraId="664FBD44" w14:textId="77777777" w:rsidR="00481ECF" w:rsidRDefault="00481ECF" w:rsidP="00314B7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9850E" id="_x0000_s1033" type="#_x0000_t202" style="position:absolute;margin-left:27.6pt;margin-top:99.8pt;width:361.05pt;height:9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3T9gEAAM8DAAAOAAAAZHJzL2Uyb0RvYy54bWysU9tu2zAMfR+wfxD0vjjOpe2MOEXXosOA&#10;7gK0+wBGlmNhtqhRSuzs60fJSZZtb8NeBPGiw8NDanU7dK3Ya/IGbSnzyVQKbRVWxm5L+fXl8c2N&#10;FD6AraBFq0t50F7erl+/WvWu0DNssK00CQaxvuhdKZsQXJFlXjW6Az9Bpy0Ha6QOApu0zSqCntG7&#10;NptNp1dZj1Q5QqW9Z+/DGJTrhF/XWoXPde11EG0pmVtIJ6VzE89svYJiS+Aao4404B9YdGAsFz1D&#10;PUAAsSPzF1RnFKHHOkwUdhnWtVE69cDd5NM/unluwOnUC4vj3Vkm//9g1af9FxKm4tktpbDQ8Yxe&#10;9BDEOxzELMrTO19w1rPjvDCwm1NTq949ofrmhcX7BuxW3xFh32iomF4eX2YXT0ccH0E2/UesuAzs&#10;AiagoaYuasdqCEbnMR3Oo4lUFDsXy5vlfM4UFcfyfDnPr9LwMihOzx358F5jJ+KllMSzT/Cwf/Ih&#10;0oHilBKrWXw0bZvm39rfHJwYPYl+ZDxyD8NmSEJdn1TZYHXgfgjHreJfwJcG6YcUPW9UKf33HZCW&#10;ov1gWZO3+WIRVzAZi+X1jA26jGwuI2AVQ5UySDFe78O4tjtHZttwpXEKFu9Yx9qkDqPgI6sjfd6a&#10;1Phxw+NaXtop69c/XP8EAAD//wMAUEsDBBQABgAIAAAAIQCsWGhx3wAAAAoBAAAPAAAAZHJzL2Rv&#10;d25yZXYueG1sTI9NT8MwDIbvSPyHyEjcWLKOrmtpOiEQV9DGh8Qta7y2onGqJlvLv8ec4Gj70evn&#10;Lbez68UZx9B50rBcKBBItbcdNRreXp9uNiBCNGRN7wk1fGOAbXV5UZrC+ol2eN7HRnAIhcJoaGMc&#10;CilD3aIzYeEHJL4d/ehM5HFspB3NxOGul4lSa+lMR/yhNQM+tFh/7U9Ow/vz8fPjVr00jy4dJj8r&#10;SS6XWl9fzfd3ICLO8Q+GX31Wh4qdDv5ENoheQ5omTPI+z9cgGMiybAXioGG1WSYgq1L+r1D9AAAA&#10;//8DAFBLAQItABQABgAIAAAAIQC2gziS/gAAAOEBAAATAAAAAAAAAAAAAAAAAAAAAABbQ29udGVu&#10;dF9UeXBlc10ueG1sUEsBAi0AFAAGAAgAAAAhADj9If/WAAAAlAEAAAsAAAAAAAAAAAAAAAAALwEA&#10;AF9yZWxzLy5yZWxzUEsBAi0AFAAGAAgAAAAhALb0DdP2AQAAzwMAAA4AAAAAAAAAAAAAAAAALgIA&#10;AGRycy9lMm9Eb2MueG1sUEsBAi0AFAAGAAgAAAAhAKxYaHHfAAAACgEAAA8AAAAAAAAAAAAAAAAA&#10;UAQAAGRycy9kb3ducmV2LnhtbFBLBQYAAAAABAAEAPMAAABcBQAAAAA=&#10;" filled="f" stroked="f">
                <v:textbox>
                  <w:txbxContent>
                    <w:tbl>
                      <w:tblPr>
                        <w:tblW w:w="0" w:type="auto"/>
                        <w:tblLook w:val="04A0" w:firstRow="1" w:lastRow="0" w:firstColumn="1" w:lastColumn="0" w:noHBand="0" w:noVBand="1"/>
                      </w:tblPr>
                      <w:tblGrid>
                        <w:gridCol w:w="817"/>
                        <w:gridCol w:w="2464"/>
                        <w:gridCol w:w="851"/>
                        <w:gridCol w:w="817"/>
                        <w:gridCol w:w="1680"/>
                      </w:tblGrid>
                      <w:tr w:rsidR="00481ECF" w14:paraId="5D57C8C0" w14:textId="77777777">
                        <w:trPr>
                          <w:gridAfter w:val="3"/>
                          <w:wAfter w:w="3348" w:type="dxa"/>
                        </w:trPr>
                        <w:tc>
                          <w:tcPr>
                            <w:tcW w:w="3281" w:type="dxa"/>
                            <w:gridSpan w:val="2"/>
                            <w:shd w:val="clear" w:color="auto" w:fill="auto"/>
                          </w:tcPr>
                          <w:p w14:paraId="6D37E459" w14:textId="77777777" w:rsidR="00481ECF" w:rsidRDefault="00481ECF">
                            <w:pPr>
                              <w:rPr>
                                <w:rFonts w:ascii="Arial" w:hAnsi="Arial" w:cs="Arial"/>
                                <w:sz w:val="20"/>
                              </w:rPr>
                            </w:pPr>
                            <w:r>
                              <w:rPr>
                                <w:rFonts w:ascii="Arial" w:hAnsi="Arial" w:cs="Arial"/>
                                <w:sz w:val="20"/>
                              </w:rPr>
                              <w:t>p &lt; 0,0001</w:t>
                            </w:r>
                          </w:p>
                          <w:p w14:paraId="14402F08" w14:textId="77777777" w:rsidR="00481ECF" w:rsidRDefault="00481ECF">
                            <w:pPr>
                              <w:rPr>
                                <w:rFonts w:ascii="Arial" w:hAnsi="Arial" w:cs="Arial"/>
                                <w:sz w:val="20"/>
                              </w:rPr>
                            </w:pPr>
                            <w:r>
                              <w:rPr>
                                <w:rFonts w:ascii="Arial" w:hAnsi="Arial" w:cs="Arial"/>
                                <w:sz w:val="20"/>
                                <w:szCs w:val="20"/>
                              </w:rPr>
                              <w:t>Rizikos santykis</w:t>
                            </w:r>
                            <w:r>
                              <w:rPr>
                                <w:rFonts w:ascii="Arial" w:hAnsi="Arial" w:cs="Arial"/>
                                <w:sz w:val="20"/>
                              </w:rPr>
                              <w:t xml:space="preserve"> 0,46</w:t>
                            </w:r>
                          </w:p>
                          <w:p w14:paraId="7D5913C1" w14:textId="77777777" w:rsidR="00481ECF" w:rsidRDefault="00481ECF">
                            <w:pPr>
                              <w:rPr>
                                <w:rFonts w:ascii="Arial" w:hAnsi="Arial" w:cs="Arial"/>
                                <w:sz w:val="20"/>
                                <w:lang w:val="de-DE"/>
                              </w:rPr>
                            </w:pPr>
                            <w:r>
                              <w:rPr>
                                <w:rFonts w:ascii="Arial" w:hAnsi="Arial" w:cs="Arial"/>
                                <w:sz w:val="20"/>
                              </w:rPr>
                              <w:t>(95 % Pl, 0,32</w:t>
                            </w:r>
                            <w:r>
                              <w:rPr>
                                <w:rFonts w:ascii="Arial" w:hAnsi="Arial" w:cs="Arial"/>
                                <w:sz w:val="20"/>
                              </w:rPr>
                              <w:noBreakHyphen/>
                              <w:t>0,65)</w:t>
                            </w:r>
                          </w:p>
                        </w:tc>
                      </w:tr>
                      <w:tr w:rsidR="00481ECF" w14:paraId="2ED29515" w14:textId="77777777">
                        <w:tc>
                          <w:tcPr>
                            <w:tcW w:w="817" w:type="dxa"/>
                            <w:shd w:val="clear" w:color="auto" w:fill="auto"/>
                          </w:tcPr>
                          <w:p w14:paraId="0BBD4E7C" w14:textId="77777777" w:rsidR="00481ECF" w:rsidRDefault="00481ECF">
                            <w:pPr>
                              <w:rPr>
                                <w:rFonts w:ascii="Arial" w:hAnsi="Arial" w:cs="Arial"/>
                                <w:sz w:val="20"/>
                                <w:szCs w:val="20"/>
                              </w:rPr>
                            </w:pPr>
                          </w:p>
                        </w:tc>
                        <w:tc>
                          <w:tcPr>
                            <w:tcW w:w="2464" w:type="dxa"/>
                            <w:shd w:val="clear" w:color="auto" w:fill="auto"/>
                          </w:tcPr>
                          <w:p w14:paraId="7878B1A0"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49434B60"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35AF6C48"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25D9C7CC"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52A81029" w14:textId="77777777">
                        <w:tc>
                          <w:tcPr>
                            <w:tcW w:w="817" w:type="dxa"/>
                            <w:shd w:val="clear" w:color="auto" w:fill="auto"/>
                          </w:tcPr>
                          <w:p w14:paraId="5FAE1467"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3451A217"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3AC40AB2"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0DDB2D4D" w14:textId="77777777" w:rsidR="00481ECF" w:rsidRDefault="00481ECF">
                            <w:pPr>
                              <w:rPr>
                                <w:rFonts w:ascii="Arial" w:hAnsi="Arial" w:cs="Arial"/>
                                <w:sz w:val="20"/>
                                <w:szCs w:val="20"/>
                              </w:rPr>
                            </w:pPr>
                            <w:r>
                              <w:rPr>
                                <w:rFonts w:ascii="Arial" w:hAnsi="Arial" w:cs="Arial"/>
                                <w:sz w:val="20"/>
                                <w:szCs w:val="20"/>
                              </w:rPr>
                              <w:t>84</w:t>
                            </w:r>
                          </w:p>
                        </w:tc>
                        <w:tc>
                          <w:tcPr>
                            <w:tcW w:w="1680" w:type="dxa"/>
                            <w:tcBorders>
                              <w:top w:val="single" w:sz="4" w:space="0" w:color="auto"/>
                            </w:tcBorders>
                            <w:shd w:val="clear" w:color="auto" w:fill="auto"/>
                          </w:tcPr>
                          <w:p w14:paraId="2C65A643" w14:textId="77777777" w:rsidR="00481ECF" w:rsidRDefault="00481ECF">
                            <w:pPr>
                              <w:rPr>
                                <w:rFonts w:ascii="Arial" w:hAnsi="Arial" w:cs="Arial"/>
                                <w:sz w:val="20"/>
                                <w:szCs w:val="20"/>
                              </w:rPr>
                            </w:pPr>
                            <w:r>
                              <w:rPr>
                                <w:rFonts w:ascii="Arial" w:hAnsi="Arial" w:cs="Arial"/>
                                <w:sz w:val="20"/>
                                <w:szCs w:val="20"/>
                              </w:rPr>
                              <w:t>115</w:t>
                            </w:r>
                          </w:p>
                        </w:tc>
                      </w:tr>
                      <w:tr w:rsidR="00481ECF" w14:paraId="5A1E889D" w14:textId="77777777">
                        <w:tc>
                          <w:tcPr>
                            <w:tcW w:w="817" w:type="dxa"/>
                            <w:shd w:val="clear" w:color="auto" w:fill="auto"/>
                          </w:tcPr>
                          <w:p w14:paraId="1480DB1A"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E621EA2"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53DEA72"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3357D6BB" w14:textId="77777777" w:rsidR="00481ECF" w:rsidRDefault="00481ECF">
                            <w:pPr>
                              <w:rPr>
                                <w:rFonts w:ascii="Arial" w:hAnsi="Arial" w:cs="Arial"/>
                                <w:sz w:val="20"/>
                                <w:szCs w:val="20"/>
                              </w:rPr>
                            </w:pPr>
                            <w:r>
                              <w:rPr>
                                <w:rFonts w:ascii="Arial" w:hAnsi="Arial" w:cs="Arial"/>
                                <w:sz w:val="20"/>
                                <w:szCs w:val="20"/>
                              </w:rPr>
                              <w:t>50</w:t>
                            </w:r>
                          </w:p>
                        </w:tc>
                        <w:tc>
                          <w:tcPr>
                            <w:tcW w:w="1680" w:type="dxa"/>
                            <w:tcBorders>
                              <w:bottom w:val="single" w:sz="4" w:space="0" w:color="auto"/>
                            </w:tcBorders>
                            <w:shd w:val="clear" w:color="auto" w:fill="auto"/>
                          </w:tcPr>
                          <w:p w14:paraId="4BD58A11" w14:textId="77777777" w:rsidR="00481ECF" w:rsidRDefault="00481ECF">
                            <w:pPr>
                              <w:rPr>
                                <w:rFonts w:ascii="Arial" w:hAnsi="Arial" w:cs="Arial"/>
                                <w:sz w:val="20"/>
                                <w:szCs w:val="20"/>
                              </w:rPr>
                            </w:pPr>
                            <w:r>
                              <w:rPr>
                                <w:rFonts w:ascii="Arial" w:hAnsi="Arial" w:cs="Arial"/>
                                <w:sz w:val="20"/>
                                <w:szCs w:val="20"/>
                              </w:rPr>
                              <w:t>148</w:t>
                            </w:r>
                          </w:p>
                        </w:tc>
                      </w:tr>
                      <w:tr w:rsidR="00481ECF" w14:paraId="7A0B91DE" w14:textId="77777777">
                        <w:tc>
                          <w:tcPr>
                            <w:tcW w:w="817" w:type="dxa"/>
                            <w:shd w:val="clear" w:color="auto" w:fill="auto"/>
                          </w:tcPr>
                          <w:p w14:paraId="606BD217"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3679B24"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58B7854D"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1381B0EB"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716CE7F5" w14:textId="77777777" w:rsidR="00481ECF" w:rsidRDefault="00481ECF">
                            <w:pPr>
                              <w:rPr>
                                <w:rFonts w:ascii="Arial" w:hAnsi="Arial" w:cs="Arial"/>
                                <w:sz w:val="20"/>
                                <w:szCs w:val="20"/>
                              </w:rPr>
                            </w:pPr>
                          </w:p>
                        </w:tc>
                      </w:tr>
                    </w:tbl>
                    <w:p w14:paraId="28E7F932" w14:textId="77777777" w:rsidR="00481ECF" w:rsidRDefault="00481ECF" w:rsidP="00314B70">
                      <w:pPr>
                        <w:rPr>
                          <w:rFonts w:ascii="Arial" w:hAnsi="Arial" w:cs="Arial"/>
                          <w:sz w:val="20"/>
                          <w:szCs w:val="20"/>
                        </w:rPr>
                      </w:pPr>
                    </w:p>
                    <w:p w14:paraId="664FBD44" w14:textId="77777777" w:rsidR="00481ECF" w:rsidRDefault="00481ECF" w:rsidP="00314B70">
                      <w:pPr>
                        <w:rPr>
                          <w:rFonts w:ascii="Arial" w:hAnsi="Arial" w:cs="Arial"/>
                          <w:sz w:val="20"/>
                          <w:szCs w:val="20"/>
                        </w:rPr>
                      </w:pPr>
                    </w:p>
                  </w:txbxContent>
                </v:textbox>
              </v:shape>
            </w:pict>
          </mc:Fallback>
        </mc:AlternateContent>
      </w:r>
      <w:r w:rsidRPr="00F93FFA">
        <w:rPr>
          <w:rFonts w:eastAsia="MS Mincho"/>
          <w:noProof/>
          <w:sz w:val="22"/>
          <w:szCs w:val="22"/>
          <w:lang w:val="en-US"/>
        </w:rPr>
        <mc:AlternateContent>
          <mc:Choice Requires="wps">
            <w:drawing>
              <wp:anchor distT="0" distB="0" distL="114300" distR="114300" simplePos="0" relativeHeight="251660288" behindDoc="0" locked="0" layoutInCell="1" allowOverlap="1" wp14:anchorId="5223B403" wp14:editId="3EBDB114">
                <wp:simplePos x="0" y="0"/>
                <wp:positionH relativeFrom="column">
                  <wp:posOffset>2080895</wp:posOffset>
                </wp:positionH>
                <wp:positionV relativeFrom="paragraph">
                  <wp:posOffset>2677795</wp:posOffset>
                </wp:positionV>
                <wp:extent cx="1903730"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2629F" w14:textId="77777777" w:rsidR="00481ECF" w:rsidRDefault="00481ECF" w:rsidP="00314B70">
                            <w:pPr>
                              <w:rPr>
                                <w:rFonts w:ascii="Arial" w:hAnsi="Arial" w:cs="Arial"/>
                                <w:sz w:val="20"/>
                                <w:szCs w:val="20"/>
                              </w:rPr>
                            </w:pPr>
                            <w:r>
                              <w:rPr>
                                <w:rFonts w:ascii="Arial" w:hAnsi="Arial" w:cs="Arial"/>
                                <w:sz w:val="20"/>
                                <w:szCs w:val="20"/>
                                <w:lang w:val="de-DE"/>
                              </w:rPr>
                              <w:t>Išgyvenamumas mėnesiais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23B403" id="_x0000_s1034" type="#_x0000_t202" style="position:absolute;margin-left:163.85pt;margin-top:210.85pt;width:149.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EMFQIAABQEAAAOAAAAZHJzL2Uyb0RvYy54bWysU9uO0zAQfUfiHyy/07TZlt1GTVdLV0VI&#10;y0Xa5QMcx2kiHI8Zu03K1zO221LgDeEHy3M7M3NmvLofe80OCl0HpuSzyZQzZSTUndmV/OvL9s0d&#10;Z84LUwsNRpX8qBy/X79+tRpsoXJoQdcKGYEYVwy25K33tsgyJ1vVCzcBqwwZG8BeeBJxl9UoBkLv&#10;dZZPp2+zAbC2CFI5R9rHZOTriN80SvrPTeOUZ7rkVJuPN8a7Cne2Xolih8K2nTyVIf6hil50hpJe&#10;oB6FF2yP3V9QfScRHDR+IqHPoGk6qWIP1M1s+kc3z62wKvZC5Dh7ocn9P1j56fAFWVfT7OacGdHT&#10;jF7U6Nk7GFke6BmsK8jr2ZKfH0lNrrFVZ59AfnPMwKYVZqceEGFolaipvFmIzK5CE44LINXwEWpK&#10;I/YeItDYYB+4IzYYodOYjpfRhFJkSLmc3tzekEmSLV8u8ttFTCGKc7RF598r6Fl4lBxp9BFdHJ6c&#10;D9WI4uwSkjnQXb3ttI4C7qqNRnYQtCbbeFKstq1I2rgqhOGSa8T7DUObgGQgYKZ0QRM5CG0nAvxY&#10;jZHtuzO1FdRHIgUhrSZ9JXq0gD84G2gtS+6+7wUqzvQHQ8QuZ/N52OMozBe3OQl4bamuLcJIgiq5&#10;5yw9Nz7t/t5it2spUxqlgQcaRtNFnsLUUlWn8mn1YrunbxJ2+1qOXr8+8/onAAAA//8DAFBLAwQU&#10;AAYACAAAACEAiiVxSuAAAAALAQAADwAAAGRycy9kb3ducmV2LnhtbEyPQU+EMBCF7yb+h2ZMvBi3&#10;bFUgSNmYjR5M1ETUe6EjsNIpod1d/PeOJ73NzHt575tys7hRHHAOgycN61UCAqn1dqBOw/vbw2UO&#10;IkRD1oyeUMM3BthUpyelKaw/0ise6tgJDqFQGA19jFMhZWh7dCas/ITE2qefnYm8zp20szlyuBul&#10;SpJUOjMQN/Rmwm2P7Ve9d9x7v+TTR/O03T3WF81OvdDwnJPW52fL3S2IiEv8M8MvPqNDxUyN35MN&#10;YtRwpbKMrRqu1ZoHdqQquwHR8CXNFciqlP9/qH4AAAD//wMAUEsBAi0AFAAGAAgAAAAhALaDOJL+&#10;AAAA4QEAABMAAAAAAAAAAAAAAAAAAAAAAFtDb250ZW50X1R5cGVzXS54bWxQSwECLQAUAAYACAAA&#10;ACEAOP0h/9YAAACUAQAACwAAAAAAAAAAAAAAAAAvAQAAX3JlbHMvLnJlbHNQSwECLQAUAAYACAAA&#10;ACEAj8LBDBUCAAAUBAAADgAAAAAAAAAAAAAAAAAuAgAAZHJzL2Uyb0RvYy54bWxQSwECLQAUAAYA&#10;CAAAACEAiiVxSuAAAAALAQAADwAAAAAAAAAAAAAAAABvBAAAZHJzL2Rvd25yZXYueG1sUEsFBgAA&#10;AAAEAAQA8wAAAHwFAAAAAA==&#10;" stroked="f">
                <v:fill opacity="0"/>
                <v:textbox>
                  <w:txbxContent>
                    <w:p w14:paraId="17D2629F" w14:textId="77777777" w:rsidR="00481ECF" w:rsidRDefault="00481ECF" w:rsidP="00314B70">
                      <w:pPr>
                        <w:rPr>
                          <w:rFonts w:ascii="Arial" w:hAnsi="Arial" w:cs="Arial"/>
                          <w:sz w:val="20"/>
                          <w:szCs w:val="20"/>
                        </w:rPr>
                      </w:pPr>
                      <w:r>
                        <w:rPr>
                          <w:rFonts w:ascii="Arial" w:hAnsi="Arial" w:cs="Arial"/>
                          <w:sz w:val="20"/>
                          <w:szCs w:val="20"/>
                          <w:lang w:val="de-DE"/>
                        </w:rPr>
                        <w:t>Išgyvenamumas mėnesiais</w:t>
                      </w:r>
                    </w:p>
                  </w:txbxContent>
                </v:textbox>
              </v:shape>
            </w:pict>
          </mc:Fallback>
        </mc:AlternateContent>
      </w:r>
      <w:r w:rsidRPr="00F93FFA">
        <w:rPr>
          <w:noProof/>
          <w:lang w:val="en-US"/>
        </w:rPr>
        <w:drawing>
          <wp:inline distT="0" distB="0" distL="0" distR="0" wp14:anchorId="0E3F2BE1" wp14:editId="28830186">
            <wp:extent cx="5938520" cy="2682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2A7A63C8" w14:textId="77777777" w:rsidR="00314B70" w:rsidRPr="00F93FFA" w:rsidRDefault="00314B70" w:rsidP="00DE16D0">
      <w:pPr>
        <w:widowControl w:val="0"/>
        <w:rPr>
          <w:rFonts w:eastAsia="MS Mincho"/>
          <w:sz w:val="22"/>
          <w:szCs w:val="22"/>
        </w:rPr>
      </w:pPr>
    </w:p>
    <w:p w14:paraId="3452C407" w14:textId="77777777" w:rsidR="00314B70" w:rsidRPr="00F93FFA" w:rsidRDefault="00314B70" w:rsidP="00DE16D0">
      <w:pPr>
        <w:widowControl w:val="0"/>
        <w:rPr>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14B70" w:rsidRPr="00F93FFA" w14:paraId="68445291" w14:textId="77777777" w:rsidTr="008D42AF">
        <w:tc>
          <w:tcPr>
            <w:tcW w:w="10599" w:type="dxa"/>
            <w:gridSpan w:val="16"/>
            <w:shd w:val="clear" w:color="auto" w:fill="auto"/>
          </w:tcPr>
          <w:p w14:paraId="6637083F" w14:textId="77777777" w:rsidR="00314B70" w:rsidRPr="00F93FFA" w:rsidRDefault="00314B70" w:rsidP="00DE16D0">
            <w:pPr>
              <w:widowControl w:val="0"/>
              <w:ind w:left="-27"/>
              <w:rPr>
                <w:rFonts w:ascii="Arial" w:hAnsi="Arial" w:cs="Arial"/>
                <w:sz w:val="16"/>
                <w:szCs w:val="16"/>
              </w:rPr>
            </w:pPr>
            <w:r w:rsidRPr="00F93FFA">
              <w:rPr>
                <w:rFonts w:ascii="Arial" w:hAnsi="Arial" w:cs="Arial"/>
                <w:sz w:val="20"/>
                <w:szCs w:val="20"/>
              </w:rPr>
              <w:t>Rizikos grupė: Atvejai</w:t>
            </w:r>
          </w:p>
        </w:tc>
      </w:tr>
      <w:tr w:rsidR="00314B70" w:rsidRPr="00F93FFA" w14:paraId="1B176065" w14:textId="77777777" w:rsidTr="008D42AF">
        <w:tc>
          <w:tcPr>
            <w:tcW w:w="450" w:type="dxa"/>
            <w:shd w:val="clear" w:color="auto" w:fill="auto"/>
          </w:tcPr>
          <w:p w14:paraId="20208448" w14:textId="77777777" w:rsidR="00314B70" w:rsidRPr="00F93FFA" w:rsidRDefault="00314B70" w:rsidP="00DE16D0">
            <w:pPr>
              <w:widowControl w:val="0"/>
              <w:rPr>
                <w:sz w:val="20"/>
                <w:szCs w:val="20"/>
              </w:rPr>
            </w:pPr>
            <w:r w:rsidRPr="00F93FFA">
              <w:rPr>
                <w:sz w:val="20"/>
                <w:szCs w:val="20"/>
              </w:rPr>
              <w:t>(1)</w:t>
            </w:r>
          </w:p>
        </w:tc>
        <w:tc>
          <w:tcPr>
            <w:tcW w:w="646" w:type="dxa"/>
            <w:shd w:val="clear" w:color="auto" w:fill="auto"/>
          </w:tcPr>
          <w:p w14:paraId="1A7F7E73" w14:textId="77777777" w:rsidR="00314B70" w:rsidRPr="00F93FFA" w:rsidRDefault="00314B70" w:rsidP="00DE16D0">
            <w:pPr>
              <w:widowControl w:val="0"/>
              <w:ind w:left="-27"/>
              <w:rPr>
                <w:sz w:val="20"/>
                <w:szCs w:val="20"/>
              </w:rPr>
            </w:pPr>
            <w:r w:rsidRPr="00F93FFA">
              <w:rPr>
                <w:sz w:val="20"/>
                <w:szCs w:val="20"/>
              </w:rPr>
              <w:t>199:0</w:t>
            </w:r>
          </w:p>
        </w:tc>
        <w:tc>
          <w:tcPr>
            <w:tcW w:w="645" w:type="dxa"/>
            <w:shd w:val="clear" w:color="auto" w:fill="auto"/>
          </w:tcPr>
          <w:p w14:paraId="2822AF69" w14:textId="77777777" w:rsidR="00314B70" w:rsidRPr="00F93FFA" w:rsidRDefault="00314B70" w:rsidP="00DE16D0">
            <w:pPr>
              <w:widowControl w:val="0"/>
              <w:ind w:left="-27"/>
              <w:rPr>
                <w:sz w:val="20"/>
                <w:szCs w:val="20"/>
              </w:rPr>
            </w:pPr>
            <w:r w:rsidRPr="00F93FFA">
              <w:rPr>
                <w:sz w:val="20"/>
                <w:szCs w:val="20"/>
              </w:rPr>
              <w:t>182:8</w:t>
            </w:r>
          </w:p>
        </w:tc>
        <w:tc>
          <w:tcPr>
            <w:tcW w:w="745" w:type="dxa"/>
            <w:shd w:val="clear" w:color="auto" w:fill="auto"/>
          </w:tcPr>
          <w:p w14:paraId="55B01A5F" w14:textId="77777777" w:rsidR="00314B70" w:rsidRPr="00F93FFA" w:rsidRDefault="00314B70" w:rsidP="00DE16D0">
            <w:pPr>
              <w:widowControl w:val="0"/>
              <w:ind w:left="-27"/>
              <w:rPr>
                <w:sz w:val="20"/>
                <w:szCs w:val="20"/>
              </w:rPr>
            </w:pPr>
            <w:r w:rsidRPr="00F93FFA">
              <w:rPr>
                <w:sz w:val="20"/>
                <w:szCs w:val="20"/>
              </w:rPr>
              <w:t>177:12</w:t>
            </w:r>
          </w:p>
        </w:tc>
        <w:tc>
          <w:tcPr>
            <w:tcW w:w="745" w:type="dxa"/>
            <w:shd w:val="clear" w:color="auto" w:fill="auto"/>
          </w:tcPr>
          <w:p w14:paraId="5FF09670" w14:textId="77777777" w:rsidR="00314B70" w:rsidRPr="00F93FFA" w:rsidRDefault="00314B70" w:rsidP="00DE16D0">
            <w:pPr>
              <w:widowControl w:val="0"/>
              <w:ind w:left="-27"/>
              <w:rPr>
                <w:sz w:val="20"/>
                <w:szCs w:val="20"/>
              </w:rPr>
            </w:pPr>
            <w:r w:rsidRPr="00F93FFA">
              <w:rPr>
                <w:sz w:val="20"/>
                <w:szCs w:val="20"/>
              </w:rPr>
              <w:t>163:25</w:t>
            </w:r>
          </w:p>
        </w:tc>
        <w:tc>
          <w:tcPr>
            <w:tcW w:w="745" w:type="dxa"/>
            <w:shd w:val="clear" w:color="auto" w:fill="auto"/>
          </w:tcPr>
          <w:p w14:paraId="2BC81E0E" w14:textId="77777777" w:rsidR="00314B70" w:rsidRPr="00F93FFA" w:rsidRDefault="00314B70" w:rsidP="00DE16D0">
            <w:pPr>
              <w:widowControl w:val="0"/>
              <w:ind w:left="-27"/>
              <w:rPr>
                <w:sz w:val="20"/>
                <w:szCs w:val="20"/>
              </w:rPr>
            </w:pPr>
            <w:r w:rsidRPr="00F93FFA">
              <w:rPr>
                <w:sz w:val="20"/>
                <w:szCs w:val="20"/>
              </w:rPr>
              <w:t>137:46</w:t>
            </w:r>
          </w:p>
        </w:tc>
        <w:tc>
          <w:tcPr>
            <w:tcW w:w="752" w:type="dxa"/>
            <w:shd w:val="clear" w:color="auto" w:fill="auto"/>
          </w:tcPr>
          <w:p w14:paraId="3735D0FC" w14:textId="77777777" w:rsidR="00314B70" w:rsidRPr="00F93FFA" w:rsidRDefault="00314B70" w:rsidP="00DE16D0">
            <w:pPr>
              <w:widowControl w:val="0"/>
              <w:ind w:left="-27"/>
              <w:rPr>
                <w:sz w:val="20"/>
                <w:szCs w:val="20"/>
              </w:rPr>
            </w:pPr>
            <w:r w:rsidRPr="00F93FFA">
              <w:rPr>
                <w:sz w:val="20"/>
                <w:szCs w:val="20"/>
              </w:rPr>
              <w:t>105:65</w:t>
            </w:r>
          </w:p>
        </w:tc>
        <w:tc>
          <w:tcPr>
            <w:tcW w:w="745" w:type="dxa"/>
            <w:shd w:val="clear" w:color="auto" w:fill="auto"/>
          </w:tcPr>
          <w:p w14:paraId="269F1B7B" w14:textId="77777777" w:rsidR="00314B70" w:rsidRPr="00F93FFA" w:rsidRDefault="00314B70" w:rsidP="00DE16D0">
            <w:pPr>
              <w:widowControl w:val="0"/>
              <w:ind w:left="-27"/>
              <w:rPr>
                <w:sz w:val="20"/>
                <w:szCs w:val="20"/>
              </w:rPr>
            </w:pPr>
            <w:r w:rsidRPr="00F93FFA">
              <w:rPr>
                <w:sz w:val="20"/>
                <w:szCs w:val="20"/>
              </w:rPr>
              <w:t>88:72</w:t>
            </w:r>
          </w:p>
        </w:tc>
        <w:tc>
          <w:tcPr>
            <w:tcW w:w="745" w:type="dxa"/>
            <w:shd w:val="clear" w:color="auto" w:fill="auto"/>
          </w:tcPr>
          <w:p w14:paraId="40EDFF8C" w14:textId="77777777" w:rsidR="00314B70" w:rsidRPr="00F93FFA" w:rsidRDefault="00314B70" w:rsidP="00DE16D0">
            <w:pPr>
              <w:widowControl w:val="0"/>
              <w:ind w:left="-27"/>
              <w:rPr>
                <w:sz w:val="20"/>
                <w:szCs w:val="20"/>
              </w:rPr>
            </w:pPr>
            <w:r w:rsidRPr="00F93FFA">
              <w:rPr>
                <w:sz w:val="20"/>
                <w:szCs w:val="20"/>
              </w:rPr>
              <w:t>61:77</w:t>
            </w:r>
          </w:p>
        </w:tc>
        <w:tc>
          <w:tcPr>
            <w:tcW w:w="652" w:type="dxa"/>
            <w:shd w:val="clear" w:color="auto" w:fill="auto"/>
          </w:tcPr>
          <w:p w14:paraId="05716ABD" w14:textId="77777777" w:rsidR="00314B70" w:rsidRPr="00F93FFA" w:rsidRDefault="00314B70" w:rsidP="00DE16D0">
            <w:pPr>
              <w:widowControl w:val="0"/>
              <w:ind w:left="-27"/>
              <w:rPr>
                <w:sz w:val="20"/>
                <w:szCs w:val="20"/>
              </w:rPr>
            </w:pPr>
            <w:r w:rsidRPr="00F93FFA">
              <w:rPr>
                <w:sz w:val="20"/>
                <w:szCs w:val="20"/>
              </w:rPr>
              <w:t>49:81</w:t>
            </w:r>
          </w:p>
        </w:tc>
        <w:tc>
          <w:tcPr>
            <w:tcW w:w="652" w:type="dxa"/>
            <w:shd w:val="clear" w:color="auto" w:fill="auto"/>
          </w:tcPr>
          <w:p w14:paraId="6B189612" w14:textId="77777777" w:rsidR="00314B70" w:rsidRPr="00F93FFA" w:rsidRDefault="00314B70" w:rsidP="00DE16D0">
            <w:pPr>
              <w:widowControl w:val="0"/>
              <w:ind w:left="-27"/>
              <w:rPr>
                <w:sz w:val="20"/>
                <w:szCs w:val="20"/>
              </w:rPr>
            </w:pPr>
            <w:r w:rsidRPr="00F93FFA">
              <w:rPr>
                <w:sz w:val="20"/>
                <w:szCs w:val="20"/>
              </w:rPr>
              <w:t>36:83</w:t>
            </w:r>
          </w:p>
        </w:tc>
        <w:tc>
          <w:tcPr>
            <w:tcW w:w="649" w:type="dxa"/>
            <w:shd w:val="clear" w:color="auto" w:fill="auto"/>
          </w:tcPr>
          <w:p w14:paraId="29422055" w14:textId="77777777" w:rsidR="00314B70" w:rsidRPr="00F93FFA" w:rsidRDefault="00314B70" w:rsidP="00DE16D0">
            <w:pPr>
              <w:widowControl w:val="0"/>
              <w:ind w:left="-27"/>
              <w:rPr>
                <w:sz w:val="20"/>
                <w:szCs w:val="20"/>
              </w:rPr>
            </w:pPr>
            <w:r w:rsidRPr="00F93FFA">
              <w:rPr>
                <w:sz w:val="20"/>
                <w:szCs w:val="20"/>
              </w:rPr>
              <w:t>27:84</w:t>
            </w:r>
          </w:p>
        </w:tc>
        <w:tc>
          <w:tcPr>
            <w:tcW w:w="660" w:type="dxa"/>
            <w:shd w:val="clear" w:color="auto" w:fill="auto"/>
          </w:tcPr>
          <w:p w14:paraId="68DF3704" w14:textId="77777777" w:rsidR="00314B70" w:rsidRPr="00F93FFA" w:rsidRDefault="00314B70" w:rsidP="00DE16D0">
            <w:pPr>
              <w:widowControl w:val="0"/>
              <w:ind w:left="-27"/>
              <w:rPr>
                <w:sz w:val="20"/>
                <w:szCs w:val="20"/>
              </w:rPr>
            </w:pPr>
            <w:r w:rsidRPr="00F93FFA">
              <w:rPr>
                <w:sz w:val="20"/>
                <w:szCs w:val="20"/>
              </w:rPr>
              <w:t>14:84</w:t>
            </w:r>
          </w:p>
        </w:tc>
        <w:tc>
          <w:tcPr>
            <w:tcW w:w="649" w:type="dxa"/>
            <w:shd w:val="clear" w:color="auto" w:fill="auto"/>
          </w:tcPr>
          <w:p w14:paraId="564E81FF" w14:textId="77777777" w:rsidR="00314B70" w:rsidRPr="00F93FFA" w:rsidRDefault="00314B70" w:rsidP="00DE16D0">
            <w:pPr>
              <w:widowControl w:val="0"/>
              <w:ind w:left="-27"/>
              <w:rPr>
                <w:sz w:val="20"/>
                <w:szCs w:val="20"/>
              </w:rPr>
            </w:pPr>
            <w:r w:rsidRPr="00F93FFA">
              <w:rPr>
                <w:sz w:val="20"/>
                <w:szCs w:val="20"/>
              </w:rPr>
              <w:t>10:84</w:t>
            </w:r>
          </w:p>
        </w:tc>
        <w:tc>
          <w:tcPr>
            <w:tcW w:w="564" w:type="dxa"/>
            <w:shd w:val="clear" w:color="auto" w:fill="auto"/>
          </w:tcPr>
          <w:p w14:paraId="1CDE02E8" w14:textId="77777777" w:rsidR="00314B70" w:rsidRPr="00F93FFA" w:rsidRDefault="00314B70" w:rsidP="00DE16D0">
            <w:pPr>
              <w:widowControl w:val="0"/>
              <w:ind w:left="-27"/>
              <w:rPr>
                <w:sz w:val="20"/>
                <w:szCs w:val="20"/>
              </w:rPr>
            </w:pPr>
            <w:r w:rsidRPr="00F93FFA">
              <w:rPr>
                <w:sz w:val="20"/>
                <w:szCs w:val="20"/>
              </w:rPr>
              <w:t>2:84</w:t>
            </w:r>
          </w:p>
        </w:tc>
        <w:tc>
          <w:tcPr>
            <w:tcW w:w="555" w:type="dxa"/>
            <w:shd w:val="clear" w:color="auto" w:fill="auto"/>
          </w:tcPr>
          <w:p w14:paraId="0C224E02" w14:textId="77777777" w:rsidR="00314B70" w:rsidRPr="00F93FFA" w:rsidRDefault="00314B70" w:rsidP="00DE16D0">
            <w:pPr>
              <w:widowControl w:val="0"/>
              <w:ind w:left="-27"/>
              <w:rPr>
                <w:sz w:val="20"/>
                <w:szCs w:val="20"/>
              </w:rPr>
            </w:pPr>
            <w:r w:rsidRPr="00F93FFA">
              <w:rPr>
                <w:sz w:val="20"/>
                <w:szCs w:val="20"/>
              </w:rPr>
              <w:t>0:84</w:t>
            </w:r>
          </w:p>
        </w:tc>
      </w:tr>
      <w:tr w:rsidR="00314B70" w:rsidRPr="00F93FFA" w14:paraId="74FC0FF8" w14:textId="77777777" w:rsidTr="008D42AF">
        <w:tc>
          <w:tcPr>
            <w:tcW w:w="450" w:type="dxa"/>
            <w:shd w:val="clear" w:color="auto" w:fill="auto"/>
          </w:tcPr>
          <w:p w14:paraId="6AD9C8F9" w14:textId="77777777" w:rsidR="00314B70" w:rsidRPr="00F93FFA" w:rsidRDefault="00314B70" w:rsidP="00DE16D0">
            <w:pPr>
              <w:widowControl w:val="0"/>
              <w:rPr>
                <w:sz w:val="20"/>
                <w:szCs w:val="20"/>
              </w:rPr>
            </w:pPr>
            <w:r w:rsidRPr="00F93FFA">
              <w:rPr>
                <w:sz w:val="20"/>
                <w:szCs w:val="20"/>
              </w:rPr>
              <w:t>(2)</w:t>
            </w:r>
          </w:p>
        </w:tc>
        <w:tc>
          <w:tcPr>
            <w:tcW w:w="646" w:type="dxa"/>
            <w:shd w:val="clear" w:color="auto" w:fill="auto"/>
          </w:tcPr>
          <w:p w14:paraId="3FFFE0D5" w14:textId="77777777" w:rsidR="00314B70" w:rsidRPr="00F93FFA" w:rsidRDefault="00314B70" w:rsidP="00DE16D0">
            <w:pPr>
              <w:widowControl w:val="0"/>
              <w:ind w:left="-27"/>
              <w:rPr>
                <w:sz w:val="20"/>
                <w:szCs w:val="20"/>
              </w:rPr>
            </w:pPr>
            <w:r w:rsidRPr="00F93FFA">
              <w:rPr>
                <w:sz w:val="20"/>
                <w:szCs w:val="20"/>
              </w:rPr>
              <w:t>198:0</w:t>
            </w:r>
          </w:p>
        </w:tc>
        <w:tc>
          <w:tcPr>
            <w:tcW w:w="645" w:type="dxa"/>
            <w:shd w:val="clear" w:color="auto" w:fill="auto"/>
          </w:tcPr>
          <w:p w14:paraId="56612644" w14:textId="77777777" w:rsidR="00314B70" w:rsidRPr="00F93FFA" w:rsidRDefault="00314B70" w:rsidP="00DE16D0">
            <w:pPr>
              <w:widowControl w:val="0"/>
              <w:ind w:left="-27"/>
              <w:rPr>
                <w:sz w:val="20"/>
                <w:szCs w:val="20"/>
              </w:rPr>
            </w:pPr>
            <w:r w:rsidRPr="00F93FFA">
              <w:rPr>
                <w:sz w:val="20"/>
                <w:szCs w:val="20"/>
              </w:rPr>
              <w:t>189:5</w:t>
            </w:r>
          </w:p>
        </w:tc>
        <w:tc>
          <w:tcPr>
            <w:tcW w:w="745" w:type="dxa"/>
            <w:shd w:val="clear" w:color="auto" w:fill="auto"/>
          </w:tcPr>
          <w:p w14:paraId="6805E534" w14:textId="77777777" w:rsidR="00314B70" w:rsidRPr="00F93FFA" w:rsidRDefault="00314B70" w:rsidP="00DE16D0">
            <w:pPr>
              <w:widowControl w:val="0"/>
              <w:ind w:left="-27"/>
              <w:rPr>
                <w:sz w:val="20"/>
                <w:szCs w:val="20"/>
              </w:rPr>
            </w:pPr>
            <w:r w:rsidRPr="00F93FFA">
              <w:rPr>
                <w:sz w:val="20"/>
                <w:szCs w:val="20"/>
              </w:rPr>
              <w:t>184:8</w:t>
            </w:r>
          </w:p>
        </w:tc>
        <w:tc>
          <w:tcPr>
            <w:tcW w:w="745" w:type="dxa"/>
            <w:shd w:val="clear" w:color="auto" w:fill="auto"/>
          </w:tcPr>
          <w:p w14:paraId="4536E850" w14:textId="77777777" w:rsidR="00314B70" w:rsidRPr="00F93FFA" w:rsidRDefault="00314B70" w:rsidP="00DE16D0">
            <w:pPr>
              <w:widowControl w:val="0"/>
              <w:ind w:left="-27"/>
              <w:rPr>
                <w:sz w:val="20"/>
                <w:szCs w:val="20"/>
              </w:rPr>
            </w:pPr>
            <w:r w:rsidRPr="00F93FFA">
              <w:rPr>
                <w:sz w:val="20"/>
                <w:szCs w:val="20"/>
              </w:rPr>
              <w:t>181:11</w:t>
            </w:r>
          </w:p>
        </w:tc>
        <w:tc>
          <w:tcPr>
            <w:tcW w:w="745" w:type="dxa"/>
            <w:shd w:val="clear" w:color="auto" w:fill="auto"/>
          </w:tcPr>
          <w:p w14:paraId="667B1888" w14:textId="77777777" w:rsidR="00314B70" w:rsidRPr="00F93FFA" w:rsidRDefault="00314B70" w:rsidP="00DE16D0">
            <w:pPr>
              <w:widowControl w:val="0"/>
              <w:ind w:left="-27"/>
              <w:rPr>
                <w:sz w:val="20"/>
                <w:szCs w:val="20"/>
              </w:rPr>
            </w:pPr>
            <w:r w:rsidRPr="00F93FFA">
              <w:rPr>
                <w:sz w:val="20"/>
                <w:szCs w:val="20"/>
              </w:rPr>
              <w:t>173:18</w:t>
            </w:r>
          </w:p>
        </w:tc>
        <w:tc>
          <w:tcPr>
            <w:tcW w:w="752" w:type="dxa"/>
            <w:shd w:val="clear" w:color="auto" w:fill="auto"/>
          </w:tcPr>
          <w:p w14:paraId="1B690096" w14:textId="77777777" w:rsidR="00314B70" w:rsidRPr="00F93FFA" w:rsidRDefault="00314B70" w:rsidP="00DE16D0">
            <w:pPr>
              <w:widowControl w:val="0"/>
              <w:ind w:left="-27"/>
              <w:rPr>
                <w:sz w:val="20"/>
                <w:szCs w:val="20"/>
              </w:rPr>
            </w:pPr>
            <w:r w:rsidRPr="00F93FFA">
              <w:rPr>
                <w:sz w:val="20"/>
                <w:szCs w:val="20"/>
              </w:rPr>
              <w:t>152:22</w:t>
            </w:r>
          </w:p>
        </w:tc>
        <w:tc>
          <w:tcPr>
            <w:tcW w:w="745" w:type="dxa"/>
            <w:shd w:val="clear" w:color="auto" w:fill="auto"/>
          </w:tcPr>
          <w:p w14:paraId="2648328A" w14:textId="77777777" w:rsidR="00314B70" w:rsidRPr="00F93FFA" w:rsidRDefault="00314B70" w:rsidP="00DE16D0">
            <w:pPr>
              <w:widowControl w:val="0"/>
              <w:ind w:left="-27"/>
              <w:rPr>
                <w:sz w:val="20"/>
                <w:szCs w:val="20"/>
              </w:rPr>
            </w:pPr>
            <w:r w:rsidRPr="00F93FFA">
              <w:rPr>
                <w:sz w:val="20"/>
                <w:szCs w:val="20"/>
              </w:rPr>
              <w:t>133:25</w:t>
            </w:r>
          </w:p>
        </w:tc>
        <w:tc>
          <w:tcPr>
            <w:tcW w:w="745" w:type="dxa"/>
            <w:shd w:val="clear" w:color="auto" w:fill="auto"/>
          </w:tcPr>
          <w:p w14:paraId="3AC7ACE1" w14:textId="77777777" w:rsidR="00314B70" w:rsidRPr="00F93FFA" w:rsidRDefault="00314B70" w:rsidP="00DE16D0">
            <w:pPr>
              <w:widowControl w:val="0"/>
              <w:ind w:left="-27"/>
              <w:rPr>
                <w:sz w:val="20"/>
                <w:szCs w:val="20"/>
              </w:rPr>
            </w:pPr>
            <w:r w:rsidRPr="00F93FFA">
              <w:rPr>
                <w:sz w:val="20"/>
                <w:szCs w:val="20"/>
              </w:rPr>
              <w:t>102:29</w:t>
            </w:r>
          </w:p>
        </w:tc>
        <w:tc>
          <w:tcPr>
            <w:tcW w:w="652" w:type="dxa"/>
            <w:shd w:val="clear" w:color="auto" w:fill="auto"/>
          </w:tcPr>
          <w:p w14:paraId="193FF7ED" w14:textId="77777777" w:rsidR="00314B70" w:rsidRPr="00F93FFA" w:rsidRDefault="00314B70" w:rsidP="00DE16D0">
            <w:pPr>
              <w:widowControl w:val="0"/>
              <w:ind w:left="-27"/>
              <w:rPr>
                <w:sz w:val="20"/>
                <w:szCs w:val="20"/>
              </w:rPr>
            </w:pPr>
            <w:r w:rsidRPr="00F93FFA">
              <w:rPr>
                <w:sz w:val="20"/>
                <w:szCs w:val="20"/>
              </w:rPr>
              <w:t>82:35</w:t>
            </w:r>
          </w:p>
        </w:tc>
        <w:tc>
          <w:tcPr>
            <w:tcW w:w="652" w:type="dxa"/>
            <w:shd w:val="clear" w:color="auto" w:fill="auto"/>
          </w:tcPr>
          <w:p w14:paraId="4616FDD0" w14:textId="77777777" w:rsidR="00314B70" w:rsidRPr="00F93FFA" w:rsidRDefault="00314B70" w:rsidP="00DE16D0">
            <w:pPr>
              <w:widowControl w:val="0"/>
              <w:ind w:left="-27"/>
              <w:rPr>
                <w:sz w:val="20"/>
                <w:szCs w:val="20"/>
              </w:rPr>
            </w:pPr>
            <w:r w:rsidRPr="00F93FFA">
              <w:rPr>
                <w:sz w:val="20"/>
                <w:szCs w:val="20"/>
              </w:rPr>
              <w:t>54:46</w:t>
            </w:r>
          </w:p>
        </w:tc>
        <w:tc>
          <w:tcPr>
            <w:tcW w:w="649" w:type="dxa"/>
            <w:shd w:val="clear" w:color="auto" w:fill="auto"/>
          </w:tcPr>
          <w:p w14:paraId="7B13EFAC" w14:textId="77777777" w:rsidR="00314B70" w:rsidRPr="00F93FFA" w:rsidRDefault="00314B70" w:rsidP="00DE16D0">
            <w:pPr>
              <w:widowControl w:val="0"/>
              <w:ind w:left="-27"/>
              <w:rPr>
                <w:sz w:val="20"/>
                <w:szCs w:val="20"/>
              </w:rPr>
            </w:pPr>
            <w:r w:rsidRPr="00F93FFA">
              <w:rPr>
                <w:sz w:val="20"/>
                <w:szCs w:val="20"/>
              </w:rPr>
              <w:t>39:47</w:t>
            </w:r>
          </w:p>
        </w:tc>
        <w:tc>
          <w:tcPr>
            <w:tcW w:w="660" w:type="dxa"/>
            <w:shd w:val="clear" w:color="auto" w:fill="auto"/>
          </w:tcPr>
          <w:p w14:paraId="46DE94E4" w14:textId="77777777" w:rsidR="00314B70" w:rsidRPr="00F93FFA" w:rsidRDefault="00314B70" w:rsidP="00DE16D0">
            <w:pPr>
              <w:widowControl w:val="0"/>
              <w:ind w:left="-27"/>
              <w:rPr>
                <w:sz w:val="20"/>
                <w:szCs w:val="20"/>
              </w:rPr>
            </w:pPr>
            <w:r w:rsidRPr="00F93FFA">
              <w:rPr>
                <w:sz w:val="20"/>
                <w:szCs w:val="20"/>
              </w:rPr>
              <w:t>21:49</w:t>
            </w:r>
          </w:p>
        </w:tc>
        <w:tc>
          <w:tcPr>
            <w:tcW w:w="649" w:type="dxa"/>
            <w:shd w:val="clear" w:color="auto" w:fill="auto"/>
          </w:tcPr>
          <w:p w14:paraId="6402CEF6" w14:textId="77777777" w:rsidR="00314B70" w:rsidRPr="00F93FFA" w:rsidRDefault="00314B70" w:rsidP="00DE16D0">
            <w:pPr>
              <w:widowControl w:val="0"/>
              <w:ind w:left="-27"/>
              <w:rPr>
                <w:sz w:val="20"/>
                <w:szCs w:val="20"/>
              </w:rPr>
            </w:pPr>
            <w:r w:rsidRPr="00F93FFA">
              <w:rPr>
                <w:sz w:val="20"/>
                <w:szCs w:val="20"/>
              </w:rPr>
              <w:t>8:50</w:t>
            </w:r>
          </w:p>
        </w:tc>
        <w:tc>
          <w:tcPr>
            <w:tcW w:w="564" w:type="dxa"/>
            <w:shd w:val="clear" w:color="auto" w:fill="auto"/>
          </w:tcPr>
          <w:p w14:paraId="5ACA8EEE" w14:textId="77777777" w:rsidR="00314B70" w:rsidRPr="00F93FFA" w:rsidRDefault="00314B70" w:rsidP="00DE16D0">
            <w:pPr>
              <w:widowControl w:val="0"/>
              <w:ind w:left="-27"/>
              <w:rPr>
                <w:sz w:val="20"/>
                <w:szCs w:val="20"/>
              </w:rPr>
            </w:pPr>
            <w:r w:rsidRPr="00F93FFA">
              <w:rPr>
                <w:sz w:val="20"/>
                <w:szCs w:val="20"/>
              </w:rPr>
              <w:t>0:50</w:t>
            </w:r>
          </w:p>
        </w:tc>
        <w:tc>
          <w:tcPr>
            <w:tcW w:w="555" w:type="dxa"/>
            <w:shd w:val="clear" w:color="auto" w:fill="auto"/>
          </w:tcPr>
          <w:p w14:paraId="27DA18F4" w14:textId="77777777" w:rsidR="00314B70" w:rsidRPr="00F93FFA" w:rsidRDefault="00314B70" w:rsidP="00DE16D0">
            <w:pPr>
              <w:widowControl w:val="0"/>
              <w:ind w:left="-27"/>
              <w:rPr>
                <w:sz w:val="20"/>
                <w:szCs w:val="20"/>
              </w:rPr>
            </w:pPr>
          </w:p>
        </w:tc>
      </w:tr>
    </w:tbl>
    <w:p w14:paraId="04FD9A4E" w14:textId="77777777" w:rsidR="00314B70" w:rsidRPr="00F93FFA" w:rsidRDefault="00314B70" w:rsidP="00DE16D0">
      <w:pPr>
        <w:widowControl w:val="0"/>
        <w:rPr>
          <w:rFonts w:eastAsia="MS Mincho"/>
          <w:sz w:val="22"/>
          <w:szCs w:val="22"/>
        </w:rPr>
      </w:pPr>
    </w:p>
    <w:p w14:paraId="10154388" w14:textId="77777777" w:rsidR="00314B70" w:rsidRPr="00F93FFA" w:rsidRDefault="00314B70" w:rsidP="00DE16D0">
      <w:pPr>
        <w:keepNext/>
        <w:widowControl w:val="0"/>
        <w:ind w:left="1134" w:hanging="1134"/>
        <w:rPr>
          <w:rFonts w:eastAsia="MS Mincho"/>
          <w:sz w:val="22"/>
          <w:szCs w:val="22"/>
        </w:rPr>
      </w:pPr>
      <w:r w:rsidRPr="00F93FFA">
        <w:rPr>
          <w:rFonts w:eastAsia="MS Mincho"/>
          <w:b/>
          <w:sz w:val="22"/>
          <w:szCs w:val="22"/>
        </w:rPr>
        <w:lastRenderedPageBreak/>
        <w:t>2 pav.</w:t>
      </w:r>
      <w:r w:rsidRPr="00F93FFA">
        <w:rPr>
          <w:rFonts w:eastAsia="MS Mincho"/>
          <w:b/>
          <w:sz w:val="22"/>
          <w:szCs w:val="22"/>
        </w:rPr>
        <w:tab/>
        <w:t>Bendrojo išgyvenamumo duomenys, Kaplan-Meier kreivė (ITT populiacija)</w:t>
      </w:r>
    </w:p>
    <w:p w14:paraId="1ACC7DCB" w14:textId="77777777" w:rsidR="00314B7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61312" behindDoc="0" locked="0" layoutInCell="1" allowOverlap="1" wp14:anchorId="44DE40A7" wp14:editId="1D6331BE">
                <wp:simplePos x="0" y="0"/>
                <wp:positionH relativeFrom="column">
                  <wp:posOffset>-255270</wp:posOffset>
                </wp:positionH>
                <wp:positionV relativeFrom="paragraph">
                  <wp:posOffset>122555</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56807" w14:textId="77777777" w:rsidR="00481ECF" w:rsidRDefault="00481ECF" w:rsidP="00314B70">
                            <w:pPr>
                              <w:rPr>
                                <w:rFonts w:ascii="Arial" w:hAnsi="Arial" w:cs="Arial"/>
                                <w:sz w:val="20"/>
                                <w:szCs w:val="20"/>
                              </w:rPr>
                            </w:pPr>
                            <w:r>
                              <w:rPr>
                                <w:rFonts w:ascii="Arial" w:hAnsi="Arial" w:cs="Arial"/>
                                <w:sz w:val="20"/>
                                <w:szCs w:val="20"/>
                              </w:rPr>
                              <w:t>Bendrojo išgyvenamumo tikimybė</w:t>
                            </w:r>
                          </w:p>
                          <w:p w14:paraId="639498A7" w14:textId="77777777" w:rsidR="00481ECF" w:rsidRDefault="00481ECF" w:rsidP="00314B70">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E40A7" id="_x0000_s1035" type="#_x0000_t202" style="position:absolute;margin-left:-20.1pt;margin-top:9.6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nedJUN8AAAAJAQAADwAAAGRycy9kb3ducmV2LnhtbEyPQUvDQBCF74L/YRnBW7tr&#10;IiaN2RQRCoIgWKvobZqdJsHsbMhu2+ivd3uyx+F9vPdNuZxsLw40+s6xhpu5AkFcO9Nxo2Hztprl&#10;IHxANtg7Jg0/5GFZXV6UWBh35Fc6rEMjYgn7AjW0IQyFlL5uyaKfu4E4Zjs3WgzxHBtpRjzGctvL&#10;RKk7abHjuNDiQI8t1d/rvdXw9fGb03uQL/gU0mxFG/+8+8y1vr6aHu5BBJrCPwwn/agOVXTauj0b&#10;L3oNs1uVRDQGixTECUgyEFsNaaYWIKtSnn9Q/QEAAP//AwBQSwECLQAUAAYACAAAACEAtoM4kv4A&#10;AADhAQAAEwAAAAAAAAAAAAAAAAAAAAAAW0NvbnRlbnRfVHlwZXNdLnhtbFBLAQItABQABgAIAAAA&#10;IQA4/SH/1gAAAJQBAAALAAAAAAAAAAAAAAAAAC8BAABfcmVscy8ucmVsc1BLAQItABQABgAIAAAA&#10;IQAtAB4AFQIAABcEAAAOAAAAAAAAAAAAAAAAAC4CAABkcnMvZTJvRG9jLnhtbFBLAQItABQABgAI&#10;AAAAIQCd50lQ3wAAAAkBAAAPAAAAAAAAAAAAAAAAAG8EAABkcnMvZG93bnJldi54bWxQSwUGAAAA&#10;AAQABADzAAAAewUAAAAA&#10;" stroked="f">
                <v:fill opacity="0"/>
                <v:textbox style="layout-flow:vertical;mso-layout-flow-alt:bottom-to-top">
                  <w:txbxContent>
                    <w:p w14:paraId="0BA56807" w14:textId="77777777" w:rsidR="00481ECF" w:rsidRDefault="00481ECF" w:rsidP="00314B70">
                      <w:pPr>
                        <w:rPr>
                          <w:rFonts w:ascii="Arial" w:hAnsi="Arial" w:cs="Arial"/>
                          <w:sz w:val="20"/>
                          <w:szCs w:val="20"/>
                        </w:rPr>
                      </w:pPr>
                      <w:r>
                        <w:rPr>
                          <w:rFonts w:ascii="Arial" w:hAnsi="Arial" w:cs="Arial"/>
                          <w:sz w:val="20"/>
                          <w:szCs w:val="20"/>
                        </w:rPr>
                        <w:t>Bendrojo išgyvenamumo tikimybė</w:t>
                      </w:r>
                    </w:p>
                    <w:p w14:paraId="639498A7" w14:textId="77777777" w:rsidR="00481ECF" w:rsidRDefault="00481ECF" w:rsidP="00314B70">
                      <w:pPr>
                        <w:rPr>
                          <w:rFonts w:ascii="Arial" w:hAnsi="Arial" w:cs="Arial"/>
                          <w:sz w:val="20"/>
                          <w:szCs w:val="20"/>
                        </w:rPr>
                      </w:pPr>
                    </w:p>
                  </w:txbxContent>
                </v:textbox>
              </v:shape>
            </w:pict>
          </mc:Fallback>
        </mc:AlternateContent>
      </w:r>
    </w:p>
    <w:p w14:paraId="32028FDE" w14:textId="77777777" w:rsidR="00314B70" w:rsidRPr="00F93FFA" w:rsidRDefault="00C3077F" w:rsidP="00DE16D0">
      <w:pPr>
        <w:keepNext/>
        <w:widowControl w:val="0"/>
        <w:rPr>
          <w:rFonts w:eastAsia="MS Mincho"/>
          <w:sz w:val="22"/>
          <w:szCs w:val="22"/>
        </w:rPr>
      </w:pPr>
      <w:r w:rsidRPr="00F93FFA">
        <w:rPr>
          <w:noProof/>
          <w:lang w:val="en-US"/>
        </w:rPr>
        <mc:AlternateContent>
          <mc:Choice Requires="wps">
            <w:drawing>
              <wp:anchor distT="0" distB="0" distL="114300" distR="114300" simplePos="0" relativeHeight="251663360" behindDoc="0" locked="0" layoutInCell="1" allowOverlap="1" wp14:anchorId="01780F28" wp14:editId="75EA2FCB">
                <wp:simplePos x="0" y="0"/>
                <wp:positionH relativeFrom="column">
                  <wp:posOffset>350520</wp:posOffset>
                </wp:positionH>
                <wp:positionV relativeFrom="paragraph">
                  <wp:posOffset>962025</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9DD86" w14:textId="77777777" w:rsidR="00481ECF" w:rsidRDefault="00481ECF" w:rsidP="00314B70">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817"/>
                              <w:gridCol w:w="1680"/>
                            </w:tblGrid>
                            <w:tr w:rsidR="00481ECF" w14:paraId="76700305" w14:textId="77777777">
                              <w:tc>
                                <w:tcPr>
                                  <w:tcW w:w="6629" w:type="dxa"/>
                                  <w:gridSpan w:val="5"/>
                                  <w:shd w:val="clear" w:color="auto" w:fill="auto"/>
                                </w:tcPr>
                                <w:p w14:paraId="06A458B7" w14:textId="3D0FE236" w:rsidR="00481ECF" w:rsidRDefault="00481ECF">
                                  <w:pPr>
                                    <w:rPr>
                                      <w:rFonts w:ascii="Arial" w:hAnsi="Arial" w:cs="Arial"/>
                                      <w:sz w:val="20"/>
                                      <w:szCs w:val="20"/>
                                    </w:rPr>
                                  </w:pPr>
                                  <w:r>
                                    <w:rPr>
                                      <w:rFonts w:ascii="Arial" w:hAnsi="Arial" w:cs="Arial"/>
                                      <w:sz w:val="20"/>
                                      <w:szCs w:val="20"/>
                                    </w:rPr>
                                    <w:t>p = 0,019</w:t>
                                  </w:r>
                                </w:p>
                                <w:p w14:paraId="69EC21B2" w14:textId="77777777" w:rsidR="00481ECF" w:rsidRDefault="00481ECF">
                                  <w:pPr>
                                    <w:rPr>
                                      <w:rFonts w:ascii="Arial" w:hAnsi="Arial" w:cs="Arial"/>
                                      <w:sz w:val="20"/>
                                      <w:szCs w:val="20"/>
                                    </w:rPr>
                                  </w:pPr>
                                  <w:r>
                                    <w:rPr>
                                      <w:rFonts w:ascii="Arial" w:hAnsi="Arial" w:cs="Arial"/>
                                      <w:sz w:val="20"/>
                                      <w:szCs w:val="20"/>
                                    </w:rPr>
                                    <w:t>Rizikos santykis 0,45</w:t>
                                  </w:r>
                                </w:p>
                                <w:p w14:paraId="22D592DE" w14:textId="77777777" w:rsidR="00481ECF" w:rsidRDefault="00481ECF">
                                  <w:pPr>
                                    <w:rPr>
                                      <w:rFonts w:ascii="Arial" w:hAnsi="Arial" w:cs="Arial"/>
                                      <w:sz w:val="20"/>
                                      <w:szCs w:val="20"/>
                                      <w:lang w:val="de-DE"/>
                                    </w:rPr>
                                  </w:pPr>
                                  <w:r>
                                    <w:rPr>
                                      <w:rFonts w:ascii="Arial" w:hAnsi="Arial" w:cs="Arial"/>
                                      <w:sz w:val="20"/>
                                      <w:szCs w:val="20"/>
                                    </w:rPr>
                                    <w:t>(95 % Pl, 0,22</w:t>
                                  </w:r>
                                  <w:r>
                                    <w:rPr>
                                      <w:rFonts w:ascii="Arial" w:hAnsi="Arial" w:cs="Arial"/>
                                      <w:sz w:val="20"/>
                                      <w:szCs w:val="20"/>
                                    </w:rPr>
                                    <w:noBreakHyphen/>
                                    <w:t>0,89)</w:t>
                                  </w:r>
                                </w:p>
                              </w:tc>
                            </w:tr>
                            <w:tr w:rsidR="00481ECF" w14:paraId="2B57EDF7" w14:textId="77777777">
                              <w:tc>
                                <w:tcPr>
                                  <w:tcW w:w="817" w:type="dxa"/>
                                  <w:shd w:val="clear" w:color="auto" w:fill="auto"/>
                                </w:tcPr>
                                <w:p w14:paraId="4230D5BF" w14:textId="77777777" w:rsidR="00481ECF" w:rsidRDefault="00481ECF">
                                  <w:pPr>
                                    <w:rPr>
                                      <w:rFonts w:ascii="Arial" w:hAnsi="Arial" w:cs="Arial"/>
                                      <w:sz w:val="20"/>
                                      <w:szCs w:val="20"/>
                                    </w:rPr>
                                  </w:pPr>
                                </w:p>
                              </w:tc>
                              <w:tc>
                                <w:tcPr>
                                  <w:tcW w:w="2464" w:type="dxa"/>
                                  <w:shd w:val="clear" w:color="auto" w:fill="auto"/>
                                </w:tcPr>
                                <w:p w14:paraId="6684CED6"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0FFFC867"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62B7D708"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41C12FEA"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463901D8" w14:textId="77777777">
                              <w:tc>
                                <w:tcPr>
                                  <w:tcW w:w="817" w:type="dxa"/>
                                  <w:shd w:val="clear" w:color="auto" w:fill="auto"/>
                                </w:tcPr>
                                <w:p w14:paraId="6750DAEB"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23EB606F"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17DF4DDB"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6CBA81A1" w14:textId="77777777" w:rsidR="00481ECF" w:rsidRDefault="00481ECF">
                                  <w:pPr>
                                    <w:rPr>
                                      <w:rFonts w:ascii="Arial" w:hAnsi="Arial" w:cs="Arial"/>
                                      <w:sz w:val="20"/>
                                      <w:szCs w:val="20"/>
                                    </w:rPr>
                                  </w:pPr>
                                  <w:r>
                                    <w:rPr>
                                      <w:rFonts w:ascii="Arial" w:hAnsi="Arial" w:cs="Arial"/>
                                      <w:sz w:val="20"/>
                                      <w:szCs w:val="20"/>
                                    </w:rPr>
                                    <w:t>25</w:t>
                                  </w:r>
                                </w:p>
                              </w:tc>
                              <w:tc>
                                <w:tcPr>
                                  <w:tcW w:w="1680" w:type="dxa"/>
                                  <w:tcBorders>
                                    <w:top w:val="single" w:sz="4" w:space="0" w:color="auto"/>
                                  </w:tcBorders>
                                  <w:shd w:val="clear" w:color="auto" w:fill="auto"/>
                                </w:tcPr>
                                <w:p w14:paraId="4A0BEABC" w14:textId="77777777" w:rsidR="00481ECF" w:rsidRDefault="00481ECF">
                                  <w:pPr>
                                    <w:rPr>
                                      <w:rFonts w:ascii="Arial" w:hAnsi="Arial" w:cs="Arial"/>
                                      <w:sz w:val="20"/>
                                      <w:szCs w:val="20"/>
                                    </w:rPr>
                                  </w:pPr>
                                  <w:r>
                                    <w:rPr>
                                      <w:rFonts w:ascii="Arial" w:hAnsi="Arial" w:cs="Arial"/>
                                      <w:sz w:val="20"/>
                                      <w:szCs w:val="20"/>
                                    </w:rPr>
                                    <w:t>174</w:t>
                                  </w:r>
                                </w:p>
                              </w:tc>
                            </w:tr>
                            <w:tr w:rsidR="00481ECF" w14:paraId="196136B1" w14:textId="77777777">
                              <w:tc>
                                <w:tcPr>
                                  <w:tcW w:w="817" w:type="dxa"/>
                                  <w:shd w:val="clear" w:color="auto" w:fill="auto"/>
                                </w:tcPr>
                                <w:p w14:paraId="14088341"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5A0088A"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7746B41"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18435D47" w14:textId="77777777" w:rsidR="00481ECF" w:rsidRDefault="00481ECF">
                                  <w:pPr>
                                    <w:rPr>
                                      <w:rFonts w:ascii="Arial" w:hAnsi="Arial" w:cs="Arial"/>
                                      <w:sz w:val="20"/>
                                      <w:szCs w:val="20"/>
                                    </w:rPr>
                                  </w:pPr>
                                  <w:r>
                                    <w:rPr>
                                      <w:rFonts w:ascii="Arial" w:hAnsi="Arial" w:cs="Arial"/>
                                      <w:sz w:val="20"/>
                                      <w:szCs w:val="20"/>
                                    </w:rPr>
                                    <w:t>12</w:t>
                                  </w:r>
                                </w:p>
                              </w:tc>
                              <w:tc>
                                <w:tcPr>
                                  <w:tcW w:w="1680" w:type="dxa"/>
                                  <w:tcBorders>
                                    <w:bottom w:val="single" w:sz="4" w:space="0" w:color="auto"/>
                                  </w:tcBorders>
                                  <w:shd w:val="clear" w:color="auto" w:fill="auto"/>
                                </w:tcPr>
                                <w:p w14:paraId="6B5E3D43" w14:textId="77777777" w:rsidR="00481ECF" w:rsidRDefault="00481ECF">
                                  <w:pPr>
                                    <w:rPr>
                                      <w:rFonts w:ascii="Arial" w:hAnsi="Arial" w:cs="Arial"/>
                                      <w:sz w:val="20"/>
                                      <w:szCs w:val="20"/>
                                    </w:rPr>
                                  </w:pPr>
                                  <w:r>
                                    <w:rPr>
                                      <w:rFonts w:ascii="Arial" w:hAnsi="Arial" w:cs="Arial"/>
                                      <w:sz w:val="20"/>
                                      <w:szCs w:val="20"/>
                                    </w:rPr>
                                    <w:t>186</w:t>
                                  </w:r>
                                </w:p>
                              </w:tc>
                            </w:tr>
                            <w:tr w:rsidR="00481ECF" w14:paraId="2536CA37" w14:textId="77777777">
                              <w:tc>
                                <w:tcPr>
                                  <w:tcW w:w="817" w:type="dxa"/>
                                  <w:shd w:val="clear" w:color="auto" w:fill="auto"/>
                                </w:tcPr>
                                <w:p w14:paraId="417BE7D0"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4978E34A"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3DB467B9"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4CFBF5E1"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79149220" w14:textId="77777777" w:rsidR="00481ECF" w:rsidRDefault="00481ECF">
                                  <w:pPr>
                                    <w:rPr>
                                      <w:rFonts w:ascii="Arial" w:hAnsi="Arial" w:cs="Arial"/>
                                      <w:sz w:val="20"/>
                                      <w:szCs w:val="20"/>
                                    </w:rPr>
                                  </w:pPr>
                                </w:p>
                              </w:tc>
                            </w:tr>
                          </w:tbl>
                          <w:p w14:paraId="41F86BBC" w14:textId="77777777" w:rsidR="00481ECF" w:rsidRDefault="00481ECF" w:rsidP="00314B70">
                            <w:pPr>
                              <w:rPr>
                                <w:rFonts w:ascii="Arial" w:hAnsi="Arial" w:cs="Arial"/>
                                <w:sz w:val="20"/>
                                <w:szCs w:val="20"/>
                              </w:rPr>
                            </w:pPr>
                          </w:p>
                          <w:p w14:paraId="7249D745" w14:textId="77777777" w:rsidR="00481ECF" w:rsidRDefault="00481ECF" w:rsidP="00314B7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80F28" id="_x0000_s1036" type="#_x0000_t202" style="position:absolute;margin-left:27.6pt;margin-top:75.75pt;width:361.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DCQImD3gAAAAoBAAAPAAAAZHJzL2Rv&#10;d25yZXYueG1sTI/BTsMwDIbvSLxDZCRuLNlG1lGaTgjEFbQBk7hljddWNE7VZGt5e8wJjrY//f7+&#10;YjP5TpxxiG0gA/OZAoFUBddSbeD97flmDSImS852gdDAN0bYlJcXhc1dGGmL512qBYdQzK2BJqU+&#10;lzJWDXobZ6FH4tsxDN4mHodausGOHO47uVBqJb1tiT80tsfHBquv3ckb+Hg5fu5v1Wv95HU/hklJ&#10;8nfSmOur6eEeRMIp/cHwq8/qULLTIZzIRdEZ0HrBJO/1XINgIMuyJYiDgWW20iDLQv6vUP4AAAD/&#10;/wMAUEsBAi0AFAAGAAgAAAAhALaDOJL+AAAA4QEAABMAAAAAAAAAAAAAAAAAAAAAAFtDb250ZW50&#10;X1R5cGVzXS54bWxQSwECLQAUAAYACAAAACEAOP0h/9YAAACUAQAACwAAAAAAAAAAAAAAAAAvAQAA&#10;X3JlbHMvLnJlbHNQSwECLQAUAAYACAAAACEAvKtvW/YBAADQAwAADgAAAAAAAAAAAAAAAAAuAgAA&#10;ZHJzL2Uyb0RvYy54bWxQSwECLQAUAAYACAAAACEAwkCJg94AAAAKAQAADwAAAAAAAAAAAAAAAABQ&#10;BAAAZHJzL2Rvd25yZXYueG1sUEsFBgAAAAAEAAQA8wAAAFsFAAAAAA==&#10;" filled="f" stroked="f">
                <v:textbox>
                  <w:txbxContent>
                    <w:p w14:paraId="63A9DD86" w14:textId="77777777" w:rsidR="00481ECF" w:rsidRDefault="00481ECF" w:rsidP="00314B70">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817"/>
                        <w:gridCol w:w="1680"/>
                      </w:tblGrid>
                      <w:tr w:rsidR="00481ECF" w14:paraId="76700305" w14:textId="77777777">
                        <w:tc>
                          <w:tcPr>
                            <w:tcW w:w="6629" w:type="dxa"/>
                            <w:gridSpan w:val="5"/>
                            <w:shd w:val="clear" w:color="auto" w:fill="auto"/>
                          </w:tcPr>
                          <w:p w14:paraId="06A458B7" w14:textId="3D0FE236" w:rsidR="00481ECF" w:rsidRDefault="00481ECF">
                            <w:pPr>
                              <w:rPr>
                                <w:rFonts w:ascii="Arial" w:hAnsi="Arial" w:cs="Arial"/>
                                <w:sz w:val="20"/>
                                <w:szCs w:val="20"/>
                              </w:rPr>
                            </w:pPr>
                            <w:r>
                              <w:rPr>
                                <w:rFonts w:ascii="Arial" w:hAnsi="Arial" w:cs="Arial"/>
                                <w:sz w:val="20"/>
                                <w:szCs w:val="20"/>
                              </w:rPr>
                              <w:t>p = 0,019</w:t>
                            </w:r>
                          </w:p>
                          <w:p w14:paraId="69EC21B2" w14:textId="77777777" w:rsidR="00481ECF" w:rsidRDefault="00481ECF">
                            <w:pPr>
                              <w:rPr>
                                <w:rFonts w:ascii="Arial" w:hAnsi="Arial" w:cs="Arial"/>
                                <w:sz w:val="20"/>
                                <w:szCs w:val="20"/>
                              </w:rPr>
                            </w:pPr>
                            <w:r>
                              <w:rPr>
                                <w:rFonts w:ascii="Arial" w:hAnsi="Arial" w:cs="Arial"/>
                                <w:sz w:val="20"/>
                                <w:szCs w:val="20"/>
                              </w:rPr>
                              <w:t>Rizikos santykis 0,45</w:t>
                            </w:r>
                          </w:p>
                          <w:p w14:paraId="22D592DE" w14:textId="77777777" w:rsidR="00481ECF" w:rsidRDefault="00481ECF">
                            <w:pPr>
                              <w:rPr>
                                <w:rFonts w:ascii="Arial" w:hAnsi="Arial" w:cs="Arial"/>
                                <w:sz w:val="20"/>
                                <w:szCs w:val="20"/>
                                <w:lang w:val="de-DE"/>
                              </w:rPr>
                            </w:pPr>
                            <w:r>
                              <w:rPr>
                                <w:rFonts w:ascii="Arial" w:hAnsi="Arial" w:cs="Arial"/>
                                <w:sz w:val="20"/>
                                <w:szCs w:val="20"/>
                              </w:rPr>
                              <w:t>(95 % Pl, 0,22</w:t>
                            </w:r>
                            <w:r>
                              <w:rPr>
                                <w:rFonts w:ascii="Arial" w:hAnsi="Arial" w:cs="Arial"/>
                                <w:sz w:val="20"/>
                                <w:szCs w:val="20"/>
                              </w:rPr>
                              <w:noBreakHyphen/>
                              <w:t>0,89)</w:t>
                            </w:r>
                          </w:p>
                        </w:tc>
                      </w:tr>
                      <w:tr w:rsidR="00481ECF" w14:paraId="2B57EDF7" w14:textId="77777777">
                        <w:tc>
                          <w:tcPr>
                            <w:tcW w:w="817" w:type="dxa"/>
                            <w:shd w:val="clear" w:color="auto" w:fill="auto"/>
                          </w:tcPr>
                          <w:p w14:paraId="4230D5BF" w14:textId="77777777" w:rsidR="00481ECF" w:rsidRDefault="00481ECF">
                            <w:pPr>
                              <w:rPr>
                                <w:rFonts w:ascii="Arial" w:hAnsi="Arial" w:cs="Arial"/>
                                <w:sz w:val="20"/>
                                <w:szCs w:val="20"/>
                              </w:rPr>
                            </w:pPr>
                          </w:p>
                        </w:tc>
                        <w:tc>
                          <w:tcPr>
                            <w:tcW w:w="2464" w:type="dxa"/>
                            <w:shd w:val="clear" w:color="auto" w:fill="auto"/>
                          </w:tcPr>
                          <w:p w14:paraId="6684CED6" w14:textId="77777777" w:rsidR="00481ECF" w:rsidRDefault="00481ECF">
                            <w:pPr>
                              <w:rPr>
                                <w:rFonts w:ascii="Arial" w:hAnsi="Arial" w:cs="Arial"/>
                                <w:sz w:val="20"/>
                                <w:szCs w:val="20"/>
                              </w:rPr>
                            </w:pPr>
                          </w:p>
                        </w:tc>
                        <w:tc>
                          <w:tcPr>
                            <w:tcW w:w="851" w:type="dxa"/>
                            <w:tcBorders>
                              <w:bottom w:val="single" w:sz="4" w:space="0" w:color="auto"/>
                            </w:tcBorders>
                            <w:shd w:val="clear" w:color="auto" w:fill="auto"/>
                          </w:tcPr>
                          <w:p w14:paraId="0FFFC867" w14:textId="77777777" w:rsidR="00481ECF" w:rsidRDefault="00481ECF">
                            <w:pPr>
                              <w:rPr>
                                <w:rFonts w:ascii="Arial" w:hAnsi="Arial" w:cs="Arial"/>
                                <w:sz w:val="20"/>
                                <w:szCs w:val="20"/>
                              </w:rPr>
                            </w:pPr>
                            <w:r>
                              <w:rPr>
                                <w:rFonts w:ascii="Arial" w:hAnsi="Arial" w:cs="Arial"/>
                                <w:sz w:val="20"/>
                                <w:szCs w:val="20"/>
                                <w:lang w:val="de-DE"/>
                              </w:rPr>
                              <w:t>N</w:t>
                            </w:r>
                          </w:p>
                        </w:tc>
                        <w:tc>
                          <w:tcPr>
                            <w:tcW w:w="817" w:type="dxa"/>
                            <w:tcBorders>
                              <w:bottom w:val="single" w:sz="4" w:space="0" w:color="auto"/>
                            </w:tcBorders>
                            <w:shd w:val="clear" w:color="auto" w:fill="auto"/>
                          </w:tcPr>
                          <w:p w14:paraId="62B7D708" w14:textId="77777777" w:rsidR="00481ECF" w:rsidRDefault="00481ECF">
                            <w:pPr>
                              <w:rPr>
                                <w:rFonts w:ascii="Arial" w:hAnsi="Arial" w:cs="Arial"/>
                                <w:sz w:val="20"/>
                                <w:szCs w:val="20"/>
                              </w:rPr>
                            </w:pPr>
                            <w:r>
                              <w:rPr>
                                <w:rFonts w:ascii="Arial" w:hAnsi="Arial" w:cs="Arial"/>
                                <w:sz w:val="20"/>
                                <w:szCs w:val="20"/>
                              </w:rPr>
                              <w:t>Atvejai</w:t>
                            </w:r>
                          </w:p>
                        </w:tc>
                        <w:tc>
                          <w:tcPr>
                            <w:tcW w:w="1680" w:type="dxa"/>
                            <w:tcBorders>
                              <w:bottom w:val="single" w:sz="4" w:space="0" w:color="auto"/>
                            </w:tcBorders>
                            <w:shd w:val="clear" w:color="auto" w:fill="auto"/>
                          </w:tcPr>
                          <w:p w14:paraId="41C12FEA" w14:textId="77777777" w:rsidR="00481ECF" w:rsidRDefault="00481ECF">
                            <w:pPr>
                              <w:rPr>
                                <w:rFonts w:ascii="Arial" w:hAnsi="Arial" w:cs="Arial"/>
                                <w:sz w:val="20"/>
                                <w:szCs w:val="20"/>
                              </w:rPr>
                            </w:pPr>
                            <w:r>
                              <w:rPr>
                                <w:rFonts w:ascii="Arial" w:hAnsi="Arial" w:cs="Arial"/>
                                <w:sz w:val="20"/>
                                <w:szCs w:val="20"/>
                              </w:rPr>
                              <w:t>Likę pacientai</w:t>
                            </w:r>
                          </w:p>
                        </w:tc>
                      </w:tr>
                      <w:tr w:rsidR="00481ECF" w14:paraId="463901D8" w14:textId="77777777">
                        <w:tc>
                          <w:tcPr>
                            <w:tcW w:w="817" w:type="dxa"/>
                            <w:shd w:val="clear" w:color="auto" w:fill="auto"/>
                          </w:tcPr>
                          <w:p w14:paraId="6750DAEB" w14:textId="77777777" w:rsidR="00481ECF" w:rsidRDefault="00481ECF">
                            <w:pPr>
                              <w:rPr>
                                <w:rFonts w:ascii="Arial" w:hAnsi="Arial" w:cs="Arial"/>
                                <w:sz w:val="20"/>
                                <w:szCs w:val="20"/>
                              </w:rPr>
                            </w:pPr>
                            <w:r>
                              <w:rPr>
                                <w:rFonts w:ascii="Arial" w:hAnsi="Arial" w:cs="Arial"/>
                                <w:b/>
                                <w:sz w:val="20"/>
                                <w:szCs w:val="20"/>
                              </w:rPr>
                              <w:t>——</w:t>
                            </w:r>
                          </w:p>
                        </w:tc>
                        <w:tc>
                          <w:tcPr>
                            <w:tcW w:w="2464" w:type="dxa"/>
                            <w:shd w:val="clear" w:color="auto" w:fill="auto"/>
                          </w:tcPr>
                          <w:p w14:paraId="23EB606F" w14:textId="77777777" w:rsidR="00481ECF" w:rsidRDefault="00481ECF">
                            <w:pPr>
                              <w:rPr>
                                <w:rFonts w:ascii="Arial" w:hAnsi="Arial" w:cs="Arial"/>
                                <w:sz w:val="20"/>
                                <w:szCs w:val="20"/>
                              </w:rPr>
                            </w:pPr>
                            <w:r>
                              <w:rPr>
                                <w:rFonts w:ascii="Arial" w:hAnsi="Arial" w:cs="Arial"/>
                                <w:sz w:val="20"/>
                                <w:szCs w:val="20"/>
                              </w:rPr>
                              <w:t>(1) Imatinibas 12 mėn.:</w:t>
                            </w:r>
                          </w:p>
                        </w:tc>
                        <w:tc>
                          <w:tcPr>
                            <w:tcW w:w="851" w:type="dxa"/>
                            <w:tcBorders>
                              <w:top w:val="single" w:sz="4" w:space="0" w:color="auto"/>
                            </w:tcBorders>
                            <w:shd w:val="clear" w:color="auto" w:fill="auto"/>
                          </w:tcPr>
                          <w:p w14:paraId="17DF4DDB" w14:textId="77777777" w:rsidR="00481ECF" w:rsidRDefault="00481ECF">
                            <w:pPr>
                              <w:rPr>
                                <w:rFonts w:ascii="Arial" w:hAnsi="Arial" w:cs="Arial"/>
                                <w:sz w:val="20"/>
                                <w:szCs w:val="20"/>
                              </w:rPr>
                            </w:pPr>
                            <w:r>
                              <w:rPr>
                                <w:rFonts w:ascii="Arial" w:hAnsi="Arial" w:cs="Arial"/>
                                <w:sz w:val="20"/>
                                <w:szCs w:val="20"/>
                              </w:rPr>
                              <w:t>199</w:t>
                            </w:r>
                          </w:p>
                        </w:tc>
                        <w:tc>
                          <w:tcPr>
                            <w:tcW w:w="817" w:type="dxa"/>
                            <w:tcBorders>
                              <w:top w:val="single" w:sz="4" w:space="0" w:color="auto"/>
                            </w:tcBorders>
                            <w:shd w:val="clear" w:color="auto" w:fill="auto"/>
                          </w:tcPr>
                          <w:p w14:paraId="6CBA81A1" w14:textId="77777777" w:rsidR="00481ECF" w:rsidRDefault="00481ECF">
                            <w:pPr>
                              <w:rPr>
                                <w:rFonts w:ascii="Arial" w:hAnsi="Arial" w:cs="Arial"/>
                                <w:sz w:val="20"/>
                                <w:szCs w:val="20"/>
                              </w:rPr>
                            </w:pPr>
                            <w:r>
                              <w:rPr>
                                <w:rFonts w:ascii="Arial" w:hAnsi="Arial" w:cs="Arial"/>
                                <w:sz w:val="20"/>
                                <w:szCs w:val="20"/>
                              </w:rPr>
                              <w:t>25</w:t>
                            </w:r>
                          </w:p>
                        </w:tc>
                        <w:tc>
                          <w:tcPr>
                            <w:tcW w:w="1680" w:type="dxa"/>
                            <w:tcBorders>
                              <w:top w:val="single" w:sz="4" w:space="0" w:color="auto"/>
                            </w:tcBorders>
                            <w:shd w:val="clear" w:color="auto" w:fill="auto"/>
                          </w:tcPr>
                          <w:p w14:paraId="4A0BEABC" w14:textId="77777777" w:rsidR="00481ECF" w:rsidRDefault="00481ECF">
                            <w:pPr>
                              <w:rPr>
                                <w:rFonts w:ascii="Arial" w:hAnsi="Arial" w:cs="Arial"/>
                                <w:sz w:val="20"/>
                                <w:szCs w:val="20"/>
                              </w:rPr>
                            </w:pPr>
                            <w:r>
                              <w:rPr>
                                <w:rFonts w:ascii="Arial" w:hAnsi="Arial" w:cs="Arial"/>
                                <w:sz w:val="20"/>
                                <w:szCs w:val="20"/>
                              </w:rPr>
                              <w:t>174</w:t>
                            </w:r>
                          </w:p>
                        </w:tc>
                      </w:tr>
                      <w:tr w:rsidR="00481ECF" w14:paraId="196136B1" w14:textId="77777777">
                        <w:tc>
                          <w:tcPr>
                            <w:tcW w:w="817" w:type="dxa"/>
                            <w:shd w:val="clear" w:color="auto" w:fill="auto"/>
                          </w:tcPr>
                          <w:p w14:paraId="14088341"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25A0088A" w14:textId="77777777" w:rsidR="00481ECF" w:rsidRDefault="00481ECF">
                            <w:pPr>
                              <w:rPr>
                                <w:rFonts w:ascii="Arial" w:hAnsi="Arial" w:cs="Arial"/>
                                <w:sz w:val="20"/>
                                <w:szCs w:val="20"/>
                              </w:rPr>
                            </w:pPr>
                            <w:r>
                              <w:rPr>
                                <w:rFonts w:ascii="Arial" w:hAnsi="Arial" w:cs="Arial"/>
                                <w:sz w:val="20"/>
                                <w:szCs w:val="20"/>
                              </w:rPr>
                              <w:t>(2) Imatinibas 36 mėn.:</w:t>
                            </w:r>
                          </w:p>
                        </w:tc>
                        <w:tc>
                          <w:tcPr>
                            <w:tcW w:w="851" w:type="dxa"/>
                            <w:tcBorders>
                              <w:bottom w:val="single" w:sz="4" w:space="0" w:color="auto"/>
                            </w:tcBorders>
                            <w:shd w:val="clear" w:color="auto" w:fill="auto"/>
                          </w:tcPr>
                          <w:p w14:paraId="07746B41" w14:textId="77777777" w:rsidR="00481ECF" w:rsidRDefault="00481ECF">
                            <w:pPr>
                              <w:rPr>
                                <w:rFonts w:ascii="Arial" w:hAnsi="Arial" w:cs="Arial"/>
                                <w:sz w:val="20"/>
                                <w:szCs w:val="20"/>
                              </w:rPr>
                            </w:pPr>
                            <w:r>
                              <w:rPr>
                                <w:rFonts w:ascii="Arial" w:hAnsi="Arial" w:cs="Arial"/>
                                <w:sz w:val="20"/>
                                <w:szCs w:val="20"/>
                              </w:rPr>
                              <w:t>198</w:t>
                            </w:r>
                          </w:p>
                        </w:tc>
                        <w:tc>
                          <w:tcPr>
                            <w:tcW w:w="817" w:type="dxa"/>
                            <w:tcBorders>
                              <w:bottom w:val="single" w:sz="4" w:space="0" w:color="auto"/>
                            </w:tcBorders>
                            <w:shd w:val="clear" w:color="auto" w:fill="auto"/>
                          </w:tcPr>
                          <w:p w14:paraId="18435D47" w14:textId="77777777" w:rsidR="00481ECF" w:rsidRDefault="00481ECF">
                            <w:pPr>
                              <w:rPr>
                                <w:rFonts w:ascii="Arial" w:hAnsi="Arial" w:cs="Arial"/>
                                <w:sz w:val="20"/>
                                <w:szCs w:val="20"/>
                              </w:rPr>
                            </w:pPr>
                            <w:r>
                              <w:rPr>
                                <w:rFonts w:ascii="Arial" w:hAnsi="Arial" w:cs="Arial"/>
                                <w:sz w:val="20"/>
                                <w:szCs w:val="20"/>
                              </w:rPr>
                              <w:t>12</w:t>
                            </w:r>
                          </w:p>
                        </w:tc>
                        <w:tc>
                          <w:tcPr>
                            <w:tcW w:w="1680" w:type="dxa"/>
                            <w:tcBorders>
                              <w:bottom w:val="single" w:sz="4" w:space="0" w:color="auto"/>
                            </w:tcBorders>
                            <w:shd w:val="clear" w:color="auto" w:fill="auto"/>
                          </w:tcPr>
                          <w:p w14:paraId="6B5E3D43" w14:textId="77777777" w:rsidR="00481ECF" w:rsidRDefault="00481ECF">
                            <w:pPr>
                              <w:rPr>
                                <w:rFonts w:ascii="Arial" w:hAnsi="Arial" w:cs="Arial"/>
                                <w:sz w:val="20"/>
                                <w:szCs w:val="20"/>
                              </w:rPr>
                            </w:pPr>
                            <w:r>
                              <w:rPr>
                                <w:rFonts w:ascii="Arial" w:hAnsi="Arial" w:cs="Arial"/>
                                <w:sz w:val="20"/>
                                <w:szCs w:val="20"/>
                              </w:rPr>
                              <w:t>186</w:t>
                            </w:r>
                          </w:p>
                        </w:tc>
                      </w:tr>
                      <w:tr w:rsidR="00481ECF" w14:paraId="2536CA37" w14:textId="77777777">
                        <w:tc>
                          <w:tcPr>
                            <w:tcW w:w="817" w:type="dxa"/>
                            <w:shd w:val="clear" w:color="auto" w:fill="auto"/>
                          </w:tcPr>
                          <w:p w14:paraId="417BE7D0" w14:textId="77777777" w:rsidR="00481ECF" w:rsidRDefault="00481ECF">
                            <w:pPr>
                              <w:rPr>
                                <w:rFonts w:ascii="Arial" w:hAnsi="Arial" w:cs="Arial"/>
                                <w:sz w:val="20"/>
                                <w:szCs w:val="20"/>
                              </w:rPr>
                            </w:pPr>
                            <w:r>
                              <w:rPr>
                                <w:rFonts w:ascii="Arial" w:hAnsi="Arial" w:cs="Arial"/>
                                <w:sz w:val="20"/>
                                <w:szCs w:val="20"/>
                              </w:rPr>
                              <w:t>│││</w:t>
                            </w:r>
                          </w:p>
                        </w:tc>
                        <w:tc>
                          <w:tcPr>
                            <w:tcW w:w="2464" w:type="dxa"/>
                            <w:shd w:val="clear" w:color="auto" w:fill="auto"/>
                          </w:tcPr>
                          <w:p w14:paraId="4978E34A" w14:textId="77777777" w:rsidR="00481ECF" w:rsidRDefault="00481ECF">
                            <w:pPr>
                              <w:rPr>
                                <w:rFonts w:ascii="Arial" w:hAnsi="Arial" w:cs="Arial"/>
                                <w:sz w:val="20"/>
                                <w:szCs w:val="20"/>
                              </w:rPr>
                            </w:pPr>
                            <w:r>
                              <w:rPr>
                                <w:rFonts w:ascii="Arial" w:hAnsi="Arial" w:cs="Arial"/>
                                <w:sz w:val="20"/>
                                <w:szCs w:val="20"/>
                              </w:rPr>
                              <w:t>Pacientų įvertinimo vizitai</w:t>
                            </w:r>
                          </w:p>
                        </w:tc>
                        <w:tc>
                          <w:tcPr>
                            <w:tcW w:w="851" w:type="dxa"/>
                            <w:tcBorders>
                              <w:top w:val="single" w:sz="4" w:space="0" w:color="auto"/>
                            </w:tcBorders>
                            <w:shd w:val="clear" w:color="auto" w:fill="auto"/>
                          </w:tcPr>
                          <w:p w14:paraId="3DB467B9" w14:textId="77777777" w:rsidR="00481ECF" w:rsidRDefault="00481ECF">
                            <w:pPr>
                              <w:rPr>
                                <w:rFonts w:ascii="Arial" w:hAnsi="Arial" w:cs="Arial"/>
                                <w:sz w:val="20"/>
                                <w:szCs w:val="20"/>
                              </w:rPr>
                            </w:pPr>
                          </w:p>
                        </w:tc>
                        <w:tc>
                          <w:tcPr>
                            <w:tcW w:w="817" w:type="dxa"/>
                            <w:tcBorders>
                              <w:top w:val="single" w:sz="4" w:space="0" w:color="auto"/>
                            </w:tcBorders>
                            <w:shd w:val="clear" w:color="auto" w:fill="auto"/>
                          </w:tcPr>
                          <w:p w14:paraId="4CFBF5E1" w14:textId="77777777" w:rsidR="00481ECF" w:rsidRDefault="00481ECF">
                            <w:pPr>
                              <w:rPr>
                                <w:rFonts w:ascii="Arial" w:hAnsi="Arial" w:cs="Arial"/>
                                <w:sz w:val="20"/>
                                <w:szCs w:val="20"/>
                              </w:rPr>
                            </w:pPr>
                          </w:p>
                        </w:tc>
                        <w:tc>
                          <w:tcPr>
                            <w:tcW w:w="1680" w:type="dxa"/>
                            <w:tcBorders>
                              <w:top w:val="single" w:sz="4" w:space="0" w:color="auto"/>
                            </w:tcBorders>
                            <w:shd w:val="clear" w:color="auto" w:fill="auto"/>
                          </w:tcPr>
                          <w:p w14:paraId="79149220" w14:textId="77777777" w:rsidR="00481ECF" w:rsidRDefault="00481ECF">
                            <w:pPr>
                              <w:rPr>
                                <w:rFonts w:ascii="Arial" w:hAnsi="Arial" w:cs="Arial"/>
                                <w:sz w:val="20"/>
                                <w:szCs w:val="20"/>
                              </w:rPr>
                            </w:pPr>
                          </w:p>
                        </w:tc>
                      </w:tr>
                    </w:tbl>
                    <w:p w14:paraId="41F86BBC" w14:textId="77777777" w:rsidR="00481ECF" w:rsidRDefault="00481ECF" w:rsidP="00314B70">
                      <w:pPr>
                        <w:rPr>
                          <w:rFonts w:ascii="Arial" w:hAnsi="Arial" w:cs="Arial"/>
                          <w:sz w:val="20"/>
                          <w:szCs w:val="20"/>
                        </w:rPr>
                      </w:pPr>
                    </w:p>
                    <w:p w14:paraId="7249D745" w14:textId="77777777" w:rsidR="00481ECF" w:rsidRDefault="00481ECF" w:rsidP="00314B70">
                      <w:pPr>
                        <w:rPr>
                          <w:rFonts w:ascii="Arial" w:hAnsi="Arial" w:cs="Arial"/>
                          <w:sz w:val="20"/>
                          <w:szCs w:val="20"/>
                        </w:rPr>
                      </w:pPr>
                    </w:p>
                  </w:txbxContent>
                </v:textbox>
              </v:shape>
            </w:pict>
          </mc:Fallback>
        </mc:AlternateContent>
      </w:r>
      <w:r w:rsidRPr="00F93FFA">
        <w:rPr>
          <w:noProof/>
          <w:lang w:val="en-US"/>
        </w:rPr>
        <w:drawing>
          <wp:inline distT="0" distB="0" distL="0" distR="0" wp14:anchorId="34387CC7" wp14:editId="7617B13C">
            <wp:extent cx="5948680" cy="2636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2755F731" w14:textId="77777777" w:rsidR="00314B70" w:rsidRPr="00F93FFA" w:rsidRDefault="00C3077F" w:rsidP="00DE16D0">
      <w:pPr>
        <w:widowControl w:val="0"/>
        <w:rPr>
          <w:rFonts w:eastAsia="MS Mincho"/>
          <w:sz w:val="22"/>
          <w:szCs w:val="22"/>
        </w:rPr>
      </w:pPr>
      <w:r w:rsidRPr="00F93FFA">
        <w:rPr>
          <w:rFonts w:eastAsia="MS Mincho"/>
          <w:noProof/>
          <w:sz w:val="22"/>
          <w:szCs w:val="22"/>
          <w:lang w:val="en-US"/>
        </w:rPr>
        <mc:AlternateContent>
          <mc:Choice Requires="wps">
            <w:drawing>
              <wp:anchor distT="0" distB="0" distL="114300" distR="114300" simplePos="0" relativeHeight="251664384" behindDoc="0" locked="0" layoutInCell="1" allowOverlap="1" wp14:anchorId="05F74DED" wp14:editId="7B752BC6">
                <wp:simplePos x="0" y="0"/>
                <wp:positionH relativeFrom="column">
                  <wp:posOffset>2234565</wp:posOffset>
                </wp:positionH>
                <wp:positionV relativeFrom="paragraph">
                  <wp:posOffset>17780</wp:posOffset>
                </wp:positionV>
                <wp:extent cx="1828800" cy="285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EC6A9" w14:textId="77777777" w:rsidR="00481ECF" w:rsidRDefault="00481ECF" w:rsidP="00314B70">
                            <w:pPr>
                              <w:rPr>
                                <w:rFonts w:ascii="Arial" w:hAnsi="Arial" w:cs="Arial"/>
                                <w:sz w:val="20"/>
                                <w:szCs w:val="20"/>
                              </w:rPr>
                            </w:pPr>
                            <w:r>
                              <w:rPr>
                                <w:rFonts w:ascii="Arial" w:hAnsi="Arial" w:cs="Arial"/>
                                <w:sz w:val="20"/>
                                <w:szCs w:val="20"/>
                                <w:lang w:val="de-DE"/>
                              </w:rPr>
                              <w:t>Išgyvenamumas mėnesiais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F74DED" id="_x0000_s1037" type="#_x0000_t202" style="position:absolute;margin-left:175.95pt;margin-top:1.4pt;width:2in;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EgIAABUEAAAOAAAAZHJzL2Uyb0RvYy54bWysU8GO0zAQvSPxD5bvNG3UsiVqulq6KkJa&#10;WKRdPsBxnMQi8Zix22T5esZ2WwrcED5YHs/4zcx7483tNPTsqNBpMCVfzOacKSOh1qYt+dfn/Zs1&#10;Z84LU4sejCr5i3L8dvv61Wa0hcqhg75WyAjEuGK0Je+8t0WWOdmpQbgZWGXI2QAOwpOJbVajGAl9&#10;6LN8Pn+bjYC1RZDKObq9T06+jfhNo6R/bBqnPOtLTrX5uGPcq7Bn240oWhS20/JUhviHKgahDSW9&#10;QN0LL9gB9V9Qg5YIDho/kzBk0DRaqtgDdbOY/9HNUyesir0QOc5eaHL/D1Z+Pn5BpmvSbsGZEQNp&#10;9Kwmz97DxPJAz2hdQVFPluL8RNcUGlt19gHkN8cM7DphWnWHCGOnRE3lLcLL7OppwnEBpBo/QU1p&#10;xMFDBJoaHAJ3xAYjdJLp5SJNKEWGlOt8vZ6TS5IvX69uVlG7TBTn1xad/6BgYOFQciTpI7o4Pjgf&#10;qhHFOSQkc9Dreq/7PhrYVrse2VHQmOzjSm9724l0e07nUmjE+w2jNwHJQMBM6cJN5CC0nQjwUzWd&#10;2T5xW0H9QqwgpNmkv0SHDvAHZyPNZcnd94NAxVn/0RCz7xbLZRjkaCxXNzkZeO2prj3CSIIquecs&#10;HXc+Df/Bom47ypS0NHBHajQ6EhVkS1Wd6qfZi/2e/kkY7ms7Rv36zdufAAAA//8DAFBLAwQUAAYA&#10;CAAAACEAUk8IXt4AAAAIAQAADwAAAGRycy9kb3ducmV2LnhtbEyPQU/CQBSE7yb8h80j8WJkSxEo&#10;tVtiiB5MlMSi92332Ra7b5vuAvXf+zzpcTKTmW+y7Wg7ccbBt44UzGcRCKTKmZZqBe+Hp9sEhA+a&#10;jO4coYJv9LDNJ1eZTo270Buei1ALLiGfagVNCH0qpa8atNrPXI/E3qcbrA4sh1qaQV+43HYyjqKV&#10;tLolXmh0j7sGq6/iZHn3cUz6j/Jld3wubspjvKf2NSGlrqfjwz2IgGP4C8MvPqNDzkylO5HxolOw&#10;WM43HFUQ8wP2V4sN61LB3ToBmWfy/4H8BwAA//8DAFBLAQItABQABgAIAAAAIQC2gziS/gAAAOEB&#10;AAATAAAAAAAAAAAAAAAAAAAAAABbQ29udGVudF9UeXBlc10ueG1sUEsBAi0AFAAGAAgAAAAhADj9&#10;If/WAAAAlAEAAAsAAAAAAAAAAAAAAAAALwEAAF9yZWxzLy5yZWxzUEsBAi0AFAAGAAgAAAAhAP+e&#10;NDISAgAAFQQAAA4AAAAAAAAAAAAAAAAALgIAAGRycy9lMm9Eb2MueG1sUEsBAi0AFAAGAAgAAAAh&#10;AFJPCF7eAAAACAEAAA8AAAAAAAAAAAAAAAAAbAQAAGRycy9kb3ducmV2LnhtbFBLBQYAAAAABAAE&#10;APMAAAB3BQAAAAA=&#10;" stroked="f">
                <v:fill opacity="0"/>
                <v:textbox>
                  <w:txbxContent>
                    <w:p w14:paraId="133EC6A9" w14:textId="77777777" w:rsidR="00481ECF" w:rsidRDefault="00481ECF" w:rsidP="00314B70">
                      <w:pPr>
                        <w:rPr>
                          <w:rFonts w:ascii="Arial" w:hAnsi="Arial" w:cs="Arial"/>
                          <w:sz w:val="20"/>
                          <w:szCs w:val="20"/>
                        </w:rPr>
                      </w:pPr>
                      <w:r>
                        <w:rPr>
                          <w:rFonts w:ascii="Arial" w:hAnsi="Arial" w:cs="Arial"/>
                          <w:sz w:val="20"/>
                          <w:szCs w:val="20"/>
                          <w:lang w:val="de-DE"/>
                        </w:rPr>
                        <w:t>Išgyvenamumas mėnesiais</w:t>
                      </w:r>
                    </w:p>
                  </w:txbxContent>
                </v:textbox>
              </v:shape>
            </w:pict>
          </mc:Fallback>
        </mc:AlternateContent>
      </w:r>
    </w:p>
    <w:p w14:paraId="27F8C77A" w14:textId="77777777" w:rsidR="00314B70" w:rsidRPr="00F93FFA" w:rsidRDefault="00314B70" w:rsidP="00DE16D0">
      <w:pPr>
        <w:widowControl w:val="0"/>
        <w:rPr>
          <w:rFonts w:eastAsia="MS Mincho"/>
          <w:sz w:val="22"/>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14B70" w:rsidRPr="00F93FFA" w14:paraId="18EA43E0" w14:textId="77777777" w:rsidTr="008D42AF">
        <w:tc>
          <w:tcPr>
            <w:tcW w:w="10632" w:type="dxa"/>
            <w:gridSpan w:val="16"/>
            <w:shd w:val="clear" w:color="auto" w:fill="auto"/>
          </w:tcPr>
          <w:p w14:paraId="0E096166" w14:textId="77777777" w:rsidR="00314B70" w:rsidRPr="00F93FFA" w:rsidRDefault="00314B70" w:rsidP="00DE16D0">
            <w:pPr>
              <w:widowControl w:val="0"/>
              <w:ind w:left="-27"/>
              <w:rPr>
                <w:rFonts w:ascii="Arial" w:hAnsi="Arial" w:cs="Arial"/>
                <w:sz w:val="16"/>
                <w:szCs w:val="16"/>
              </w:rPr>
            </w:pPr>
            <w:r w:rsidRPr="00F93FFA">
              <w:rPr>
                <w:rFonts w:ascii="Arial" w:hAnsi="Arial" w:cs="Arial"/>
                <w:sz w:val="20"/>
                <w:szCs w:val="20"/>
              </w:rPr>
              <w:t>Rizikos grupė: Atvejai</w:t>
            </w:r>
          </w:p>
        </w:tc>
      </w:tr>
      <w:tr w:rsidR="00314B70" w:rsidRPr="00F93FFA" w14:paraId="274B7DA6" w14:textId="77777777" w:rsidTr="008D42AF">
        <w:tc>
          <w:tcPr>
            <w:tcW w:w="450" w:type="dxa"/>
            <w:shd w:val="clear" w:color="auto" w:fill="auto"/>
          </w:tcPr>
          <w:p w14:paraId="6E3A963B" w14:textId="77777777" w:rsidR="00314B70" w:rsidRPr="00F93FFA" w:rsidRDefault="00314B70" w:rsidP="00DE16D0">
            <w:pPr>
              <w:widowControl w:val="0"/>
              <w:rPr>
                <w:sz w:val="20"/>
                <w:szCs w:val="20"/>
              </w:rPr>
            </w:pPr>
            <w:r w:rsidRPr="00F93FFA">
              <w:rPr>
                <w:sz w:val="20"/>
                <w:szCs w:val="20"/>
              </w:rPr>
              <w:t>(1)</w:t>
            </w:r>
          </w:p>
        </w:tc>
        <w:tc>
          <w:tcPr>
            <w:tcW w:w="687" w:type="dxa"/>
            <w:shd w:val="clear" w:color="auto" w:fill="auto"/>
          </w:tcPr>
          <w:p w14:paraId="58A23591" w14:textId="77777777" w:rsidR="00314B70" w:rsidRPr="00F93FFA" w:rsidRDefault="00314B70" w:rsidP="00DE16D0">
            <w:pPr>
              <w:widowControl w:val="0"/>
              <w:ind w:left="-45"/>
              <w:rPr>
                <w:sz w:val="20"/>
                <w:szCs w:val="20"/>
              </w:rPr>
            </w:pPr>
            <w:r w:rsidRPr="00F93FFA">
              <w:rPr>
                <w:sz w:val="20"/>
                <w:szCs w:val="20"/>
              </w:rPr>
              <w:t>199:0</w:t>
            </w:r>
          </w:p>
        </w:tc>
        <w:tc>
          <w:tcPr>
            <w:tcW w:w="670" w:type="dxa"/>
            <w:shd w:val="clear" w:color="auto" w:fill="auto"/>
          </w:tcPr>
          <w:p w14:paraId="61EDD750" w14:textId="77777777" w:rsidR="00314B70" w:rsidRPr="00F93FFA" w:rsidRDefault="00314B70" w:rsidP="00DE16D0">
            <w:pPr>
              <w:widowControl w:val="0"/>
              <w:ind w:left="-45"/>
              <w:rPr>
                <w:sz w:val="20"/>
                <w:szCs w:val="20"/>
              </w:rPr>
            </w:pPr>
            <w:r w:rsidRPr="00F93FFA">
              <w:rPr>
                <w:sz w:val="20"/>
                <w:szCs w:val="20"/>
              </w:rPr>
              <w:t>190:2</w:t>
            </w:r>
          </w:p>
        </w:tc>
        <w:tc>
          <w:tcPr>
            <w:tcW w:w="710" w:type="dxa"/>
            <w:shd w:val="clear" w:color="auto" w:fill="auto"/>
          </w:tcPr>
          <w:p w14:paraId="7C69F785" w14:textId="77777777" w:rsidR="00314B70" w:rsidRPr="00F93FFA" w:rsidRDefault="00314B70" w:rsidP="00DE16D0">
            <w:pPr>
              <w:widowControl w:val="0"/>
              <w:ind w:left="-45"/>
              <w:rPr>
                <w:sz w:val="20"/>
                <w:szCs w:val="20"/>
              </w:rPr>
            </w:pPr>
            <w:r w:rsidRPr="00F93FFA">
              <w:rPr>
                <w:sz w:val="20"/>
                <w:szCs w:val="20"/>
              </w:rPr>
              <w:t>188:2</w:t>
            </w:r>
          </w:p>
        </w:tc>
        <w:tc>
          <w:tcPr>
            <w:tcW w:w="717" w:type="dxa"/>
            <w:shd w:val="clear" w:color="auto" w:fill="auto"/>
          </w:tcPr>
          <w:p w14:paraId="084992E5" w14:textId="77777777" w:rsidR="00314B70" w:rsidRPr="00F93FFA" w:rsidRDefault="00314B70" w:rsidP="00DE16D0">
            <w:pPr>
              <w:widowControl w:val="0"/>
              <w:ind w:left="-45"/>
              <w:rPr>
                <w:sz w:val="20"/>
                <w:szCs w:val="20"/>
              </w:rPr>
            </w:pPr>
            <w:r w:rsidRPr="00F93FFA">
              <w:rPr>
                <w:sz w:val="20"/>
                <w:szCs w:val="20"/>
              </w:rPr>
              <w:t>183:6</w:t>
            </w:r>
          </w:p>
        </w:tc>
        <w:tc>
          <w:tcPr>
            <w:tcW w:w="691" w:type="dxa"/>
            <w:shd w:val="clear" w:color="auto" w:fill="auto"/>
          </w:tcPr>
          <w:p w14:paraId="09950C20" w14:textId="77777777" w:rsidR="00314B70" w:rsidRPr="00F93FFA" w:rsidRDefault="00314B70" w:rsidP="00DE16D0">
            <w:pPr>
              <w:widowControl w:val="0"/>
              <w:ind w:left="-45"/>
              <w:rPr>
                <w:sz w:val="20"/>
                <w:szCs w:val="20"/>
              </w:rPr>
            </w:pPr>
            <w:r w:rsidRPr="00F93FFA">
              <w:rPr>
                <w:sz w:val="20"/>
                <w:szCs w:val="20"/>
              </w:rPr>
              <w:t>176:8</w:t>
            </w:r>
          </w:p>
        </w:tc>
        <w:tc>
          <w:tcPr>
            <w:tcW w:w="770" w:type="dxa"/>
            <w:shd w:val="clear" w:color="auto" w:fill="auto"/>
          </w:tcPr>
          <w:p w14:paraId="35FECC31" w14:textId="77777777" w:rsidR="00314B70" w:rsidRPr="00F93FFA" w:rsidRDefault="00314B70" w:rsidP="00DE16D0">
            <w:pPr>
              <w:widowControl w:val="0"/>
              <w:ind w:left="-45"/>
              <w:rPr>
                <w:sz w:val="20"/>
                <w:szCs w:val="20"/>
              </w:rPr>
            </w:pPr>
            <w:r w:rsidRPr="00F93FFA">
              <w:rPr>
                <w:sz w:val="20"/>
                <w:szCs w:val="20"/>
              </w:rPr>
              <w:t>156:10</w:t>
            </w:r>
          </w:p>
        </w:tc>
        <w:tc>
          <w:tcPr>
            <w:tcW w:w="779" w:type="dxa"/>
            <w:shd w:val="clear" w:color="auto" w:fill="auto"/>
          </w:tcPr>
          <w:p w14:paraId="0AEC3FDB" w14:textId="77777777" w:rsidR="00314B70" w:rsidRPr="00F93FFA" w:rsidRDefault="00314B70" w:rsidP="00DE16D0">
            <w:pPr>
              <w:widowControl w:val="0"/>
              <w:ind w:left="-45"/>
              <w:rPr>
                <w:sz w:val="20"/>
                <w:szCs w:val="20"/>
              </w:rPr>
            </w:pPr>
            <w:r w:rsidRPr="00F93FFA">
              <w:rPr>
                <w:sz w:val="20"/>
                <w:szCs w:val="20"/>
              </w:rPr>
              <w:t>140:11</w:t>
            </w:r>
          </w:p>
        </w:tc>
        <w:tc>
          <w:tcPr>
            <w:tcW w:w="794" w:type="dxa"/>
            <w:shd w:val="clear" w:color="auto" w:fill="auto"/>
          </w:tcPr>
          <w:p w14:paraId="245A760C" w14:textId="77777777" w:rsidR="00314B70" w:rsidRPr="00F93FFA" w:rsidRDefault="00314B70" w:rsidP="00DE16D0">
            <w:pPr>
              <w:widowControl w:val="0"/>
              <w:ind w:left="-45"/>
              <w:rPr>
                <w:sz w:val="20"/>
                <w:szCs w:val="20"/>
              </w:rPr>
            </w:pPr>
            <w:r w:rsidRPr="00F93FFA">
              <w:rPr>
                <w:sz w:val="20"/>
                <w:szCs w:val="20"/>
              </w:rPr>
              <w:t>105:14</w:t>
            </w:r>
          </w:p>
        </w:tc>
        <w:tc>
          <w:tcPr>
            <w:tcW w:w="653" w:type="dxa"/>
            <w:shd w:val="clear" w:color="auto" w:fill="auto"/>
          </w:tcPr>
          <w:p w14:paraId="3D6F7AC2" w14:textId="77777777" w:rsidR="00314B70" w:rsidRPr="00F93FFA" w:rsidRDefault="00314B70" w:rsidP="00DE16D0">
            <w:pPr>
              <w:widowControl w:val="0"/>
              <w:ind w:left="-45"/>
              <w:rPr>
                <w:sz w:val="20"/>
                <w:szCs w:val="20"/>
              </w:rPr>
            </w:pPr>
            <w:r w:rsidRPr="00F93FFA">
              <w:rPr>
                <w:sz w:val="20"/>
                <w:szCs w:val="20"/>
              </w:rPr>
              <w:t>87:18</w:t>
            </w:r>
          </w:p>
        </w:tc>
        <w:tc>
          <w:tcPr>
            <w:tcW w:w="630" w:type="dxa"/>
            <w:shd w:val="clear" w:color="auto" w:fill="auto"/>
          </w:tcPr>
          <w:p w14:paraId="78C53A7E" w14:textId="77777777" w:rsidR="00314B70" w:rsidRPr="00F93FFA" w:rsidRDefault="00314B70" w:rsidP="00DE16D0">
            <w:pPr>
              <w:widowControl w:val="0"/>
              <w:ind w:left="-45"/>
              <w:rPr>
                <w:sz w:val="20"/>
                <w:szCs w:val="20"/>
              </w:rPr>
            </w:pPr>
            <w:r w:rsidRPr="00F93FFA">
              <w:rPr>
                <w:sz w:val="20"/>
                <w:szCs w:val="20"/>
              </w:rPr>
              <w:t>64:22</w:t>
            </w:r>
          </w:p>
        </w:tc>
        <w:tc>
          <w:tcPr>
            <w:tcW w:w="643" w:type="dxa"/>
            <w:shd w:val="clear" w:color="auto" w:fill="auto"/>
          </w:tcPr>
          <w:p w14:paraId="4161E1B2" w14:textId="77777777" w:rsidR="00314B70" w:rsidRPr="00F93FFA" w:rsidRDefault="00314B70" w:rsidP="00DE16D0">
            <w:pPr>
              <w:widowControl w:val="0"/>
              <w:ind w:left="-45"/>
              <w:rPr>
                <w:sz w:val="20"/>
                <w:szCs w:val="20"/>
              </w:rPr>
            </w:pPr>
            <w:r w:rsidRPr="00F93FFA">
              <w:rPr>
                <w:sz w:val="20"/>
                <w:szCs w:val="20"/>
              </w:rPr>
              <w:t>46:23</w:t>
            </w:r>
          </w:p>
        </w:tc>
        <w:tc>
          <w:tcPr>
            <w:tcW w:w="670" w:type="dxa"/>
            <w:shd w:val="clear" w:color="auto" w:fill="auto"/>
          </w:tcPr>
          <w:p w14:paraId="631C2F1F" w14:textId="77777777" w:rsidR="00314B70" w:rsidRPr="00F93FFA" w:rsidRDefault="00314B70" w:rsidP="00DE16D0">
            <w:pPr>
              <w:widowControl w:val="0"/>
              <w:ind w:left="-45"/>
              <w:rPr>
                <w:sz w:val="20"/>
                <w:szCs w:val="20"/>
              </w:rPr>
            </w:pPr>
            <w:r w:rsidRPr="00F93FFA">
              <w:rPr>
                <w:sz w:val="20"/>
                <w:szCs w:val="20"/>
              </w:rPr>
              <w:t>27:25</w:t>
            </w:r>
          </w:p>
        </w:tc>
        <w:tc>
          <w:tcPr>
            <w:tcW w:w="683" w:type="dxa"/>
            <w:shd w:val="clear" w:color="auto" w:fill="auto"/>
          </w:tcPr>
          <w:p w14:paraId="4B48A0B6" w14:textId="77777777" w:rsidR="00314B70" w:rsidRPr="00F93FFA" w:rsidRDefault="00314B70" w:rsidP="00DE16D0">
            <w:pPr>
              <w:widowControl w:val="0"/>
              <w:ind w:left="-45"/>
              <w:rPr>
                <w:sz w:val="20"/>
                <w:szCs w:val="20"/>
              </w:rPr>
            </w:pPr>
            <w:r w:rsidRPr="00F93FFA">
              <w:rPr>
                <w:sz w:val="20"/>
                <w:szCs w:val="20"/>
              </w:rPr>
              <w:t>20:25</w:t>
            </w:r>
          </w:p>
        </w:tc>
        <w:tc>
          <w:tcPr>
            <w:tcW w:w="558" w:type="dxa"/>
            <w:shd w:val="clear" w:color="auto" w:fill="auto"/>
          </w:tcPr>
          <w:p w14:paraId="3C4A47E6" w14:textId="77777777" w:rsidR="00314B70" w:rsidRPr="00F93FFA" w:rsidRDefault="00314B70" w:rsidP="00DE16D0">
            <w:pPr>
              <w:widowControl w:val="0"/>
              <w:ind w:left="-45"/>
              <w:rPr>
                <w:sz w:val="20"/>
                <w:szCs w:val="20"/>
              </w:rPr>
            </w:pPr>
            <w:r w:rsidRPr="00F93FFA">
              <w:rPr>
                <w:sz w:val="20"/>
                <w:szCs w:val="20"/>
              </w:rPr>
              <w:t>2:25</w:t>
            </w:r>
          </w:p>
        </w:tc>
        <w:tc>
          <w:tcPr>
            <w:tcW w:w="527" w:type="dxa"/>
            <w:shd w:val="clear" w:color="auto" w:fill="auto"/>
          </w:tcPr>
          <w:p w14:paraId="08B51DF9" w14:textId="77777777" w:rsidR="00314B70" w:rsidRPr="00F93FFA" w:rsidRDefault="00314B70" w:rsidP="00DE16D0">
            <w:pPr>
              <w:widowControl w:val="0"/>
              <w:ind w:left="-45"/>
              <w:rPr>
                <w:sz w:val="20"/>
                <w:szCs w:val="20"/>
              </w:rPr>
            </w:pPr>
            <w:r w:rsidRPr="00F93FFA">
              <w:rPr>
                <w:sz w:val="20"/>
                <w:szCs w:val="20"/>
              </w:rPr>
              <w:t>0:25</w:t>
            </w:r>
          </w:p>
        </w:tc>
      </w:tr>
      <w:tr w:rsidR="00314B70" w:rsidRPr="00F93FFA" w14:paraId="2A05B9C0" w14:textId="77777777" w:rsidTr="008D42AF">
        <w:tc>
          <w:tcPr>
            <w:tcW w:w="450" w:type="dxa"/>
            <w:shd w:val="clear" w:color="auto" w:fill="auto"/>
          </w:tcPr>
          <w:p w14:paraId="162018E2" w14:textId="77777777" w:rsidR="00314B70" w:rsidRPr="00F93FFA" w:rsidRDefault="00314B70" w:rsidP="00DE16D0">
            <w:pPr>
              <w:widowControl w:val="0"/>
              <w:rPr>
                <w:sz w:val="20"/>
                <w:szCs w:val="20"/>
              </w:rPr>
            </w:pPr>
            <w:r w:rsidRPr="00F93FFA">
              <w:rPr>
                <w:sz w:val="20"/>
                <w:szCs w:val="20"/>
              </w:rPr>
              <w:t>(2)</w:t>
            </w:r>
          </w:p>
        </w:tc>
        <w:tc>
          <w:tcPr>
            <w:tcW w:w="687" w:type="dxa"/>
            <w:shd w:val="clear" w:color="auto" w:fill="auto"/>
          </w:tcPr>
          <w:p w14:paraId="686745D4" w14:textId="77777777" w:rsidR="00314B70" w:rsidRPr="00F93FFA" w:rsidRDefault="00314B70" w:rsidP="00DE16D0">
            <w:pPr>
              <w:widowControl w:val="0"/>
              <w:ind w:left="-45"/>
              <w:rPr>
                <w:sz w:val="20"/>
                <w:szCs w:val="20"/>
              </w:rPr>
            </w:pPr>
            <w:r w:rsidRPr="00F93FFA">
              <w:rPr>
                <w:sz w:val="20"/>
                <w:szCs w:val="20"/>
              </w:rPr>
              <w:t>198:0</w:t>
            </w:r>
          </w:p>
        </w:tc>
        <w:tc>
          <w:tcPr>
            <w:tcW w:w="670" w:type="dxa"/>
            <w:shd w:val="clear" w:color="auto" w:fill="auto"/>
          </w:tcPr>
          <w:p w14:paraId="5CEECAE7" w14:textId="77777777" w:rsidR="00314B70" w:rsidRPr="00F93FFA" w:rsidRDefault="00314B70" w:rsidP="00DE16D0">
            <w:pPr>
              <w:widowControl w:val="0"/>
              <w:ind w:left="-45"/>
              <w:rPr>
                <w:sz w:val="20"/>
                <w:szCs w:val="20"/>
              </w:rPr>
            </w:pPr>
            <w:r w:rsidRPr="00F93FFA">
              <w:rPr>
                <w:sz w:val="20"/>
                <w:szCs w:val="20"/>
              </w:rPr>
              <w:t>196:0</w:t>
            </w:r>
          </w:p>
        </w:tc>
        <w:tc>
          <w:tcPr>
            <w:tcW w:w="710" w:type="dxa"/>
            <w:shd w:val="clear" w:color="auto" w:fill="auto"/>
          </w:tcPr>
          <w:p w14:paraId="4FEAE78B" w14:textId="77777777" w:rsidR="00314B70" w:rsidRPr="00F93FFA" w:rsidRDefault="00314B70" w:rsidP="00DE16D0">
            <w:pPr>
              <w:widowControl w:val="0"/>
              <w:ind w:left="-45"/>
              <w:rPr>
                <w:sz w:val="20"/>
                <w:szCs w:val="20"/>
              </w:rPr>
            </w:pPr>
            <w:r w:rsidRPr="00F93FFA">
              <w:rPr>
                <w:sz w:val="20"/>
                <w:szCs w:val="20"/>
              </w:rPr>
              <w:t>192:0</w:t>
            </w:r>
          </w:p>
        </w:tc>
        <w:tc>
          <w:tcPr>
            <w:tcW w:w="717" w:type="dxa"/>
            <w:shd w:val="clear" w:color="auto" w:fill="auto"/>
          </w:tcPr>
          <w:p w14:paraId="01C1A15B" w14:textId="77777777" w:rsidR="00314B70" w:rsidRPr="00F93FFA" w:rsidRDefault="00314B70" w:rsidP="00DE16D0">
            <w:pPr>
              <w:widowControl w:val="0"/>
              <w:ind w:left="-45"/>
              <w:rPr>
                <w:sz w:val="20"/>
                <w:szCs w:val="20"/>
              </w:rPr>
            </w:pPr>
            <w:r w:rsidRPr="00F93FFA">
              <w:rPr>
                <w:sz w:val="20"/>
                <w:szCs w:val="20"/>
              </w:rPr>
              <w:t>187:4</w:t>
            </w:r>
          </w:p>
        </w:tc>
        <w:tc>
          <w:tcPr>
            <w:tcW w:w="691" w:type="dxa"/>
            <w:shd w:val="clear" w:color="auto" w:fill="auto"/>
          </w:tcPr>
          <w:p w14:paraId="7C57DC13" w14:textId="77777777" w:rsidR="00314B70" w:rsidRPr="00F93FFA" w:rsidRDefault="00314B70" w:rsidP="00DE16D0">
            <w:pPr>
              <w:widowControl w:val="0"/>
              <w:ind w:left="-45"/>
              <w:rPr>
                <w:sz w:val="20"/>
                <w:szCs w:val="20"/>
              </w:rPr>
            </w:pPr>
            <w:r w:rsidRPr="00F93FFA">
              <w:rPr>
                <w:sz w:val="20"/>
                <w:szCs w:val="20"/>
              </w:rPr>
              <w:t>184:5</w:t>
            </w:r>
          </w:p>
        </w:tc>
        <w:tc>
          <w:tcPr>
            <w:tcW w:w="770" w:type="dxa"/>
            <w:shd w:val="clear" w:color="auto" w:fill="auto"/>
          </w:tcPr>
          <w:p w14:paraId="51A2B1B3" w14:textId="77777777" w:rsidR="00314B70" w:rsidRPr="00F93FFA" w:rsidRDefault="00314B70" w:rsidP="00DE16D0">
            <w:pPr>
              <w:widowControl w:val="0"/>
              <w:ind w:left="-45"/>
              <w:rPr>
                <w:sz w:val="20"/>
                <w:szCs w:val="20"/>
              </w:rPr>
            </w:pPr>
            <w:r w:rsidRPr="00F93FFA">
              <w:rPr>
                <w:sz w:val="20"/>
                <w:szCs w:val="20"/>
              </w:rPr>
              <w:t>164:7</w:t>
            </w:r>
          </w:p>
        </w:tc>
        <w:tc>
          <w:tcPr>
            <w:tcW w:w="779" w:type="dxa"/>
            <w:shd w:val="clear" w:color="auto" w:fill="auto"/>
          </w:tcPr>
          <w:p w14:paraId="6988070D" w14:textId="77777777" w:rsidR="00314B70" w:rsidRPr="00F93FFA" w:rsidRDefault="00314B70" w:rsidP="00DE16D0">
            <w:pPr>
              <w:widowControl w:val="0"/>
              <w:ind w:left="-45"/>
              <w:rPr>
                <w:sz w:val="20"/>
                <w:szCs w:val="20"/>
              </w:rPr>
            </w:pPr>
            <w:r w:rsidRPr="00F93FFA">
              <w:rPr>
                <w:sz w:val="20"/>
                <w:szCs w:val="20"/>
              </w:rPr>
              <w:t>152:7</w:t>
            </w:r>
          </w:p>
        </w:tc>
        <w:tc>
          <w:tcPr>
            <w:tcW w:w="794" w:type="dxa"/>
            <w:shd w:val="clear" w:color="auto" w:fill="auto"/>
          </w:tcPr>
          <w:p w14:paraId="22837490" w14:textId="77777777" w:rsidR="00314B70" w:rsidRPr="00F93FFA" w:rsidRDefault="00314B70" w:rsidP="00DE16D0">
            <w:pPr>
              <w:widowControl w:val="0"/>
              <w:ind w:left="-45"/>
              <w:rPr>
                <w:sz w:val="20"/>
                <w:szCs w:val="20"/>
              </w:rPr>
            </w:pPr>
            <w:r w:rsidRPr="00F93FFA">
              <w:rPr>
                <w:sz w:val="20"/>
                <w:szCs w:val="20"/>
              </w:rPr>
              <w:t>119:8</w:t>
            </w:r>
          </w:p>
        </w:tc>
        <w:tc>
          <w:tcPr>
            <w:tcW w:w="653" w:type="dxa"/>
            <w:shd w:val="clear" w:color="auto" w:fill="auto"/>
          </w:tcPr>
          <w:p w14:paraId="281B6EF0" w14:textId="77777777" w:rsidR="00314B70" w:rsidRPr="00F93FFA" w:rsidRDefault="00314B70" w:rsidP="00DE16D0">
            <w:pPr>
              <w:widowControl w:val="0"/>
              <w:ind w:left="-45"/>
              <w:rPr>
                <w:sz w:val="20"/>
                <w:szCs w:val="20"/>
              </w:rPr>
            </w:pPr>
            <w:r w:rsidRPr="00F93FFA">
              <w:rPr>
                <w:sz w:val="20"/>
                <w:szCs w:val="20"/>
              </w:rPr>
              <w:t>100:8</w:t>
            </w:r>
          </w:p>
        </w:tc>
        <w:tc>
          <w:tcPr>
            <w:tcW w:w="630" w:type="dxa"/>
            <w:shd w:val="clear" w:color="auto" w:fill="auto"/>
          </w:tcPr>
          <w:p w14:paraId="3F7BB0A0" w14:textId="77777777" w:rsidR="00314B70" w:rsidRPr="00F93FFA" w:rsidRDefault="00314B70" w:rsidP="00DE16D0">
            <w:pPr>
              <w:widowControl w:val="0"/>
              <w:ind w:left="-45"/>
              <w:rPr>
                <w:sz w:val="20"/>
                <w:szCs w:val="20"/>
              </w:rPr>
            </w:pPr>
            <w:r w:rsidRPr="00F93FFA">
              <w:rPr>
                <w:sz w:val="20"/>
                <w:szCs w:val="20"/>
              </w:rPr>
              <w:t>76:10</w:t>
            </w:r>
          </w:p>
        </w:tc>
        <w:tc>
          <w:tcPr>
            <w:tcW w:w="643" w:type="dxa"/>
            <w:shd w:val="clear" w:color="auto" w:fill="auto"/>
          </w:tcPr>
          <w:p w14:paraId="0733AFE3" w14:textId="77777777" w:rsidR="00314B70" w:rsidRPr="00F93FFA" w:rsidRDefault="00314B70" w:rsidP="00DE16D0">
            <w:pPr>
              <w:widowControl w:val="0"/>
              <w:ind w:left="-45"/>
              <w:rPr>
                <w:sz w:val="20"/>
                <w:szCs w:val="20"/>
              </w:rPr>
            </w:pPr>
            <w:r w:rsidRPr="00F93FFA">
              <w:rPr>
                <w:sz w:val="20"/>
                <w:szCs w:val="20"/>
              </w:rPr>
              <w:t>56:11</w:t>
            </w:r>
          </w:p>
        </w:tc>
        <w:tc>
          <w:tcPr>
            <w:tcW w:w="670" w:type="dxa"/>
            <w:shd w:val="clear" w:color="auto" w:fill="auto"/>
          </w:tcPr>
          <w:p w14:paraId="64EF4F0F" w14:textId="77777777" w:rsidR="00314B70" w:rsidRPr="00F93FFA" w:rsidRDefault="00314B70" w:rsidP="00DE16D0">
            <w:pPr>
              <w:widowControl w:val="0"/>
              <w:ind w:left="-45"/>
              <w:rPr>
                <w:sz w:val="20"/>
                <w:szCs w:val="20"/>
              </w:rPr>
            </w:pPr>
            <w:r w:rsidRPr="00F93FFA">
              <w:rPr>
                <w:sz w:val="20"/>
                <w:szCs w:val="20"/>
              </w:rPr>
              <w:t>31:11</w:t>
            </w:r>
          </w:p>
        </w:tc>
        <w:tc>
          <w:tcPr>
            <w:tcW w:w="683" w:type="dxa"/>
            <w:shd w:val="clear" w:color="auto" w:fill="auto"/>
          </w:tcPr>
          <w:p w14:paraId="4BB8EA1C" w14:textId="77777777" w:rsidR="00314B70" w:rsidRPr="00F93FFA" w:rsidRDefault="00314B70" w:rsidP="00DE16D0">
            <w:pPr>
              <w:widowControl w:val="0"/>
              <w:ind w:left="-45"/>
              <w:rPr>
                <w:sz w:val="20"/>
                <w:szCs w:val="20"/>
              </w:rPr>
            </w:pPr>
            <w:r w:rsidRPr="00F93FFA">
              <w:rPr>
                <w:sz w:val="20"/>
                <w:szCs w:val="20"/>
              </w:rPr>
              <w:t>13:12</w:t>
            </w:r>
          </w:p>
        </w:tc>
        <w:tc>
          <w:tcPr>
            <w:tcW w:w="558" w:type="dxa"/>
            <w:shd w:val="clear" w:color="auto" w:fill="auto"/>
          </w:tcPr>
          <w:p w14:paraId="0FFA1116" w14:textId="77777777" w:rsidR="00314B70" w:rsidRPr="00F93FFA" w:rsidRDefault="00314B70" w:rsidP="00DE16D0">
            <w:pPr>
              <w:widowControl w:val="0"/>
              <w:ind w:left="-45"/>
              <w:rPr>
                <w:sz w:val="20"/>
                <w:szCs w:val="20"/>
              </w:rPr>
            </w:pPr>
            <w:r w:rsidRPr="00F93FFA">
              <w:rPr>
                <w:sz w:val="20"/>
                <w:szCs w:val="20"/>
              </w:rPr>
              <w:t>0:12</w:t>
            </w:r>
          </w:p>
        </w:tc>
        <w:tc>
          <w:tcPr>
            <w:tcW w:w="527" w:type="dxa"/>
            <w:shd w:val="clear" w:color="auto" w:fill="auto"/>
          </w:tcPr>
          <w:p w14:paraId="076E3577" w14:textId="77777777" w:rsidR="00314B70" w:rsidRPr="00F93FFA" w:rsidRDefault="00314B70" w:rsidP="00DE16D0">
            <w:pPr>
              <w:widowControl w:val="0"/>
              <w:ind w:left="-45"/>
              <w:rPr>
                <w:sz w:val="20"/>
                <w:szCs w:val="20"/>
              </w:rPr>
            </w:pPr>
          </w:p>
        </w:tc>
      </w:tr>
    </w:tbl>
    <w:p w14:paraId="38B3B1F9"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60BF7246" w14:textId="77777777" w:rsidR="00314B70" w:rsidRPr="00F93FFA" w:rsidRDefault="00314B7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c-Kit teigiamais VTSN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7 literatūros šaltiniuose aprašyta 17 pacientų, sirgusių VTSN (su nustatytomis Kit ir PDGFR genų mutacijomis arba be jų). Šių pacientų amžius svyravo nuo 8 metų iki 18 metų, jiems buvo skiriamos imatinibo (kaip adjuvanto arba metastazinės ligos gydymo sudėtinė dalis) dozės nuo 300 mg iki 800 mg per parą. Daugeliui vaikų, kurie buvo gydomi nuo VTSN, trūko duomenų apie nustatytas c-Kit arba PDGFR genų mutacijas, todėl tai galėjo lemti nevienalytes klinikines išeitis.</w:t>
      </w:r>
    </w:p>
    <w:p w14:paraId="2B8FD8F3" w14:textId="77777777" w:rsidR="00314B70" w:rsidRPr="00F93FFA" w:rsidRDefault="00314B70" w:rsidP="00DE16D0">
      <w:pPr>
        <w:pStyle w:val="Text"/>
        <w:widowControl w:val="0"/>
        <w:spacing w:before="0"/>
        <w:jc w:val="left"/>
        <w:rPr>
          <w:rFonts w:eastAsia="MS Mincho"/>
          <w:color w:val="000000"/>
          <w:sz w:val="22"/>
          <w:szCs w:val="22"/>
          <w:lang w:val="lt-LT" w:eastAsia="ja-JP"/>
        </w:rPr>
      </w:pPr>
    </w:p>
    <w:p w14:paraId="48829CDF" w14:textId="77777777" w:rsidR="00314B70" w:rsidRPr="00F93FFA" w:rsidRDefault="00314B70" w:rsidP="00DE16D0">
      <w:pPr>
        <w:pStyle w:val="Nottoc-headings"/>
        <w:widowControl w:val="0"/>
        <w:spacing w:before="0" w:after="0"/>
        <w:rPr>
          <w:rFonts w:ascii="Times New Roman" w:eastAsia="MS Mincho" w:hAnsi="Times New Roman"/>
          <w:b w:val="0"/>
          <w:color w:val="000000"/>
          <w:sz w:val="22"/>
          <w:szCs w:val="22"/>
          <w:u w:val="single"/>
          <w:lang w:val="lt-LT" w:eastAsia="ja-JP"/>
        </w:rPr>
      </w:pPr>
      <w:r w:rsidRPr="00F93FFA">
        <w:rPr>
          <w:rFonts w:ascii="Times New Roman" w:eastAsia="MS Mincho" w:hAnsi="Times New Roman"/>
          <w:b w:val="0"/>
          <w:color w:val="000000"/>
          <w:sz w:val="22"/>
          <w:szCs w:val="22"/>
          <w:u w:val="single"/>
          <w:lang w:val="lt-LT" w:eastAsia="ja-JP"/>
        </w:rPr>
        <w:t>DFSP klinikiniai tyrimai</w:t>
      </w:r>
    </w:p>
    <w:p w14:paraId="55C8F280" w14:textId="77777777" w:rsidR="00314B70" w:rsidRPr="00F93FFA" w:rsidRDefault="00314B70" w:rsidP="00DE16D0">
      <w:pPr>
        <w:pStyle w:val="Text"/>
        <w:widowControl w:val="0"/>
        <w:spacing w:before="0"/>
        <w:jc w:val="left"/>
        <w:rPr>
          <w:rFonts w:eastAsia="MS Mincho"/>
          <w:strike/>
          <w:color w:val="000000"/>
          <w:sz w:val="22"/>
          <w:szCs w:val="22"/>
          <w:lang w:val="lt-LT" w:eastAsia="ja-JP"/>
        </w:rPr>
      </w:pPr>
      <w:r w:rsidRPr="00F93FFA">
        <w:rPr>
          <w:rFonts w:eastAsia="MS Mincho"/>
          <w:color w:val="000000"/>
          <w:sz w:val="22"/>
          <w:szCs w:val="22"/>
          <w:lang w:val="lt-LT" w:eastAsia="ja-JP"/>
        </w:rPr>
        <w:t>Viename II fazės, atvirame, daugiacentriniame, klinikiniame tyrime (tyrimas B2225) dalyvavo 12 DFSP sergančių pacientų,</w:t>
      </w:r>
      <w:r w:rsidRPr="00F93FFA">
        <w:rPr>
          <w:color w:val="000000"/>
          <w:sz w:val="22"/>
          <w:szCs w:val="22"/>
          <w:lang w:val="lt-LT" w:eastAsia="ja-JP"/>
        </w:rPr>
        <w:t xml:space="preserve"> vartojusių 800 mg Glivec per parą. </w:t>
      </w:r>
      <w:r w:rsidRPr="00F93FFA">
        <w:rPr>
          <w:rFonts w:eastAsia="MS Mincho"/>
          <w:color w:val="000000"/>
          <w:sz w:val="22"/>
          <w:szCs w:val="22"/>
          <w:lang w:val="lt-LT" w:eastAsia="ja-JP"/>
        </w:rPr>
        <w:t>DFSP sirgusių pacientų amžius buvo nuo 23 iki 75 metų; įtraukimo į tyrimą metu pacientai sirgo metastazavusia DFSP, vietiškai recidyvavusia po pirminės rezekcijos ir, kai nebuvo tikimasi, kad kartotinė rezekcija bus naudinga.</w:t>
      </w:r>
      <w:r w:rsidRPr="00F93FFA">
        <w:rPr>
          <w:color w:val="000000"/>
          <w:sz w:val="22"/>
          <w:szCs w:val="22"/>
          <w:lang w:val="lt-LT" w:eastAsia="ja-JP"/>
        </w:rPr>
        <w:t xml:space="preserve"> Pirminiai veiksmingumo duomenys rėmėsi objektyvaus atsako dažniu. Iš 12 tirtų pacientų 9 buvo gautas atsakas, vienam – pilnas, o 8 - dalinis. </w:t>
      </w:r>
      <w:r w:rsidRPr="00F93FFA">
        <w:rPr>
          <w:color w:val="000000"/>
          <w:sz w:val="22"/>
          <w:szCs w:val="22"/>
          <w:lang w:val="lt-LT"/>
        </w:rPr>
        <w:t>Trims pacientams iš tų, kuriems buvo gautas dalinis atsakas, navikas pašalintas operacijos metu</w:t>
      </w:r>
      <w:r w:rsidRPr="00F93FFA">
        <w:rPr>
          <w:color w:val="000000"/>
          <w:sz w:val="22"/>
          <w:szCs w:val="22"/>
          <w:lang w:val="lt-LT" w:eastAsia="ja-JP"/>
        </w:rPr>
        <w:t xml:space="preserve">. Gydymo trukmės mediana B2225 tyrimo metu buvo 6,2 mėnesio, o didžiausia trukmė - 24,3 mėnesio. </w:t>
      </w:r>
      <w:r w:rsidRPr="00F93FFA">
        <w:rPr>
          <w:rFonts w:eastAsia="MS Mincho"/>
          <w:color w:val="000000"/>
          <w:sz w:val="22"/>
          <w:szCs w:val="22"/>
          <w:lang w:val="lt-LT" w:eastAsia="ja-JP"/>
        </w:rPr>
        <w:t>Dar 6 DFSP sirgusių ir Glivek gydytų pacientų ligos istorijos nagrinėtos 5 paskelbtuose klinikinių atvejų aprašymuose, jų amžius svyravo nuo 18 mėnesių iki 49 metų. Iš viso dėl DFSP buvo gydyta 18 pacientų, aštuoniems iš jų buvo metastazių. Literatūroje aprašyti suaugę pacientai vartojo arba 400 mg (4 atvejai), arba 800 mg (1 atvejis) Glivec per parą. Penkiems (</w:t>
      </w:r>
      <w:r w:rsidRPr="00F93FFA">
        <w:rPr>
          <w:color w:val="000000"/>
          <w:sz w:val="22"/>
          <w:szCs w:val="22"/>
          <w:lang w:val="lt-LT" w:eastAsia="ja-JP"/>
        </w:rPr>
        <w:t>5) pacientams buvo gautas atsakas, 3 – pilnas, o 2 - dalinis. Literatūroje skelbtų atvejų gydymo trukmės mediana buvo nuo 4 savaičių iki daugiau kaip 20 mėnesių. Translokacija t(17:22)[(q22:q13)] arba jos genų produktas buvo beveik visuose atsakuose į Glivec terapiją.</w:t>
      </w:r>
    </w:p>
    <w:p w14:paraId="190BEA06" w14:textId="77777777" w:rsidR="00314B70" w:rsidRPr="00F93FFA" w:rsidRDefault="00314B70" w:rsidP="00DE16D0">
      <w:pPr>
        <w:widowControl w:val="0"/>
        <w:rPr>
          <w:color w:val="000000"/>
          <w:sz w:val="22"/>
          <w:szCs w:val="22"/>
        </w:rPr>
      </w:pPr>
    </w:p>
    <w:p w14:paraId="791DB3A1" w14:textId="77777777" w:rsidR="00314B70" w:rsidRPr="00F93FFA" w:rsidRDefault="00314B70" w:rsidP="00DE16D0">
      <w:pPr>
        <w:pStyle w:val="Text"/>
        <w:widowControl w:val="0"/>
        <w:spacing w:before="0"/>
        <w:jc w:val="left"/>
        <w:rPr>
          <w:color w:val="000000"/>
          <w:sz w:val="22"/>
          <w:szCs w:val="22"/>
          <w:lang w:val="lt-LT"/>
        </w:rPr>
      </w:pPr>
      <w:r w:rsidRPr="00F93FFA">
        <w:rPr>
          <w:rFonts w:eastAsia="MS Mincho"/>
          <w:color w:val="000000"/>
          <w:sz w:val="22"/>
          <w:szCs w:val="22"/>
          <w:lang w:val="lt-LT" w:eastAsia="ja-JP"/>
        </w:rPr>
        <w:t>Kontroliuojamųjų klinikinių tyrimų su DFSP sergančiais vaikais neatlikta</w:t>
      </w:r>
      <w:r w:rsidRPr="00F93FFA">
        <w:rPr>
          <w:color w:val="000000"/>
          <w:sz w:val="22"/>
          <w:szCs w:val="22"/>
          <w:lang w:val="lt-LT"/>
        </w:rPr>
        <w:t xml:space="preserve">. </w:t>
      </w:r>
      <w:r w:rsidRPr="00F93FFA">
        <w:rPr>
          <w:rFonts w:eastAsia="MS Mincho"/>
          <w:color w:val="000000"/>
          <w:sz w:val="22"/>
          <w:szCs w:val="22"/>
          <w:lang w:val="lt-LT" w:eastAsia="ja-JP"/>
        </w:rPr>
        <w:t>3 literatūros šaltiniuose aprašyti 5 pacientai, kurie sirgo DFSP ir kuriems buvo nustatyta PDGFR genų pakitimų. Šių pacientų amžius svyravo nuo naujagimio iki 14 metų, jiems buvo skiriama 50 mg per parą imatinibo dozė arba nuo 400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iki 520 mg/m</w:t>
      </w:r>
      <w:r w:rsidRPr="00F93FFA">
        <w:rPr>
          <w:rFonts w:eastAsia="MS Mincho"/>
          <w:color w:val="000000"/>
          <w:sz w:val="22"/>
          <w:szCs w:val="22"/>
          <w:vertAlign w:val="superscript"/>
          <w:lang w:val="lt-LT" w:eastAsia="ja-JP"/>
        </w:rPr>
        <w:t>2</w:t>
      </w:r>
      <w:r w:rsidRPr="00F93FFA">
        <w:rPr>
          <w:rFonts w:eastAsia="MS Mincho"/>
          <w:color w:val="000000"/>
          <w:sz w:val="22"/>
          <w:szCs w:val="22"/>
          <w:lang w:val="lt-LT" w:eastAsia="ja-JP"/>
        </w:rPr>
        <w:t xml:space="preserve"> kūno paviršiaus ploto per parą dozė. Visiems pacientams pasiektas dalinis ir (arba) visiškas atsakas.</w:t>
      </w:r>
    </w:p>
    <w:p w14:paraId="03812453" w14:textId="77777777" w:rsidR="00314B70" w:rsidRPr="00F93FFA" w:rsidRDefault="00314B70" w:rsidP="00DE16D0">
      <w:pPr>
        <w:widowControl w:val="0"/>
        <w:rPr>
          <w:color w:val="000000"/>
          <w:sz w:val="22"/>
          <w:szCs w:val="22"/>
        </w:rPr>
      </w:pPr>
    </w:p>
    <w:p w14:paraId="0C5B28F2"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5.2</w:t>
      </w:r>
      <w:r w:rsidRPr="00F93FFA">
        <w:rPr>
          <w:b/>
          <w:color w:val="000000"/>
          <w:sz w:val="22"/>
          <w:szCs w:val="22"/>
        </w:rPr>
        <w:tab/>
        <w:t>Farmakokinetinės savybės</w:t>
      </w:r>
    </w:p>
    <w:p w14:paraId="203E8683" w14:textId="77777777" w:rsidR="003646A0" w:rsidRPr="00F93FFA" w:rsidRDefault="003646A0" w:rsidP="00D82342">
      <w:pPr>
        <w:pStyle w:val="EndnoteText"/>
        <w:keepNext/>
        <w:widowControl w:val="0"/>
        <w:tabs>
          <w:tab w:val="clear" w:pos="567"/>
        </w:tabs>
        <w:rPr>
          <w:color w:val="000000"/>
          <w:szCs w:val="22"/>
          <w:lang w:val="lt-LT"/>
        </w:rPr>
      </w:pPr>
    </w:p>
    <w:p w14:paraId="19BB04B7"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Glivec farmakokinetika</w:t>
      </w:r>
    </w:p>
    <w:p w14:paraId="36B0B201" w14:textId="77777777" w:rsidR="003646A0" w:rsidRPr="00F93FFA" w:rsidRDefault="003646A0" w:rsidP="00DE16D0">
      <w:pPr>
        <w:widowControl w:val="0"/>
        <w:rPr>
          <w:color w:val="000000"/>
          <w:sz w:val="22"/>
          <w:szCs w:val="22"/>
        </w:rPr>
      </w:pPr>
      <w:r w:rsidRPr="00F93FFA">
        <w:rPr>
          <w:color w:val="000000"/>
          <w:sz w:val="22"/>
          <w:szCs w:val="22"/>
        </w:rPr>
        <w:t xml:space="preserve">Glivec farmakokinetika tirta vartojant nuo 25 mg iki 1 000 mg dozes. Plazmos farmakokinetikos </w:t>
      </w:r>
      <w:r w:rsidRPr="00F93FFA">
        <w:rPr>
          <w:color w:val="000000"/>
          <w:sz w:val="22"/>
          <w:szCs w:val="22"/>
        </w:rPr>
        <w:lastRenderedPageBreak/>
        <w:t>pobūdis buvo tiriamas 1</w:t>
      </w:r>
      <w:r w:rsidRPr="00F93FFA">
        <w:rPr>
          <w:color w:val="000000"/>
          <w:sz w:val="22"/>
          <w:szCs w:val="22"/>
        </w:rPr>
        <w:noBreakHyphen/>
        <w:t>ąją dieną ir 7</w:t>
      </w:r>
      <w:r w:rsidRPr="00F93FFA">
        <w:rPr>
          <w:color w:val="000000"/>
          <w:sz w:val="22"/>
          <w:szCs w:val="22"/>
        </w:rPr>
        <w:noBreakHyphen/>
        <w:t>ąją arba 28</w:t>
      </w:r>
      <w:r w:rsidRPr="00F93FFA">
        <w:rPr>
          <w:color w:val="000000"/>
          <w:sz w:val="22"/>
          <w:szCs w:val="22"/>
        </w:rPr>
        <w:noBreakHyphen/>
        <w:t>ąją dieną, kai koncentracija plazmoje pasidaro pastovi.</w:t>
      </w:r>
    </w:p>
    <w:p w14:paraId="33A99BD1" w14:textId="77777777" w:rsidR="003646A0" w:rsidRPr="00F93FFA" w:rsidRDefault="003646A0" w:rsidP="00DE16D0">
      <w:pPr>
        <w:widowControl w:val="0"/>
        <w:rPr>
          <w:color w:val="000000"/>
          <w:sz w:val="22"/>
          <w:szCs w:val="22"/>
        </w:rPr>
      </w:pPr>
    </w:p>
    <w:p w14:paraId="0CCB7765"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Absorbcija</w:t>
      </w:r>
    </w:p>
    <w:p w14:paraId="74B028B1" w14:textId="77777777" w:rsidR="003646A0" w:rsidRPr="00F93FFA" w:rsidRDefault="003646A0" w:rsidP="00DE16D0">
      <w:pPr>
        <w:widowControl w:val="0"/>
        <w:rPr>
          <w:color w:val="000000"/>
          <w:sz w:val="22"/>
          <w:szCs w:val="22"/>
        </w:rPr>
      </w:pPr>
      <w:r w:rsidRPr="00F93FFA">
        <w:rPr>
          <w:color w:val="000000"/>
          <w:sz w:val="22"/>
          <w:szCs w:val="22"/>
        </w:rPr>
        <w:t>Vidutinis absoliutus imatinibo biologinis prieinamumas yra 98 %. Nustatyta didelis skirtingų pacientų plazmos imatinibo AUC reikšmės svyravimas po išgertos dozės. Vartojamo su riebiu maistu imatinibo absorbcijos greitis labai nedaug sumažėja (C</w:t>
      </w:r>
      <w:r w:rsidRPr="00F93FFA">
        <w:rPr>
          <w:color w:val="000000"/>
          <w:sz w:val="22"/>
          <w:szCs w:val="22"/>
          <w:vertAlign w:val="subscript"/>
        </w:rPr>
        <w:t>max</w:t>
      </w:r>
      <w:r w:rsidRPr="00F93FFA">
        <w:rPr>
          <w:color w:val="000000"/>
          <w:sz w:val="22"/>
          <w:szCs w:val="22"/>
        </w:rPr>
        <w:t xml:space="preserve"> sumažėja 11 % ir t</w:t>
      </w:r>
      <w:r w:rsidRPr="00F93FFA">
        <w:rPr>
          <w:color w:val="000000"/>
          <w:sz w:val="22"/>
          <w:szCs w:val="22"/>
          <w:vertAlign w:val="subscript"/>
        </w:rPr>
        <w:t>max</w:t>
      </w:r>
      <w:r w:rsidRPr="00F93FFA">
        <w:rPr>
          <w:color w:val="000000"/>
          <w:sz w:val="22"/>
          <w:szCs w:val="22"/>
        </w:rPr>
        <w:t xml:space="preserve"> pailgėja 1,5 val.), taip pat šiek tiek sumažėja AUC (7,4 %) lyginant su </w:t>
      </w:r>
      <w:r w:rsidR="00D62405" w:rsidRPr="00F93FFA">
        <w:rPr>
          <w:color w:val="000000"/>
          <w:sz w:val="22"/>
          <w:szCs w:val="22"/>
        </w:rPr>
        <w:t xml:space="preserve">vaistinio preparato </w:t>
      </w:r>
      <w:r w:rsidRPr="00F93FFA">
        <w:rPr>
          <w:color w:val="000000"/>
          <w:sz w:val="22"/>
          <w:szCs w:val="22"/>
        </w:rPr>
        <w:t xml:space="preserve">vartojimu nevalgius. Anksčiau atliktos virškinimo trakto operacijos įtaka </w:t>
      </w:r>
      <w:r w:rsidR="00D62405" w:rsidRPr="00F93FFA">
        <w:rPr>
          <w:color w:val="000000"/>
          <w:sz w:val="22"/>
          <w:szCs w:val="22"/>
        </w:rPr>
        <w:t xml:space="preserve">vaistinio preparato </w:t>
      </w:r>
      <w:r w:rsidRPr="00F93FFA">
        <w:rPr>
          <w:color w:val="000000"/>
          <w:sz w:val="22"/>
          <w:szCs w:val="22"/>
        </w:rPr>
        <w:t>absorbcijai netirta.</w:t>
      </w:r>
    </w:p>
    <w:p w14:paraId="251607B0" w14:textId="77777777" w:rsidR="003646A0" w:rsidRPr="00F93FFA" w:rsidRDefault="003646A0" w:rsidP="00DE16D0">
      <w:pPr>
        <w:widowControl w:val="0"/>
        <w:rPr>
          <w:color w:val="000000"/>
          <w:sz w:val="22"/>
          <w:szCs w:val="22"/>
        </w:rPr>
      </w:pPr>
    </w:p>
    <w:p w14:paraId="5931A84D"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Pasiskirstymas</w:t>
      </w:r>
    </w:p>
    <w:p w14:paraId="6112891B" w14:textId="77777777" w:rsidR="003646A0" w:rsidRPr="00F93FFA" w:rsidRDefault="003646A0" w:rsidP="00DE16D0">
      <w:pPr>
        <w:widowControl w:val="0"/>
        <w:rPr>
          <w:color w:val="000000"/>
          <w:sz w:val="22"/>
          <w:szCs w:val="22"/>
        </w:rPr>
      </w:pPr>
      <w:r w:rsidRPr="00F93FFA">
        <w:rPr>
          <w:color w:val="000000"/>
          <w:sz w:val="22"/>
          <w:szCs w:val="22"/>
        </w:rPr>
        <w:t xml:space="preserve">Kai susidaro kliniškai reikšminga imatinibo koncentracija, apie 95 % </w:t>
      </w:r>
      <w:r w:rsidR="00D62405" w:rsidRPr="00F93FFA">
        <w:rPr>
          <w:color w:val="000000"/>
          <w:sz w:val="22"/>
          <w:szCs w:val="22"/>
        </w:rPr>
        <w:t xml:space="preserve">vaistinio preparato </w:t>
      </w:r>
      <w:r w:rsidRPr="00F93FFA">
        <w:rPr>
          <w:color w:val="000000"/>
          <w:sz w:val="22"/>
          <w:szCs w:val="22"/>
        </w:rPr>
        <w:t xml:space="preserve">jungiasi su plazmos baltymais (pagal eksperimentus </w:t>
      </w:r>
      <w:r w:rsidRPr="00F93FFA">
        <w:rPr>
          <w:i/>
          <w:color w:val="000000"/>
          <w:sz w:val="22"/>
          <w:szCs w:val="22"/>
        </w:rPr>
        <w:t>in vitro</w:t>
      </w:r>
      <w:r w:rsidRPr="00F93FFA">
        <w:rPr>
          <w:color w:val="000000"/>
          <w:sz w:val="22"/>
          <w:szCs w:val="22"/>
        </w:rPr>
        <w:t>), daugiausia su albuminu ir alfa rūgščiuoju glikoproteinu ir labai mažai su lipoproteinu.</w:t>
      </w:r>
    </w:p>
    <w:p w14:paraId="1F22C9AC" w14:textId="77777777" w:rsidR="003646A0" w:rsidRPr="00F93FFA" w:rsidRDefault="003646A0" w:rsidP="00DE16D0">
      <w:pPr>
        <w:widowControl w:val="0"/>
        <w:rPr>
          <w:color w:val="000000"/>
          <w:sz w:val="22"/>
          <w:szCs w:val="22"/>
        </w:rPr>
      </w:pPr>
    </w:p>
    <w:p w14:paraId="149F7E70"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Biotransformacija</w:t>
      </w:r>
    </w:p>
    <w:p w14:paraId="45C255F2" w14:textId="77777777" w:rsidR="003646A0" w:rsidRPr="00F93FFA" w:rsidRDefault="003646A0" w:rsidP="00DE16D0">
      <w:pPr>
        <w:widowControl w:val="0"/>
        <w:rPr>
          <w:color w:val="000000"/>
          <w:sz w:val="22"/>
          <w:szCs w:val="22"/>
        </w:rPr>
      </w:pPr>
      <w:r w:rsidRPr="00F93FFA">
        <w:rPr>
          <w:color w:val="000000"/>
          <w:sz w:val="22"/>
          <w:szCs w:val="22"/>
        </w:rPr>
        <w:t>Pagrindinis cirkuliuojantis metabolitas žmogaus organizme yra N</w:t>
      </w:r>
      <w:r w:rsidRPr="00F93FFA">
        <w:rPr>
          <w:color w:val="000000"/>
          <w:sz w:val="22"/>
          <w:szCs w:val="22"/>
        </w:rPr>
        <w:noBreakHyphen/>
        <w:t xml:space="preserve">demetilintas piperazino derivatas, kuris </w:t>
      </w:r>
      <w:r w:rsidRPr="00F93FFA">
        <w:rPr>
          <w:i/>
          <w:color w:val="000000"/>
          <w:sz w:val="22"/>
          <w:szCs w:val="22"/>
        </w:rPr>
        <w:t>in vitro</w:t>
      </w:r>
      <w:r w:rsidRPr="00F93FFA">
        <w:rPr>
          <w:color w:val="000000"/>
          <w:sz w:val="22"/>
          <w:szCs w:val="22"/>
        </w:rPr>
        <w:t xml:space="preserve"> veikia taip pat stipriai kaip ir jo pirmtakas. Šio metabolito plazmos AUC sudaro tik 16 % imatinibo AUC. N-demetilintas metabolitas jungiasi su plazmos baltymais panašiai kaip pagrindinis junginys.</w:t>
      </w:r>
    </w:p>
    <w:p w14:paraId="4B67F4CA" w14:textId="77777777" w:rsidR="003646A0" w:rsidRPr="00F93FFA" w:rsidRDefault="003646A0" w:rsidP="00DE16D0">
      <w:pPr>
        <w:widowControl w:val="0"/>
        <w:rPr>
          <w:color w:val="000000"/>
          <w:sz w:val="22"/>
          <w:szCs w:val="22"/>
        </w:rPr>
      </w:pPr>
    </w:p>
    <w:p w14:paraId="6E26B4FC" w14:textId="77777777" w:rsidR="003646A0" w:rsidRPr="00F93FFA" w:rsidRDefault="003646A0" w:rsidP="00DE16D0">
      <w:pPr>
        <w:widowControl w:val="0"/>
        <w:rPr>
          <w:color w:val="000000"/>
          <w:sz w:val="22"/>
          <w:szCs w:val="22"/>
        </w:rPr>
      </w:pPr>
      <w:r w:rsidRPr="00F93FFA">
        <w:rPr>
          <w:color w:val="000000"/>
          <w:sz w:val="22"/>
          <w:szCs w:val="22"/>
        </w:rPr>
        <w:t>Imatinibas ir N</w:t>
      </w:r>
      <w:r w:rsidRPr="00F93FFA">
        <w:rPr>
          <w:color w:val="000000"/>
          <w:sz w:val="22"/>
          <w:szCs w:val="22"/>
        </w:rPr>
        <w:noBreakHyphen/>
        <w:t>demetilmetabolitas kartu sudaro 65 % cirkuliuojančio radioaktyvumo (AUC</w:t>
      </w:r>
      <w:r w:rsidRPr="00F93FFA">
        <w:rPr>
          <w:color w:val="000000"/>
          <w:sz w:val="22"/>
          <w:szCs w:val="22"/>
          <w:vertAlign w:val="subscript"/>
        </w:rPr>
        <w:t>0-48h</w:t>
      </w:r>
      <w:r w:rsidRPr="00F93FFA">
        <w:rPr>
          <w:color w:val="000000"/>
          <w:sz w:val="22"/>
          <w:szCs w:val="22"/>
        </w:rPr>
        <w:t>). Kitas cirkuliuojantis radioaktyvumas priklauso nuo kelių mažesnių metabolitų.</w:t>
      </w:r>
    </w:p>
    <w:p w14:paraId="5DFA0BF3" w14:textId="77777777" w:rsidR="003646A0" w:rsidRPr="00F93FFA" w:rsidRDefault="003646A0" w:rsidP="00DE16D0">
      <w:pPr>
        <w:widowControl w:val="0"/>
        <w:rPr>
          <w:color w:val="000000"/>
          <w:sz w:val="22"/>
          <w:szCs w:val="22"/>
        </w:rPr>
      </w:pPr>
    </w:p>
    <w:p w14:paraId="5CA95266" w14:textId="77777777" w:rsidR="003646A0" w:rsidRPr="00F93FFA" w:rsidRDefault="003646A0" w:rsidP="00DE16D0">
      <w:pPr>
        <w:widowControl w:val="0"/>
        <w:rPr>
          <w:color w:val="000000"/>
          <w:sz w:val="22"/>
          <w:szCs w:val="22"/>
        </w:rPr>
      </w:pPr>
      <w:r w:rsidRPr="00F93FFA">
        <w:rPr>
          <w:color w:val="000000"/>
          <w:sz w:val="22"/>
          <w:szCs w:val="22"/>
        </w:rPr>
        <w:t xml:space="preserve">Tyrimai </w:t>
      </w:r>
      <w:r w:rsidRPr="00F93FFA">
        <w:rPr>
          <w:i/>
          <w:color w:val="000000"/>
          <w:sz w:val="22"/>
          <w:szCs w:val="22"/>
        </w:rPr>
        <w:t>in vitro</w:t>
      </w:r>
      <w:r w:rsidRPr="00F93FFA">
        <w:rPr>
          <w:color w:val="000000"/>
          <w:sz w:val="22"/>
          <w:szCs w:val="22"/>
        </w:rPr>
        <w:t xml:space="preserve"> parodė, kad CYP3A4 yra pagrindinis žmogaus P450 fermentas, katalizuojantis imatinibo biotransformaciją. Iš daugelio kartu vartotų </w:t>
      </w:r>
      <w:r w:rsidR="00D62405" w:rsidRPr="00F93FFA">
        <w:rPr>
          <w:color w:val="000000"/>
          <w:sz w:val="22"/>
          <w:szCs w:val="22"/>
        </w:rPr>
        <w:t xml:space="preserve">vaistinių preparatų </w:t>
      </w:r>
      <w:r w:rsidRPr="00F93FFA">
        <w:rPr>
          <w:color w:val="000000"/>
          <w:sz w:val="22"/>
          <w:szCs w:val="22"/>
        </w:rPr>
        <w:t>(acetaminofeno, acikloviro, alopurinolio, amfotericino, citarabino, eritromicino, flukonazolio, hidroksišlapalo, norfloksacino, penicilino V) tik eritromicino (IC</w:t>
      </w:r>
      <w:r w:rsidRPr="00F93FFA">
        <w:rPr>
          <w:color w:val="000000"/>
          <w:sz w:val="22"/>
          <w:szCs w:val="22"/>
          <w:vertAlign w:val="subscript"/>
        </w:rPr>
        <w:t>50</w:t>
      </w:r>
      <w:r w:rsidRPr="00F93FFA">
        <w:rPr>
          <w:color w:val="000000"/>
          <w:sz w:val="22"/>
          <w:szCs w:val="22"/>
        </w:rPr>
        <w:t xml:space="preserve"> 50 µM) ir flukonazolio (IC</w:t>
      </w:r>
      <w:r w:rsidRPr="00F93FFA">
        <w:rPr>
          <w:color w:val="000000"/>
          <w:sz w:val="22"/>
          <w:szCs w:val="22"/>
          <w:vertAlign w:val="subscript"/>
        </w:rPr>
        <w:t>50</w:t>
      </w:r>
      <w:r w:rsidRPr="00F93FFA">
        <w:rPr>
          <w:color w:val="000000"/>
          <w:sz w:val="22"/>
          <w:szCs w:val="22"/>
        </w:rPr>
        <w:t xml:space="preserve"> 118 µM) slopinamas imatinibo metabolizmas gali būti kliniškai reikšmingas.</w:t>
      </w:r>
    </w:p>
    <w:p w14:paraId="66CB0D30" w14:textId="77777777" w:rsidR="003646A0" w:rsidRPr="00F93FFA" w:rsidRDefault="003646A0" w:rsidP="00DE16D0">
      <w:pPr>
        <w:widowControl w:val="0"/>
        <w:rPr>
          <w:color w:val="000000"/>
          <w:sz w:val="22"/>
          <w:szCs w:val="22"/>
        </w:rPr>
      </w:pPr>
    </w:p>
    <w:p w14:paraId="16C5C720" w14:textId="7FE42DEA" w:rsidR="003646A0" w:rsidRPr="00F93FFA" w:rsidRDefault="003646A0" w:rsidP="00B37342">
      <w:pPr>
        <w:widowControl w:val="0"/>
        <w:rPr>
          <w:color w:val="000000"/>
          <w:sz w:val="22"/>
          <w:szCs w:val="22"/>
        </w:rPr>
      </w:pPr>
      <w:r w:rsidRPr="00F93FFA">
        <w:rPr>
          <w:i/>
          <w:color w:val="000000"/>
          <w:sz w:val="22"/>
          <w:szCs w:val="22"/>
        </w:rPr>
        <w:t>In vitro</w:t>
      </w:r>
      <w:r w:rsidRPr="00F93FFA">
        <w:rPr>
          <w:color w:val="000000"/>
          <w:sz w:val="22"/>
          <w:szCs w:val="22"/>
        </w:rPr>
        <w:t xml:space="preserve"> nustatyta, kad imatinibas yra konkurencinis CYP2C9, CYP2D6 ir CYP3A4/5 substratų inhibitorius. Žmogaus kepenų mikrosomų K</w:t>
      </w:r>
      <w:r w:rsidRPr="00F93FFA">
        <w:rPr>
          <w:color w:val="000000"/>
          <w:sz w:val="22"/>
          <w:szCs w:val="22"/>
          <w:vertAlign w:val="subscript"/>
        </w:rPr>
        <w:t>i</w:t>
      </w:r>
      <w:r w:rsidRPr="00F93FFA">
        <w:rPr>
          <w:color w:val="000000"/>
          <w:sz w:val="22"/>
          <w:szCs w:val="22"/>
        </w:rPr>
        <w:t xml:space="preserve"> rodmuo buvo atitinkamai 27, 7,5 ir 7,9 </w:t>
      </w:r>
      <w:r w:rsidRPr="00F93FFA">
        <w:rPr>
          <w:color w:val="000000"/>
          <w:sz w:val="22"/>
          <w:szCs w:val="22"/>
        </w:rPr>
        <w:sym w:font="Symbol" w:char="F06D"/>
      </w:r>
      <w:r w:rsidRPr="00F93FFA">
        <w:rPr>
          <w:color w:val="000000"/>
          <w:sz w:val="22"/>
          <w:szCs w:val="22"/>
        </w:rPr>
        <w:t>mol/l. Didžiausia pacientų imatinibo koncentracija plazmoje yra 2–4 </w:t>
      </w:r>
      <w:r w:rsidRPr="00F93FFA">
        <w:rPr>
          <w:color w:val="000000"/>
          <w:sz w:val="22"/>
          <w:szCs w:val="22"/>
        </w:rPr>
        <w:sym w:font="Symbol" w:char="F06D"/>
      </w:r>
      <w:r w:rsidRPr="00F93FFA">
        <w:rPr>
          <w:color w:val="000000"/>
          <w:sz w:val="22"/>
          <w:szCs w:val="22"/>
        </w:rPr>
        <w:t xml:space="preserve">mol/l, taigi galimas CYP2D6 ir (ar) CYP3A4/5 medijuojamo kartu vartojamų </w:t>
      </w:r>
      <w:r w:rsidR="00D62405" w:rsidRPr="00F93FFA">
        <w:rPr>
          <w:color w:val="000000"/>
          <w:sz w:val="22"/>
          <w:szCs w:val="22"/>
        </w:rPr>
        <w:t xml:space="preserve">vaistinių preparatų </w:t>
      </w:r>
      <w:r w:rsidRPr="00F93FFA">
        <w:rPr>
          <w:color w:val="000000"/>
          <w:sz w:val="22"/>
          <w:szCs w:val="22"/>
        </w:rPr>
        <w:t>metabolizmo slopinimas. Imatinibas neturi įtakos 5</w:t>
      </w:r>
      <w:r w:rsidRPr="00F93FFA">
        <w:rPr>
          <w:color w:val="000000"/>
          <w:sz w:val="22"/>
          <w:szCs w:val="22"/>
        </w:rPr>
        <w:noBreakHyphen/>
        <w:t>fluoruracilio biotransformacijai, tačiau slopina paklitakselio metabolizmą dėl konkurencinio CYP2C8 slopinimo (K</w:t>
      </w:r>
      <w:r w:rsidRPr="00F93FFA">
        <w:rPr>
          <w:color w:val="000000"/>
          <w:sz w:val="22"/>
          <w:szCs w:val="22"/>
          <w:vertAlign w:val="subscript"/>
        </w:rPr>
        <w:t>i</w:t>
      </w:r>
      <w:r w:rsidR="00B37342" w:rsidRPr="00F93FFA">
        <w:rPr>
          <w:color w:val="000000"/>
          <w:sz w:val="22"/>
          <w:szCs w:val="22"/>
        </w:rPr>
        <w:t> </w:t>
      </w:r>
      <w:r w:rsidRPr="00F93FFA">
        <w:rPr>
          <w:color w:val="000000"/>
          <w:sz w:val="22"/>
          <w:szCs w:val="22"/>
        </w:rPr>
        <w:t>=</w:t>
      </w:r>
      <w:r w:rsidR="00B37342" w:rsidRPr="00F93FFA">
        <w:rPr>
          <w:color w:val="000000"/>
          <w:sz w:val="22"/>
          <w:szCs w:val="22"/>
        </w:rPr>
        <w:t> </w:t>
      </w:r>
      <w:r w:rsidRPr="00F93FFA">
        <w:rPr>
          <w:color w:val="000000"/>
          <w:sz w:val="22"/>
          <w:szCs w:val="22"/>
        </w:rPr>
        <w:t>34,7 </w:t>
      </w:r>
      <w:r w:rsidRPr="00F93FFA">
        <w:rPr>
          <w:color w:val="000000"/>
          <w:sz w:val="22"/>
          <w:szCs w:val="22"/>
        </w:rPr>
        <w:sym w:font="Symbol" w:char="F06D"/>
      </w:r>
      <w:r w:rsidRPr="00F93FFA">
        <w:rPr>
          <w:color w:val="000000"/>
          <w:sz w:val="22"/>
          <w:szCs w:val="22"/>
        </w:rPr>
        <w:t>M). Šis K</w:t>
      </w:r>
      <w:r w:rsidRPr="00F93FFA">
        <w:rPr>
          <w:color w:val="000000"/>
          <w:sz w:val="22"/>
          <w:szCs w:val="22"/>
          <w:vertAlign w:val="subscript"/>
        </w:rPr>
        <w:t>i</w:t>
      </w:r>
      <w:r w:rsidRPr="00F93FFA">
        <w:rPr>
          <w:color w:val="000000"/>
          <w:sz w:val="22"/>
          <w:szCs w:val="22"/>
        </w:rPr>
        <w:t xml:space="preserve"> rodmuo yra daug didesnis negu tikėtina imatinibo koncentracija pacientų plazmoje, todėl, imatinibą vartojant kartu su 5</w:t>
      </w:r>
      <w:r w:rsidRPr="00F93FFA">
        <w:rPr>
          <w:color w:val="000000"/>
          <w:sz w:val="22"/>
          <w:szCs w:val="22"/>
        </w:rPr>
        <w:noBreakHyphen/>
        <w:t>fluoruraciliu ar paklitakseliu, sąveikos neturėtų būti.</w:t>
      </w:r>
    </w:p>
    <w:p w14:paraId="3C74E48D" w14:textId="77777777" w:rsidR="003646A0" w:rsidRPr="00F93FFA" w:rsidRDefault="003646A0" w:rsidP="00DE16D0">
      <w:pPr>
        <w:widowControl w:val="0"/>
        <w:rPr>
          <w:color w:val="000000"/>
          <w:sz w:val="22"/>
          <w:szCs w:val="22"/>
        </w:rPr>
      </w:pPr>
    </w:p>
    <w:p w14:paraId="6B70CB76"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Eliminacija</w:t>
      </w:r>
    </w:p>
    <w:p w14:paraId="613A70B1" w14:textId="6FC273F3" w:rsidR="003646A0" w:rsidRPr="00F93FFA" w:rsidRDefault="003646A0" w:rsidP="00DE16D0">
      <w:pPr>
        <w:widowControl w:val="0"/>
        <w:rPr>
          <w:color w:val="000000"/>
          <w:sz w:val="22"/>
          <w:szCs w:val="22"/>
        </w:rPr>
      </w:pPr>
      <w:r w:rsidRPr="00F93FFA">
        <w:rPr>
          <w:color w:val="000000"/>
          <w:sz w:val="22"/>
          <w:szCs w:val="22"/>
        </w:rPr>
        <w:t xml:space="preserve">Pagal junginio išsiskyrimą po išgertos </w:t>
      </w:r>
      <w:r w:rsidRPr="00F93FFA">
        <w:rPr>
          <w:color w:val="000000"/>
          <w:sz w:val="22"/>
          <w:szCs w:val="22"/>
          <w:vertAlign w:val="superscript"/>
        </w:rPr>
        <w:t>14</w:t>
      </w:r>
      <w:r w:rsidRPr="00F93FFA">
        <w:rPr>
          <w:color w:val="000000"/>
          <w:sz w:val="22"/>
          <w:szCs w:val="22"/>
        </w:rPr>
        <w:t>C</w:t>
      </w:r>
      <w:r w:rsidR="00957B98" w:rsidRPr="00F93FFA">
        <w:rPr>
          <w:color w:val="000000"/>
          <w:sz w:val="22"/>
          <w:szCs w:val="22"/>
        </w:rPr>
        <w:noBreakHyphen/>
      </w:r>
      <w:r w:rsidRPr="00F93FFA">
        <w:rPr>
          <w:color w:val="000000"/>
          <w:sz w:val="22"/>
          <w:szCs w:val="22"/>
        </w:rPr>
        <w:t>žymėtojo imatinibo dozės, maždaug 81 % dozės per 7 dienas išsiskiria su išmatomis (68 % dozės) ir šlapimu (13 % dozės). Nepakitęs imatinibas sudaro 25 % dozės (5 % šlapime, 20 % išmatose), kita dalis yra metabolitų pavidalu.</w:t>
      </w:r>
    </w:p>
    <w:p w14:paraId="1A0215D6" w14:textId="77777777" w:rsidR="003646A0" w:rsidRPr="00F93FFA" w:rsidRDefault="003646A0" w:rsidP="00DE16D0">
      <w:pPr>
        <w:widowControl w:val="0"/>
        <w:rPr>
          <w:color w:val="000000"/>
          <w:sz w:val="22"/>
          <w:szCs w:val="22"/>
        </w:rPr>
      </w:pPr>
    </w:p>
    <w:p w14:paraId="5D0C7CEB"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Plazmos farmakokinetika</w:t>
      </w:r>
    </w:p>
    <w:p w14:paraId="43213CD4" w14:textId="77777777" w:rsidR="003646A0" w:rsidRPr="00F93FFA" w:rsidRDefault="003646A0" w:rsidP="00DE16D0">
      <w:pPr>
        <w:widowControl w:val="0"/>
        <w:rPr>
          <w:color w:val="000000"/>
          <w:sz w:val="22"/>
          <w:szCs w:val="22"/>
        </w:rPr>
      </w:pPr>
      <w:r w:rsidRPr="00F93FFA">
        <w:rPr>
          <w:color w:val="000000"/>
          <w:sz w:val="22"/>
          <w:szCs w:val="22"/>
        </w:rPr>
        <w:t xml:space="preserve">Sveikų savanorių išgerto </w:t>
      </w:r>
      <w:r w:rsidR="00D62405" w:rsidRPr="00F93FFA">
        <w:rPr>
          <w:color w:val="000000"/>
          <w:sz w:val="22"/>
          <w:szCs w:val="22"/>
        </w:rPr>
        <w:t xml:space="preserve">vaistinio preparato </w:t>
      </w:r>
      <w:r w:rsidRPr="00F93FFA">
        <w:rPr>
          <w:color w:val="000000"/>
          <w:sz w:val="22"/>
          <w:szCs w:val="22"/>
        </w:rPr>
        <w:t>t</w:t>
      </w:r>
      <w:r w:rsidRPr="00F93FFA">
        <w:rPr>
          <w:color w:val="000000"/>
          <w:sz w:val="22"/>
          <w:szCs w:val="22"/>
          <w:vertAlign w:val="subscript"/>
        </w:rPr>
        <w:t>½</w:t>
      </w:r>
      <w:r w:rsidRPr="00F93FFA">
        <w:rPr>
          <w:color w:val="000000"/>
          <w:sz w:val="22"/>
          <w:szCs w:val="22"/>
        </w:rPr>
        <w:t xml:space="preserve"> buvo maždaug 18 val., tai rodo, kad </w:t>
      </w:r>
      <w:r w:rsidR="00D62405" w:rsidRPr="00F93FFA">
        <w:rPr>
          <w:color w:val="000000"/>
          <w:sz w:val="22"/>
          <w:szCs w:val="22"/>
        </w:rPr>
        <w:t xml:space="preserve">vaistinį preparatą </w:t>
      </w:r>
      <w:r w:rsidRPr="00F93FFA">
        <w:rPr>
          <w:color w:val="000000"/>
          <w:sz w:val="22"/>
          <w:szCs w:val="22"/>
        </w:rPr>
        <w:t xml:space="preserve">galima vartoti vieną kartą per parą. Geriant 25–1 000 mg imatinibo, vidutinio AUC didėjimas, didėjant dozei, buvo linijinis ir proporcingas dozei. Kartotinai vartojamo imatinibo kinetika nepakito, o akumuliacija buvo 1,5–2,5 karto didesnė, kai, </w:t>
      </w:r>
      <w:r w:rsidR="00D62405" w:rsidRPr="00F93FFA">
        <w:rPr>
          <w:color w:val="000000"/>
          <w:sz w:val="22"/>
          <w:szCs w:val="22"/>
        </w:rPr>
        <w:t xml:space="preserve">vaistinį preparatą </w:t>
      </w:r>
      <w:r w:rsidRPr="00F93FFA">
        <w:rPr>
          <w:color w:val="000000"/>
          <w:sz w:val="22"/>
          <w:szCs w:val="22"/>
        </w:rPr>
        <w:t>vartojant vieną kartą per parą, buvo pasiekta pastovi koncentracija.</w:t>
      </w:r>
    </w:p>
    <w:p w14:paraId="6D277BB6" w14:textId="77777777" w:rsidR="003646A0" w:rsidRPr="00F93FFA" w:rsidRDefault="003646A0" w:rsidP="00DE16D0">
      <w:pPr>
        <w:widowControl w:val="0"/>
        <w:rPr>
          <w:color w:val="000000"/>
          <w:sz w:val="22"/>
          <w:szCs w:val="22"/>
        </w:rPr>
      </w:pPr>
    </w:p>
    <w:p w14:paraId="1EC1E822"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VTSN pacientų farmakokinetika</w:t>
      </w:r>
    </w:p>
    <w:p w14:paraId="0FF3334D" w14:textId="77777777"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 xml:space="preserve">VTSN sergančių pacientų ekspozicija, kai koncentracija pastovi, buvo 1,5 karto didesnė negu LML sergančių pacientų, vartojančių tą pačią dozę (400 mg per parą). Preliminari VTSN sergančių pacientų populiacijos farmakokinetikos analizė parodė, kad trys kintamieji (albuminas, BKK ir bilirubinas) turi statistiškai patikimą ryšį su imatinibo farmakokinetika. Sumažėjęs albumino kiekis sąlygoja mažesnį klirensą (Cl/f); didesnis BKK skaičius mažina CL/f. Tačiau šie ryšiai nėra pakankamai ryškūs, kad </w:t>
      </w:r>
      <w:r w:rsidRPr="00F93FFA">
        <w:rPr>
          <w:color w:val="000000"/>
          <w:szCs w:val="22"/>
          <w:lang w:val="lt-LT"/>
        </w:rPr>
        <w:lastRenderedPageBreak/>
        <w:t>tektų koreguoti dozę. Šiems pacientams kepenų metastazės gali sąlygoti kepenų nepakankamumą ir susilpnėjusį metabolizmą.</w:t>
      </w:r>
    </w:p>
    <w:p w14:paraId="0003C760" w14:textId="77777777" w:rsidR="003646A0" w:rsidRPr="00F93FFA" w:rsidRDefault="003646A0" w:rsidP="00DE16D0">
      <w:pPr>
        <w:widowControl w:val="0"/>
        <w:rPr>
          <w:color w:val="000000"/>
          <w:sz w:val="22"/>
          <w:szCs w:val="22"/>
        </w:rPr>
      </w:pPr>
    </w:p>
    <w:p w14:paraId="2C045C68"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Populiacijos farmakokinetika</w:t>
      </w:r>
    </w:p>
    <w:p w14:paraId="3E59D3E8" w14:textId="77777777" w:rsidR="003646A0" w:rsidRPr="00F93FFA" w:rsidRDefault="003646A0" w:rsidP="00DE16D0">
      <w:pPr>
        <w:widowControl w:val="0"/>
        <w:rPr>
          <w:color w:val="000000"/>
          <w:sz w:val="22"/>
          <w:szCs w:val="22"/>
        </w:rPr>
      </w:pPr>
      <w:r w:rsidRPr="00F93FFA">
        <w:rPr>
          <w:color w:val="000000"/>
          <w:sz w:val="22"/>
          <w:szCs w:val="22"/>
        </w:rPr>
        <w:t>LML pacientų populiacijos farmakokinetikos analizė rodo, kad amžius turi mažą įtaką pasiskirstymo tūriui (12 % padidėja vyresniems kaip 65 metų asmenims). Manoma, kad šis pokytis yra kliniškai nereikšmingas. Nustatyta kūno svorio įtaka imatinibo klirensui: pacientų, sveriančių 50 kg, vidutinis klirensas gali būti 8,5 l/h, o, sveriančių 100 kg – padidėja iki 11,8 l/h. Tačiau dėl šių pokyčių dozės pagal kūno svorį koreguoti nereikia. Imatinibo kinetikai lytis reikšmės neturi.</w:t>
      </w:r>
    </w:p>
    <w:p w14:paraId="17232F95" w14:textId="77777777" w:rsidR="003646A0" w:rsidRPr="00F93FFA" w:rsidRDefault="003646A0" w:rsidP="00DE16D0">
      <w:pPr>
        <w:widowControl w:val="0"/>
        <w:rPr>
          <w:color w:val="000000"/>
          <w:sz w:val="22"/>
          <w:szCs w:val="22"/>
        </w:rPr>
      </w:pPr>
    </w:p>
    <w:p w14:paraId="3BE51D14"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Vaikų farmakokinetika</w:t>
      </w:r>
    </w:p>
    <w:p w14:paraId="5F9959B6" w14:textId="77777777" w:rsidR="003646A0" w:rsidRPr="00F93FFA" w:rsidRDefault="003646A0" w:rsidP="00DE16D0">
      <w:pPr>
        <w:widowControl w:val="0"/>
        <w:rPr>
          <w:color w:val="000000"/>
          <w:sz w:val="22"/>
          <w:szCs w:val="22"/>
        </w:rPr>
      </w:pPr>
      <w:r w:rsidRPr="00F93FFA">
        <w:rPr>
          <w:color w:val="000000"/>
          <w:sz w:val="22"/>
          <w:szCs w:val="22"/>
        </w:rPr>
        <w:t>Abiejų I ir II fazės tyrimų metu nustatyta, kad vaikų, kaip ir suaugusiųjų, organizme išgertas imatinibas greitai absorbuojamas. Skiriant vaikams po 260 mg/m</w:t>
      </w:r>
      <w:r w:rsidRPr="00F93FFA">
        <w:rPr>
          <w:color w:val="000000"/>
          <w:sz w:val="22"/>
          <w:szCs w:val="22"/>
          <w:vertAlign w:val="superscript"/>
        </w:rPr>
        <w:t>2</w:t>
      </w:r>
      <w:r w:rsidRPr="00F93FFA">
        <w:rPr>
          <w:color w:val="000000"/>
          <w:sz w:val="22"/>
          <w:szCs w:val="22"/>
        </w:rPr>
        <w:t xml:space="preserve"> ir po 340 mg/m</w:t>
      </w:r>
      <w:r w:rsidRPr="00F93FFA">
        <w:rPr>
          <w:color w:val="000000"/>
          <w:sz w:val="22"/>
          <w:szCs w:val="22"/>
          <w:vertAlign w:val="superscript"/>
        </w:rPr>
        <w:t>2</w:t>
      </w:r>
      <w:r w:rsidRPr="00F93FFA">
        <w:rPr>
          <w:color w:val="000000"/>
          <w:sz w:val="22"/>
          <w:szCs w:val="22"/>
        </w:rPr>
        <w:t xml:space="preserve"> per parą, gauta tokia pat ekspozicija kaip ir suaugusiesiems skiriant atitinkamai po 400 mg ir 600 mg per parą. Lyginant AUC</w:t>
      </w:r>
      <w:r w:rsidRPr="00F93FFA">
        <w:rPr>
          <w:color w:val="000000"/>
          <w:sz w:val="22"/>
          <w:szCs w:val="22"/>
          <w:vertAlign w:val="subscript"/>
        </w:rPr>
        <w:t>(0-24)</w:t>
      </w:r>
      <w:r w:rsidRPr="00F93FFA">
        <w:rPr>
          <w:color w:val="000000"/>
          <w:sz w:val="22"/>
          <w:szCs w:val="22"/>
        </w:rPr>
        <w:t xml:space="preserve"> 8</w:t>
      </w:r>
      <w:r w:rsidRPr="00F93FFA">
        <w:rPr>
          <w:color w:val="000000"/>
          <w:sz w:val="22"/>
          <w:szCs w:val="22"/>
        </w:rPr>
        <w:noBreakHyphen/>
        <w:t>ąją ir 1</w:t>
      </w:r>
      <w:r w:rsidRPr="00F93FFA">
        <w:rPr>
          <w:color w:val="000000"/>
          <w:sz w:val="22"/>
          <w:szCs w:val="22"/>
        </w:rPr>
        <w:noBreakHyphen/>
        <w:t>ąją dienomis, nustatyta, kad vartojant 340 mg/m</w:t>
      </w:r>
      <w:r w:rsidRPr="00F93FFA">
        <w:rPr>
          <w:color w:val="000000"/>
          <w:sz w:val="22"/>
          <w:szCs w:val="22"/>
          <w:vertAlign w:val="superscript"/>
        </w:rPr>
        <w:t>2</w:t>
      </w:r>
      <w:r w:rsidRPr="00F93FFA">
        <w:rPr>
          <w:color w:val="000000"/>
          <w:sz w:val="22"/>
          <w:szCs w:val="22"/>
        </w:rPr>
        <w:t xml:space="preserve"> per parą dozę būna 1,7 karto didesnė </w:t>
      </w:r>
      <w:r w:rsidR="00D62405" w:rsidRPr="00F93FFA">
        <w:rPr>
          <w:color w:val="000000"/>
          <w:sz w:val="22"/>
          <w:szCs w:val="22"/>
        </w:rPr>
        <w:t xml:space="preserve">vaistinio preparato </w:t>
      </w:r>
      <w:r w:rsidRPr="00F93FFA">
        <w:rPr>
          <w:color w:val="000000"/>
          <w:sz w:val="22"/>
          <w:szCs w:val="22"/>
        </w:rPr>
        <w:t>akumuliacija po kartotinio vieną kartą per parą dozavimo.</w:t>
      </w:r>
    </w:p>
    <w:p w14:paraId="191385F8" w14:textId="77777777" w:rsidR="003646A0" w:rsidRPr="00F93FFA" w:rsidRDefault="003646A0" w:rsidP="00DE16D0">
      <w:pPr>
        <w:widowControl w:val="0"/>
        <w:rPr>
          <w:color w:val="000000"/>
          <w:sz w:val="22"/>
          <w:szCs w:val="22"/>
        </w:rPr>
      </w:pPr>
    </w:p>
    <w:p w14:paraId="1D072F52" w14:textId="77777777" w:rsidR="003646A0" w:rsidRPr="00F93FFA" w:rsidRDefault="003646A0" w:rsidP="00DE16D0">
      <w:pPr>
        <w:pStyle w:val="EndnoteText"/>
        <w:widowControl w:val="0"/>
        <w:rPr>
          <w:color w:val="000000"/>
          <w:szCs w:val="22"/>
          <w:lang w:val="lt-LT"/>
        </w:rPr>
      </w:pPr>
      <w:r w:rsidRPr="00F93FFA">
        <w:rPr>
          <w:color w:val="000000"/>
          <w:szCs w:val="22"/>
          <w:lang w:val="lt-LT"/>
        </w:rPr>
        <w:t>Remiantis apibendrinta hematologinėmis ligomis (LML, Ph+ŪLL ar kitomis imatinibu gydomomis hematologinėmis ligomis) sergančių vaikų populiacijos farmakokinetikos duomenų analize, imatinibo klirensas didėja priklausomai nuo didėjančio kūno paviršiaus ploto (KPP). Atsižvelgus į KPP poveikį, kiti demografiniai rodikliai (pvz., amžius, kūno svoris ir kūno masės indeksas) neturi kliniškai reikšmingos įtakos imatinibo ekspozicijai. Duomenų analizė patvirtino, kad imatinibo ekspozicija vaikų populiacijos pacientams, kurie vartojo po 260 mg/m</w:t>
      </w:r>
      <w:r w:rsidRPr="00F93FFA">
        <w:rPr>
          <w:color w:val="000000"/>
          <w:szCs w:val="22"/>
          <w:vertAlign w:val="superscript"/>
          <w:lang w:val="lt-LT"/>
        </w:rPr>
        <w:t>2</w:t>
      </w:r>
      <w:r w:rsidRPr="00F93FFA">
        <w:rPr>
          <w:color w:val="000000"/>
          <w:szCs w:val="22"/>
          <w:lang w:val="lt-LT"/>
        </w:rPr>
        <w:t xml:space="preserve"> dozę kartą per parą (neviršijant 400 mg kartą per parą) arba po 340 mg/m</w:t>
      </w:r>
      <w:r w:rsidRPr="00F93FFA">
        <w:rPr>
          <w:color w:val="000000"/>
          <w:szCs w:val="22"/>
          <w:vertAlign w:val="superscript"/>
          <w:lang w:val="lt-LT"/>
        </w:rPr>
        <w:t>2</w:t>
      </w:r>
      <w:r w:rsidRPr="00F93FFA">
        <w:rPr>
          <w:color w:val="000000"/>
          <w:szCs w:val="22"/>
          <w:lang w:val="lt-LT"/>
        </w:rPr>
        <w:t xml:space="preserve"> dozę kartą per parą (neviršijant 600 mg kartą per parą), buvo panaši kaip ekspozicija suaugusiųjų organizmuose, kai suaugusiesiems buvo skiriama po 400 mg arba 600 mg imatinibo dozę kartą per parą.</w:t>
      </w:r>
    </w:p>
    <w:p w14:paraId="37AF276B" w14:textId="77777777" w:rsidR="003646A0" w:rsidRPr="00F93FFA" w:rsidRDefault="003646A0" w:rsidP="00DE16D0">
      <w:pPr>
        <w:widowControl w:val="0"/>
        <w:rPr>
          <w:color w:val="000000"/>
          <w:sz w:val="22"/>
          <w:szCs w:val="22"/>
        </w:rPr>
      </w:pPr>
    </w:p>
    <w:p w14:paraId="55880A6A" w14:textId="77777777" w:rsidR="003646A0" w:rsidRPr="00F93FFA" w:rsidRDefault="003646A0" w:rsidP="00D82342">
      <w:pPr>
        <w:keepNext/>
        <w:widowControl w:val="0"/>
        <w:rPr>
          <w:color w:val="000000"/>
          <w:sz w:val="22"/>
          <w:szCs w:val="22"/>
          <w:u w:val="single"/>
        </w:rPr>
      </w:pPr>
      <w:r w:rsidRPr="00F93FFA">
        <w:rPr>
          <w:color w:val="000000"/>
          <w:sz w:val="22"/>
          <w:szCs w:val="22"/>
          <w:u w:val="single"/>
        </w:rPr>
        <w:t>Organų funkcijos nepakankamumas</w:t>
      </w:r>
    </w:p>
    <w:p w14:paraId="5F04567A" w14:textId="11E71A8E"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Pro inkstus išsiskiria nedaug imatinibo ir jo metabolitų. Atrodo, kad pacientams, kuriems yra lengvas ir vidutinio sunkumo inkstų funkcijos sutrikimas, būdinga apytikriai 1,5</w:t>
      </w:r>
      <w:r w:rsidRPr="00F93FFA">
        <w:rPr>
          <w:color w:val="000000"/>
          <w:szCs w:val="22"/>
          <w:lang w:val="lt-LT"/>
        </w:rPr>
        <w:noBreakHyphen/>
        <w:t xml:space="preserve">2 kartus didesnė ekspozicija plazmoje nei pacientams, kurių inkstų funkcija normali. Toks padidėjimas gretintinas su 1,5 karto didesniu stipriai imatinibą surišančio AGP kiekiu plazmoje. Tikriausiai laisvo imatinibo klirensas yra panašus ir </w:t>
      </w:r>
      <w:r w:rsidR="00D62405" w:rsidRPr="00F93FFA">
        <w:rPr>
          <w:color w:val="000000"/>
          <w:szCs w:val="22"/>
          <w:lang w:val="lt-LT"/>
        </w:rPr>
        <w:t xml:space="preserve">vaistinį preparatą </w:t>
      </w:r>
      <w:r w:rsidRPr="00F93FFA">
        <w:rPr>
          <w:color w:val="000000"/>
          <w:szCs w:val="22"/>
          <w:lang w:val="lt-LT"/>
        </w:rPr>
        <w:t>vartojant pacientams, kurių inkstų funkcija susilpnėjusi, ir tiems, kurių inkstų funkcija normali, nes pro inkstus išsiskiria tik nedidelė imatinibo dalis (žr. 4.2 ir 4.4</w:t>
      </w:r>
      <w:r w:rsidR="00957B98" w:rsidRPr="00F93FFA">
        <w:rPr>
          <w:color w:val="000000"/>
          <w:szCs w:val="22"/>
          <w:lang w:val="lt-LT"/>
        </w:rPr>
        <w:t> </w:t>
      </w:r>
      <w:r w:rsidRPr="00F93FFA">
        <w:rPr>
          <w:color w:val="000000"/>
          <w:szCs w:val="22"/>
          <w:lang w:val="lt-LT"/>
        </w:rPr>
        <w:t>skyrius).</w:t>
      </w:r>
    </w:p>
    <w:p w14:paraId="44767B95" w14:textId="77777777" w:rsidR="003646A0" w:rsidRPr="00F93FFA" w:rsidRDefault="003646A0" w:rsidP="00DE16D0">
      <w:pPr>
        <w:pStyle w:val="EndnoteText"/>
        <w:widowControl w:val="0"/>
        <w:tabs>
          <w:tab w:val="clear" w:pos="567"/>
        </w:tabs>
        <w:rPr>
          <w:color w:val="000000"/>
          <w:szCs w:val="22"/>
          <w:lang w:val="lt-LT"/>
        </w:rPr>
      </w:pPr>
    </w:p>
    <w:p w14:paraId="106FE73D" w14:textId="69F27500" w:rsidR="003646A0" w:rsidRPr="00F93FFA" w:rsidRDefault="003646A0" w:rsidP="00DE16D0">
      <w:pPr>
        <w:pStyle w:val="EndnoteText"/>
        <w:widowControl w:val="0"/>
        <w:tabs>
          <w:tab w:val="clear" w:pos="567"/>
        </w:tabs>
        <w:rPr>
          <w:color w:val="000000"/>
          <w:szCs w:val="22"/>
          <w:lang w:val="lt-LT"/>
        </w:rPr>
      </w:pPr>
      <w:r w:rsidRPr="00F93FFA">
        <w:rPr>
          <w:color w:val="000000"/>
          <w:szCs w:val="22"/>
          <w:lang w:val="lt-LT"/>
        </w:rPr>
        <w:t>Nors farmakokinetinės analizės duomenys parodė, kad galimi ryškūs svyravimai tarp asmenų, imatinibo ekspozicija nedidėja pacientams, kuriems yra įvairaus laipsnio kepenų nepakankamumas, lyginant su pacientais, kurių kepenų funkcija normali (žr. 4.2, 4.4 ir 4.8</w:t>
      </w:r>
      <w:r w:rsidR="00957B98" w:rsidRPr="00F93FFA">
        <w:rPr>
          <w:color w:val="000000"/>
          <w:szCs w:val="22"/>
          <w:lang w:val="lt-LT"/>
        </w:rPr>
        <w:t> </w:t>
      </w:r>
      <w:r w:rsidRPr="00F93FFA">
        <w:rPr>
          <w:color w:val="000000"/>
          <w:szCs w:val="22"/>
          <w:lang w:val="lt-LT"/>
        </w:rPr>
        <w:t>skyrius).</w:t>
      </w:r>
    </w:p>
    <w:p w14:paraId="3006B60D" w14:textId="77777777" w:rsidR="003646A0" w:rsidRPr="00F93FFA" w:rsidRDefault="003646A0" w:rsidP="00DE16D0">
      <w:pPr>
        <w:widowControl w:val="0"/>
        <w:rPr>
          <w:color w:val="000000"/>
          <w:sz w:val="22"/>
          <w:szCs w:val="22"/>
        </w:rPr>
      </w:pPr>
    </w:p>
    <w:p w14:paraId="0C82CE9E"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5.3</w:t>
      </w:r>
      <w:r w:rsidRPr="00F93FFA">
        <w:rPr>
          <w:b/>
          <w:color w:val="000000"/>
          <w:sz w:val="22"/>
          <w:szCs w:val="22"/>
        </w:rPr>
        <w:tab/>
        <w:t>Ikiklinikinių saugumo tyrimų duomenys</w:t>
      </w:r>
    </w:p>
    <w:p w14:paraId="113D383A" w14:textId="77777777" w:rsidR="003646A0" w:rsidRPr="00F93FFA" w:rsidRDefault="003646A0" w:rsidP="00D82342">
      <w:pPr>
        <w:keepNext/>
        <w:widowControl w:val="0"/>
        <w:ind w:left="567" w:hanging="567"/>
        <w:rPr>
          <w:color w:val="000000"/>
          <w:sz w:val="22"/>
          <w:szCs w:val="22"/>
        </w:rPr>
      </w:pPr>
    </w:p>
    <w:p w14:paraId="74A2BEB7" w14:textId="77777777" w:rsidR="003646A0" w:rsidRPr="00F93FFA" w:rsidRDefault="003646A0" w:rsidP="00DE16D0">
      <w:pPr>
        <w:widowControl w:val="0"/>
        <w:rPr>
          <w:color w:val="000000"/>
          <w:sz w:val="22"/>
          <w:szCs w:val="22"/>
        </w:rPr>
      </w:pPr>
      <w:r w:rsidRPr="00F93FFA">
        <w:rPr>
          <w:color w:val="000000"/>
          <w:sz w:val="22"/>
          <w:szCs w:val="22"/>
        </w:rPr>
        <w:t>Ikiklinikinis imatinibo saugumo pobūdis įvertintas žiurkėms, šunims, beždžionėms ir triušiams.</w:t>
      </w:r>
    </w:p>
    <w:p w14:paraId="227B74C8" w14:textId="77777777" w:rsidR="003646A0" w:rsidRPr="00F93FFA" w:rsidRDefault="003646A0" w:rsidP="00DE16D0">
      <w:pPr>
        <w:widowControl w:val="0"/>
        <w:rPr>
          <w:color w:val="000000"/>
          <w:sz w:val="22"/>
          <w:szCs w:val="22"/>
        </w:rPr>
      </w:pPr>
    </w:p>
    <w:p w14:paraId="753BF1B2" w14:textId="77777777" w:rsidR="003646A0" w:rsidRPr="00F93FFA" w:rsidRDefault="003646A0" w:rsidP="00DE16D0">
      <w:pPr>
        <w:widowControl w:val="0"/>
        <w:rPr>
          <w:color w:val="000000"/>
          <w:sz w:val="22"/>
          <w:szCs w:val="22"/>
        </w:rPr>
      </w:pPr>
      <w:r w:rsidRPr="00F93FFA">
        <w:rPr>
          <w:color w:val="000000"/>
          <w:sz w:val="22"/>
          <w:szCs w:val="22"/>
        </w:rPr>
        <w:t>Kartotinių dozių toksiškumo tyrimai atskleidė nesunkių ar vidutinio sunkumo hematologinių pokyčių žiurkėms, šunims ir beždžionėms bei kaulų čiulpų pokyčių žiurkėms ir šunims.</w:t>
      </w:r>
    </w:p>
    <w:p w14:paraId="17B44017" w14:textId="77777777" w:rsidR="003646A0" w:rsidRPr="00F93FFA" w:rsidRDefault="003646A0" w:rsidP="00DE16D0">
      <w:pPr>
        <w:widowControl w:val="0"/>
        <w:rPr>
          <w:color w:val="000000"/>
          <w:sz w:val="22"/>
          <w:szCs w:val="22"/>
        </w:rPr>
      </w:pPr>
    </w:p>
    <w:p w14:paraId="790B60BC" w14:textId="77777777" w:rsidR="003646A0" w:rsidRPr="00F93FFA" w:rsidRDefault="003646A0" w:rsidP="00DE16D0">
      <w:pPr>
        <w:widowControl w:val="0"/>
        <w:rPr>
          <w:color w:val="000000"/>
          <w:sz w:val="22"/>
          <w:szCs w:val="22"/>
        </w:rPr>
      </w:pPr>
      <w:r w:rsidRPr="00F93FFA">
        <w:rPr>
          <w:color w:val="000000"/>
          <w:sz w:val="22"/>
          <w:szCs w:val="22"/>
        </w:rPr>
        <w:t>Kepenys buvo žiurkių ir šunų organas taikinys. Abiejų rūšių gyvūnams stebėta neryškiai ar vidutiniškai padidėjusi transaminazių koncentracija ir šiek tiek sumažėjusi cholesterolio, trigliceridų, bendrojo baltymo ir albumino koncentracija. Jokių histopatologinių žiurkių kepenų pokyčių nenustatyta. Šunims, gydytiems 2 savaites, stebėtas sunkus kepenų toksiškumas, pasireiškęs padidėjusia kepenų fermentų koncentracija, kepenų ląstelių ir tulžies latakų nekroze bei tulžies latakų hiperplazija.</w:t>
      </w:r>
    </w:p>
    <w:p w14:paraId="448AF6D8" w14:textId="77777777" w:rsidR="003646A0" w:rsidRPr="00F93FFA" w:rsidRDefault="003646A0" w:rsidP="00DE16D0">
      <w:pPr>
        <w:widowControl w:val="0"/>
        <w:rPr>
          <w:color w:val="000000"/>
          <w:sz w:val="22"/>
          <w:szCs w:val="22"/>
        </w:rPr>
      </w:pPr>
    </w:p>
    <w:p w14:paraId="222CA1B3" w14:textId="77777777" w:rsidR="003646A0" w:rsidRPr="00F93FFA" w:rsidRDefault="003646A0" w:rsidP="00DE16D0">
      <w:pPr>
        <w:widowControl w:val="0"/>
        <w:rPr>
          <w:color w:val="000000"/>
          <w:sz w:val="22"/>
          <w:szCs w:val="22"/>
        </w:rPr>
      </w:pPr>
      <w:r w:rsidRPr="00F93FFA">
        <w:rPr>
          <w:color w:val="000000"/>
          <w:sz w:val="22"/>
          <w:szCs w:val="22"/>
        </w:rPr>
        <w:t xml:space="preserve">Beždžionėms, gydytoms 2 savaites, stebėtas inkstų toksiškumas su židinine mineralizacija ir inkstų kanalėlių dilatacija bei tubuline nefroze. Kelioms beždžionėms nustatyta padidėjusi šlapalo azoto ir kreatinino koncentracija kraujyje. 13 savaičių tyrimų metu, žiurkėms, gavusioms </w:t>
      </w:r>
      <w:r w:rsidRPr="00F93FFA">
        <w:rPr>
          <w:color w:val="000000"/>
          <w:sz w:val="22"/>
          <w:szCs w:val="22"/>
        </w:rPr>
        <w:sym w:font="Symbol" w:char="F0B3"/>
      </w:r>
      <w:r w:rsidRPr="00F93FFA">
        <w:rPr>
          <w:color w:val="000000"/>
          <w:sz w:val="22"/>
          <w:szCs w:val="22"/>
        </w:rPr>
        <w:t xml:space="preserve"> 6 mg/kg dozę, stebėta inkstų spenelių ir šlapimo pūslės pereinamojo epitelio hiperplazija be serumo ar šlapimo </w:t>
      </w:r>
      <w:r w:rsidRPr="00F93FFA">
        <w:rPr>
          <w:color w:val="000000"/>
          <w:sz w:val="22"/>
          <w:szCs w:val="22"/>
        </w:rPr>
        <w:lastRenderedPageBreak/>
        <w:t>rodiklių pokyčių. Ilgai gydomiems imatinibu gyvūnams stebėtas padidėjęs oportunistinių infekcijų dažnis.</w:t>
      </w:r>
    </w:p>
    <w:p w14:paraId="254412B7" w14:textId="77777777" w:rsidR="003646A0" w:rsidRPr="00F93FFA" w:rsidRDefault="003646A0" w:rsidP="00DE16D0">
      <w:pPr>
        <w:widowControl w:val="0"/>
        <w:rPr>
          <w:color w:val="000000"/>
          <w:sz w:val="22"/>
          <w:szCs w:val="22"/>
        </w:rPr>
      </w:pPr>
    </w:p>
    <w:p w14:paraId="3F8EC348" w14:textId="77777777" w:rsidR="003646A0" w:rsidRPr="00F93FFA" w:rsidRDefault="003646A0" w:rsidP="00DE16D0">
      <w:pPr>
        <w:widowControl w:val="0"/>
        <w:rPr>
          <w:color w:val="000000"/>
          <w:sz w:val="22"/>
          <w:szCs w:val="22"/>
        </w:rPr>
      </w:pPr>
      <w:r w:rsidRPr="00F93FFA">
        <w:rPr>
          <w:color w:val="000000"/>
          <w:sz w:val="22"/>
          <w:szCs w:val="22"/>
        </w:rPr>
        <w:t>39 savaičių tyrimo metu beždžionėms, gavusioms mažiausią 15 mg/kg dozę, vidutiniškai trečdalį didžiausios 800 mg žmogaus dozės pagal kūno paviršiaus plotą, jokio NNPL (nepastebimo nepageidaujamo poveikio lygmens) nenustatyta. Gydymas pablogino šių gyvūnų normaliai slopinamą maliarijos infekciją.</w:t>
      </w:r>
    </w:p>
    <w:p w14:paraId="62E681F6" w14:textId="77777777" w:rsidR="003646A0" w:rsidRPr="00F93FFA" w:rsidRDefault="003646A0" w:rsidP="00DE16D0">
      <w:pPr>
        <w:widowControl w:val="0"/>
        <w:rPr>
          <w:color w:val="000000"/>
          <w:sz w:val="22"/>
          <w:szCs w:val="22"/>
        </w:rPr>
      </w:pPr>
    </w:p>
    <w:p w14:paraId="4014AE48" w14:textId="77777777" w:rsidR="003646A0" w:rsidRPr="00F93FFA" w:rsidRDefault="003646A0" w:rsidP="00DE16D0">
      <w:pPr>
        <w:widowControl w:val="0"/>
        <w:rPr>
          <w:color w:val="000000"/>
          <w:sz w:val="22"/>
          <w:szCs w:val="22"/>
        </w:rPr>
      </w:pPr>
      <w:r w:rsidRPr="00F93FFA">
        <w:rPr>
          <w:color w:val="000000"/>
          <w:sz w:val="22"/>
          <w:szCs w:val="22"/>
        </w:rPr>
        <w:t xml:space="preserve">Imatinibas nebuvo genotoksiškas </w:t>
      </w:r>
      <w:r w:rsidRPr="00F93FFA">
        <w:rPr>
          <w:i/>
          <w:color w:val="000000"/>
          <w:sz w:val="22"/>
          <w:szCs w:val="22"/>
        </w:rPr>
        <w:t>in vitro</w:t>
      </w:r>
      <w:r w:rsidRPr="00F93FFA">
        <w:rPr>
          <w:color w:val="000000"/>
          <w:sz w:val="22"/>
          <w:szCs w:val="22"/>
        </w:rPr>
        <w:t xml:space="preserve"> atliekant bakterijų ląstelių testus (Ames testus), </w:t>
      </w:r>
      <w:r w:rsidRPr="00F93FFA">
        <w:rPr>
          <w:i/>
          <w:color w:val="000000"/>
          <w:sz w:val="22"/>
          <w:szCs w:val="22"/>
        </w:rPr>
        <w:t>in vitro</w:t>
      </w:r>
      <w:r w:rsidRPr="00F93FFA">
        <w:rPr>
          <w:color w:val="000000"/>
          <w:sz w:val="22"/>
          <w:szCs w:val="22"/>
        </w:rPr>
        <w:t xml:space="preserve"> žinduolių ląstelių tyrimus (pelių limfomos) ir </w:t>
      </w:r>
      <w:r w:rsidRPr="00F93FFA">
        <w:rPr>
          <w:i/>
          <w:color w:val="000000"/>
          <w:sz w:val="22"/>
          <w:szCs w:val="22"/>
        </w:rPr>
        <w:t>in vivo</w:t>
      </w:r>
      <w:r w:rsidRPr="00F93FFA">
        <w:rPr>
          <w:color w:val="000000"/>
          <w:sz w:val="22"/>
          <w:szCs w:val="22"/>
        </w:rPr>
        <w:t xml:space="preserve"> žiurkių mikrobranduolių testus. Teigiamas imatinibo genotoksinis poveikis stebėtas atliekant </w:t>
      </w:r>
      <w:r w:rsidRPr="00F93FFA">
        <w:rPr>
          <w:i/>
          <w:color w:val="000000"/>
          <w:sz w:val="22"/>
          <w:szCs w:val="22"/>
        </w:rPr>
        <w:t>in vitro</w:t>
      </w:r>
      <w:r w:rsidRPr="00F93FFA">
        <w:rPr>
          <w:color w:val="000000"/>
          <w:sz w:val="22"/>
          <w:szCs w:val="22"/>
        </w:rPr>
        <w:t xml:space="preserve"> žinduolių ląstelių (kinietiškųjų žiurkėnų kiaušidžių) tyrimus klastogeniškumui (chromosomų aberacijoms) nustatyti, kai buvo metabolinis aktyvinimas. Du gamybos proceso tarpiniai produktai, kurių yra ir galutiniame produkte, taip pat veikė mutageniškai Ames testų metu. Vienas šių tarpinių produktų buvo teigiamas pelių limfomos tyrimų metu.</w:t>
      </w:r>
    </w:p>
    <w:p w14:paraId="746ED9EB" w14:textId="77777777" w:rsidR="003646A0" w:rsidRPr="00F93FFA" w:rsidRDefault="003646A0" w:rsidP="00DE16D0">
      <w:pPr>
        <w:widowControl w:val="0"/>
        <w:rPr>
          <w:color w:val="000000"/>
          <w:sz w:val="22"/>
          <w:szCs w:val="22"/>
        </w:rPr>
      </w:pPr>
    </w:p>
    <w:p w14:paraId="5BAAFD70" w14:textId="77777777" w:rsidR="003646A0" w:rsidRPr="00F93FFA" w:rsidRDefault="003646A0" w:rsidP="00DE16D0">
      <w:pPr>
        <w:widowControl w:val="0"/>
        <w:rPr>
          <w:color w:val="000000"/>
          <w:sz w:val="22"/>
          <w:szCs w:val="22"/>
        </w:rPr>
      </w:pPr>
      <w:r w:rsidRPr="00F93FFA">
        <w:rPr>
          <w:color w:val="000000"/>
          <w:sz w:val="22"/>
          <w:szCs w:val="22"/>
        </w:rPr>
        <w:t xml:space="preserve">Tiriant vaisingumą nustatyta, kad žiurkių patinų, prieš poravimąsi 70 dienų gavusių </w:t>
      </w:r>
      <w:r w:rsidR="00D62405" w:rsidRPr="00F93FFA">
        <w:rPr>
          <w:color w:val="000000"/>
          <w:sz w:val="22"/>
          <w:szCs w:val="22"/>
        </w:rPr>
        <w:t>vaistinio preparato</w:t>
      </w:r>
      <w:r w:rsidRPr="00F93FFA">
        <w:rPr>
          <w:color w:val="000000"/>
          <w:sz w:val="22"/>
          <w:szCs w:val="22"/>
        </w:rPr>
        <w:t xml:space="preserve">, sėklidžių ir sėklidžių prielipo svoris bei judrių spermijų procentas sumažėjo po 60 mg/kg dozės, kuri atitinka didžiausią klinikinę 800 mg per parą dozę, apskaičiuotą pagal kūno paviršiaus plotą. Šito nestebėta vartojant ≤ 20 mg/kg dozę. Neryškiai ir vidutiniškai sumažėjusi spermatogenezė taip pat nustatyta šunims, gavusiems </w:t>
      </w:r>
      <w:r w:rsidRPr="00F93FFA">
        <w:rPr>
          <w:color w:val="000000"/>
          <w:sz w:val="22"/>
          <w:szCs w:val="22"/>
        </w:rPr>
        <w:sym w:font="Symbol" w:char="F0B3"/>
      </w:r>
      <w:r w:rsidRPr="00F93FFA">
        <w:rPr>
          <w:color w:val="000000"/>
          <w:sz w:val="22"/>
          <w:szCs w:val="22"/>
        </w:rPr>
        <w:t> 30 mg/kg geriamąją dozę. 14 dienų prieš poravimąsi ir iki 6</w:t>
      </w:r>
      <w:r w:rsidRPr="00F93FFA">
        <w:rPr>
          <w:color w:val="000000"/>
          <w:sz w:val="22"/>
          <w:szCs w:val="22"/>
        </w:rPr>
        <w:noBreakHyphen/>
        <w:t xml:space="preserve">osios nėštumo dienos žiurkių patelėms duodant </w:t>
      </w:r>
      <w:r w:rsidR="00D62405" w:rsidRPr="00F93FFA">
        <w:rPr>
          <w:color w:val="000000"/>
          <w:sz w:val="22"/>
          <w:szCs w:val="22"/>
        </w:rPr>
        <w:t>vaistinio preparato</w:t>
      </w:r>
      <w:r w:rsidRPr="00F93FFA">
        <w:rPr>
          <w:color w:val="000000"/>
          <w:sz w:val="22"/>
          <w:szCs w:val="22"/>
        </w:rPr>
        <w:t>, poveikio poravimuisi ir nėščių patelių skaičiui nenustatyta, o duodant 60 mg/kg dozę, ryškiai padaugėjo poimplantacinių vaisių netekimų ir sumažėjo gyvų vaisių skaičius. Šių reiškinių nestebėta skiriant ≤ 20 mg/kg dozę.</w:t>
      </w:r>
    </w:p>
    <w:p w14:paraId="49C98F46" w14:textId="77777777" w:rsidR="003646A0" w:rsidRPr="00F93FFA" w:rsidRDefault="003646A0" w:rsidP="00DE16D0">
      <w:pPr>
        <w:widowControl w:val="0"/>
        <w:rPr>
          <w:color w:val="000000"/>
          <w:sz w:val="22"/>
          <w:szCs w:val="22"/>
        </w:rPr>
      </w:pPr>
    </w:p>
    <w:p w14:paraId="548A453F" w14:textId="77777777" w:rsidR="003646A0" w:rsidRPr="00F93FFA" w:rsidRDefault="003646A0" w:rsidP="00DE16D0">
      <w:pPr>
        <w:widowControl w:val="0"/>
        <w:rPr>
          <w:color w:val="000000"/>
          <w:sz w:val="22"/>
          <w:szCs w:val="22"/>
        </w:rPr>
      </w:pPr>
      <w:r w:rsidRPr="00F93FFA">
        <w:rPr>
          <w:color w:val="000000"/>
          <w:sz w:val="22"/>
          <w:szCs w:val="22"/>
        </w:rPr>
        <w:t xml:space="preserve">Geriamojo </w:t>
      </w:r>
      <w:r w:rsidR="00D62405" w:rsidRPr="00F93FFA">
        <w:rPr>
          <w:color w:val="000000"/>
          <w:sz w:val="22"/>
          <w:szCs w:val="22"/>
        </w:rPr>
        <w:t xml:space="preserve">vaistinio preparato </w:t>
      </w:r>
      <w:r w:rsidRPr="00F93FFA">
        <w:rPr>
          <w:color w:val="000000"/>
          <w:sz w:val="22"/>
          <w:szCs w:val="22"/>
        </w:rPr>
        <w:t>prenatalinės ir ponatalinės raidos tyrimų metu žiurkėms, gaunančioms 45 mg/kg per parą, 14</w:t>
      </w:r>
      <w:r w:rsidRPr="00F93FFA">
        <w:rPr>
          <w:color w:val="000000"/>
          <w:sz w:val="22"/>
          <w:szCs w:val="22"/>
        </w:rPr>
        <w:noBreakHyphen/>
        <w:t>ąją ar 15</w:t>
      </w:r>
      <w:r w:rsidRPr="00F93FFA">
        <w:rPr>
          <w:color w:val="000000"/>
          <w:sz w:val="22"/>
          <w:szCs w:val="22"/>
        </w:rPr>
        <w:noBreakHyphen/>
        <w:t>ąją nėštumo dieną stebėta raudonų išskyrų iš makšties. Duodant tą pačią dozę, nustatyta, kad padidėja negyvagimių ir 0–4 dienomis žuvusių palikuonių skaičius. F</w:t>
      </w:r>
      <w:r w:rsidRPr="00F93FFA">
        <w:rPr>
          <w:color w:val="000000"/>
          <w:sz w:val="22"/>
          <w:szCs w:val="22"/>
          <w:vertAlign w:val="subscript"/>
        </w:rPr>
        <w:t>1</w:t>
      </w:r>
      <w:r w:rsidRPr="00F93FFA">
        <w:rPr>
          <w:color w:val="000000"/>
          <w:sz w:val="22"/>
          <w:szCs w:val="22"/>
        </w:rPr>
        <w:t xml:space="preserve"> palikuonims, duodant tą pačią dozę, vidutinis kūno svoris buvo mažesnis nuo gimimo iki galutinio gyvavimo laiko ir šiek tiek mažesnis buvo jauniklių, pasiekusių apyvarpės atsiskyrimo kriterijus, skaičius. Kai buvo duodama 45 mg/kg per parą dozė, F</w:t>
      </w:r>
      <w:r w:rsidRPr="00F93FFA">
        <w:rPr>
          <w:color w:val="000000"/>
          <w:sz w:val="22"/>
          <w:szCs w:val="22"/>
          <w:vertAlign w:val="subscript"/>
        </w:rPr>
        <w:t>1</w:t>
      </w:r>
      <w:r w:rsidRPr="00F93FFA">
        <w:rPr>
          <w:color w:val="000000"/>
          <w:sz w:val="22"/>
          <w:szCs w:val="22"/>
        </w:rPr>
        <w:t xml:space="preserve"> vaisingumas buvo nepakitęs, o rezorbcijų skaičius padidėjo bei gyvybingų vaisių skaičius sumažėjo. Nepastebimo poveikio lygmens (NPL) dozė, gyvūnų tėvams ir F</w:t>
      </w:r>
      <w:r w:rsidRPr="00F93FFA">
        <w:rPr>
          <w:color w:val="000000"/>
          <w:sz w:val="22"/>
          <w:szCs w:val="22"/>
          <w:vertAlign w:val="subscript"/>
        </w:rPr>
        <w:t>1</w:t>
      </w:r>
      <w:r w:rsidRPr="00F93FFA">
        <w:rPr>
          <w:color w:val="000000"/>
          <w:sz w:val="22"/>
          <w:szCs w:val="22"/>
        </w:rPr>
        <w:t xml:space="preserve"> generacijai, buvo 15 mg/kg per parą (ketvirtis didžiausios žmogaus 800 mg dozės).</w:t>
      </w:r>
    </w:p>
    <w:p w14:paraId="578F7367" w14:textId="77777777" w:rsidR="003646A0" w:rsidRPr="00F93FFA" w:rsidRDefault="003646A0" w:rsidP="00DE16D0">
      <w:pPr>
        <w:widowControl w:val="0"/>
        <w:ind w:left="567" w:hanging="567"/>
        <w:rPr>
          <w:color w:val="000000"/>
          <w:sz w:val="22"/>
          <w:szCs w:val="22"/>
        </w:rPr>
      </w:pPr>
    </w:p>
    <w:p w14:paraId="354B1760" w14:textId="77777777" w:rsidR="003646A0" w:rsidRPr="00F93FFA" w:rsidRDefault="003646A0" w:rsidP="00DE16D0">
      <w:pPr>
        <w:widowControl w:val="0"/>
        <w:rPr>
          <w:color w:val="000000"/>
          <w:sz w:val="22"/>
          <w:szCs w:val="22"/>
        </w:rPr>
      </w:pPr>
      <w:r w:rsidRPr="00F93FFA">
        <w:rPr>
          <w:color w:val="000000"/>
          <w:sz w:val="22"/>
          <w:szCs w:val="22"/>
        </w:rPr>
        <w:t>Imatinibas, kurio organogenezės laikotarpiu buvo skiriama ≥ 100 mg/kg (maždaug atitinka pagal kūno paviršiaus plotą apskaičiuotą didžiausią klinikinę 800 mg per parą dozę), buvo teratogeniškas žiurkėms. Teratogeninis poveikis pasireiškė eksencefalija ar encefalocele, kaktikaulio nebuvimu ar sumažėjimu ir momenkaulio nebuvimu. Šių reiškinių nestebėta, kai dozė buvo ≤ 30 mg/kg.</w:t>
      </w:r>
    </w:p>
    <w:p w14:paraId="1CCC995D" w14:textId="77777777" w:rsidR="001225E8" w:rsidRPr="00F93FFA" w:rsidRDefault="001225E8" w:rsidP="00DE16D0">
      <w:pPr>
        <w:pStyle w:val="Text"/>
        <w:widowControl w:val="0"/>
        <w:spacing w:before="0"/>
        <w:jc w:val="left"/>
        <w:rPr>
          <w:color w:val="000000"/>
          <w:sz w:val="22"/>
          <w:szCs w:val="22"/>
          <w:lang w:val="lt-LT"/>
        </w:rPr>
      </w:pPr>
    </w:p>
    <w:p w14:paraId="7024564E" w14:textId="77777777" w:rsidR="003646A0" w:rsidRPr="00F93FFA" w:rsidRDefault="001225E8" w:rsidP="00DE16D0">
      <w:pPr>
        <w:pStyle w:val="Text"/>
        <w:widowControl w:val="0"/>
        <w:spacing w:before="0"/>
        <w:jc w:val="left"/>
        <w:rPr>
          <w:color w:val="000000"/>
          <w:sz w:val="22"/>
          <w:szCs w:val="22"/>
          <w:lang w:val="lt-LT"/>
        </w:rPr>
      </w:pPr>
      <w:r w:rsidRPr="00F93FFA">
        <w:rPr>
          <w:color w:val="000000"/>
          <w:sz w:val="22"/>
          <w:szCs w:val="22"/>
          <w:lang w:val="lt-LT"/>
        </w:rPr>
        <w:t>Toksinio poveikio vystimuisi tyrimo, atlikto su žiurkių jaunikliais, metu (</w:t>
      </w:r>
      <w:r w:rsidR="00C42121" w:rsidRPr="00F93FFA">
        <w:rPr>
          <w:color w:val="000000"/>
          <w:sz w:val="22"/>
          <w:szCs w:val="22"/>
          <w:lang w:val="lt-LT"/>
        </w:rPr>
        <w:t xml:space="preserve">vaistinio </w:t>
      </w:r>
      <w:r w:rsidRPr="00F93FFA">
        <w:rPr>
          <w:color w:val="000000"/>
          <w:sz w:val="22"/>
          <w:szCs w:val="22"/>
          <w:lang w:val="lt-LT"/>
        </w:rPr>
        <w:t xml:space="preserve">preparato skiriant nuo 10-osios iki 70-osios dienos po atsivedimo) naujų organų taikinių nenustatyta, lyginant su žinomais organais taikiniais suaugusioms žiurkėms. Toksinio poveikio jauniklių vystimuisi tyrimo metu poveikis augimui, vėlesniam makšties angos atsidarymui ir apyvarpės atsiskyrimui pastebėtas esant tokiai </w:t>
      </w:r>
      <w:r w:rsidR="00C42121" w:rsidRPr="00F93FFA">
        <w:rPr>
          <w:color w:val="000000"/>
          <w:sz w:val="22"/>
          <w:szCs w:val="22"/>
          <w:lang w:val="lt-LT"/>
        </w:rPr>
        <w:t xml:space="preserve">vaistinio </w:t>
      </w:r>
      <w:r w:rsidRPr="00F93FFA">
        <w:rPr>
          <w:color w:val="000000"/>
          <w:sz w:val="22"/>
          <w:szCs w:val="22"/>
          <w:lang w:val="lt-LT"/>
        </w:rPr>
        <w:t>preparato ekspozicijai, kuri maždaug 0,3</w:t>
      </w:r>
      <w:r w:rsidRPr="00F93FFA">
        <w:rPr>
          <w:color w:val="000000"/>
          <w:sz w:val="22"/>
          <w:szCs w:val="22"/>
          <w:lang w:val="lt-LT"/>
        </w:rPr>
        <w:noBreakHyphen/>
        <w:t>2 kartus viršija vidutinę ekspoziciją vaikų populiacijoje skiriant didžiausią rekomenduojamą 340 mg/m</w:t>
      </w:r>
      <w:r w:rsidRPr="00F93FFA">
        <w:rPr>
          <w:color w:val="000000"/>
          <w:sz w:val="22"/>
          <w:szCs w:val="22"/>
          <w:vertAlign w:val="superscript"/>
          <w:lang w:val="lt-LT"/>
        </w:rPr>
        <w:t>2</w:t>
      </w:r>
      <w:r w:rsidRPr="00F93FFA">
        <w:rPr>
          <w:color w:val="000000"/>
          <w:sz w:val="22"/>
          <w:szCs w:val="22"/>
          <w:lang w:val="lt-LT"/>
        </w:rPr>
        <w:t xml:space="preserve"> kūno paviršiaus dozę. Be to, pastebėta gyvūnų jauniklių kritimo atvejų (maždaug nujunkymo fazėje) esant tokiai</w:t>
      </w:r>
      <w:r w:rsidR="00C42121" w:rsidRPr="00F93FFA">
        <w:rPr>
          <w:color w:val="000000"/>
          <w:sz w:val="22"/>
          <w:szCs w:val="22"/>
          <w:lang w:val="lt-LT"/>
        </w:rPr>
        <w:t xml:space="preserve"> vaistinio</w:t>
      </w:r>
      <w:r w:rsidRPr="00F93FFA">
        <w:rPr>
          <w:color w:val="000000"/>
          <w:sz w:val="22"/>
          <w:szCs w:val="22"/>
          <w:lang w:val="lt-LT"/>
        </w:rPr>
        <w:t xml:space="preserve"> preparato ekspozicijai, kuri maždaug 2 kartus viršija vidutinę ekspoziciją vaikų populiacijoje skiriant didžiausią rekomenduojamą 340 mg/m</w:t>
      </w:r>
      <w:r w:rsidRPr="00F93FFA">
        <w:rPr>
          <w:color w:val="000000"/>
          <w:sz w:val="22"/>
          <w:szCs w:val="22"/>
          <w:vertAlign w:val="superscript"/>
          <w:lang w:val="lt-LT"/>
        </w:rPr>
        <w:t>2</w:t>
      </w:r>
      <w:r w:rsidRPr="00F93FFA">
        <w:rPr>
          <w:color w:val="000000"/>
          <w:sz w:val="22"/>
          <w:szCs w:val="22"/>
          <w:lang w:val="lt-LT"/>
        </w:rPr>
        <w:t xml:space="preserve"> kūno paviršiaus dozę.</w:t>
      </w:r>
    </w:p>
    <w:p w14:paraId="3D0FE027" w14:textId="77777777" w:rsidR="001225E8" w:rsidRPr="00F93FFA" w:rsidRDefault="001225E8" w:rsidP="00DE16D0">
      <w:pPr>
        <w:widowControl w:val="0"/>
        <w:rPr>
          <w:color w:val="000000"/>
          <w:sz w:val="22"/>
          <w:szCs w:val="22"/>
        </w:rPr>
      </w:pPr>
    </w:p>
    <w:p w14:paraId="25170EB6" w14:textId="77777777" w:rsidR="003646A0" w:rsidRPr="00F93FFA" w:rsidRDefault="003646A0" w:rsidP="00DE16D0">
      <w:pPr>
        <w:widowControl w:val="0"/>
        <w:rPr>
          <w:color w:val="000000"/>
          <w:sz w:val="22"/>
          <w:szCs w:val="22"/>
        </w:rPr>
      </w:pPr>
      <w:r w:rsidRPr="00F93FFA">
        <w:rPr>
          <w:color w:val="000000"/>
          <w:sz w:val="22"/>
          <w:szCs w:val="22"/>
        </w:rPr>
        <w:t>Dviejų metų kancerogeniškumo tyrimų su žiurkėmis, gavusiomis 15 mg/kg, 30 mg/kg ir 60 mg/kg per parą imatinibo dozę, metu statistiškai reikšmingai sumažėjo patinų, gavusių 60 mg/kg per parą, ir patelių, gavusių ≥ 30 mg/kg per parą, gyvenimo trukmė. Kritusių gyvūnėlių histopatologinių tyrimų metu nustatytos pagrindinės gyvūnėlių žūties ar jų užmigdymo priežastys buvo: kardiomiopatija (abiems lytims), lėtinė progresuojanti nefropatija (patelėms) ir apyvarpės liaukų papiloma. Neoplastinis procesas pažeidė inkstus, šlapimo pūslę, šlaplę, apyvarpės ir varputės liaukas, plonąjį žarnyną, prieskydines liaukas, antinksčius ir ne liaukinę skrandžio dalį.</w:t>
      </w:r>
    </w:p>
    <w:p w14:paraId="009C2E18" w14:textId="77777777" w:rsidR="003646A0" w:rsidRPr="00F93FFA" w:rsidRDefault="003646A0" w:rsidP="00DE16D0">
      <w:pPr>
        <w:widowControl w:val="0"/>
        <w:rPr>
          <w:color w:val="000000"/>
          <w:sz w:val="22"/>
          <w:szCs w:val="22"/>
        </w:rPr>
      </w:pPr>
    </w:p>
    <w:p w14:paraId="02A0F742" w14:textId="77777777" w:rsidR="003646A0" w:rsidRPr="00F93FFA" w:rsidRDefault="003646A0" w:rsidP="00DE16D0">
      <w:pPr>
        <w:widowControl w:val="0"/>
        <w:rPr>
          <w:bCs/>
          <w:color w:val="000000"/>
          <w:sz w:val="22"/>
          <w:szCs w:val="22"/>
        </w:rPr>
      </w:pPr>
      <w:r w:rsidRPr="00F93FFA">
        <w:rPr>
          <w:color w:val="000000"/>
          <w:sz w:val="22"/>
          <w:szCs w:val="22"/>
        </w:rPr>
        <w:t>Apyvarpės ar varputės liaukų papilomos ar karcinomos stebėtos žiurkėms, kurios gavo nuo 30 mg/kg per parą dozę į priekį kas yra maždaug 0,5 arba 0,3 kartus didesnė ekspozicija (pagal AUC) negu žmonėms vartojant 400 mg arba 800 mg per parą atitinkamai ir 0,4 karto didesnė ekspozicija vaikams (pagal AUC) vartojant 340 mg/m² per parą. Nepastebimo poveikio lygmens (NPL) dozė buvo 15 mg/kg per parą. Inkstų adenoma ar karcinoma, šlapimo pūslės ir šlaplės papiloma,</w:t>
      </w:r>
      <w:r w:rsidRPr="00F93FFA">
        <w:rPr>
          <w:bCs/>
          <w:color w:val="000000"/>
          <w:sz w:val="22"/>
          <w:szCs w:val="22"/>
        </w:rPr>
        <w:t xml:space="preserve"> plonojo žarnyno adenokarcinoma, prieskydinių liaukų adenoma, gėrybiniai ir piktybiniai antinksčių šerdinės dalies navikai bei ne liaukinės skrandžio dalies papiloma ar karcinoma </w:t>
      </w:r>
      <w:r w:rsidRPr="00F93FFA">
        <w:rPr>
          <w:color w:val="000000"/>
          <w:sz w:val="22"/>
          <w:szCs w:val="22"/>
        </w:rPr>
        <w:t>stebėtos duodant 60 mg/kg per parą dozę kas yra maždaug 1,7 arba 1 kartus didesnė ekspozicija (pagal AUC) negu žmonėms vartojant 400 mg arba 800 mg per parą atitinkamai ir 1,2 karto didesnė ekspozicija vaikams (pagal AUC) vartojant 340 mg/m² per parą</w:t>
      </w:r>
      <w:r w:rsidRPr="00F93FFA">
        <w:rPr>
          <w:bCs/>
          <w:color w:val="000000"/>
          <w:sz w:val="22"/>
          <w:szCs w:val="22"/>
        </w:rPr>
        <w:t>. Nepastebimo poveikio lygmens (NPL) dozė buvo 30 mg/kg per parą.</w:t>
      </w:r>
    </w:p>
    <w:p w14:paraId="743A5CB7" w14:textId="77777777" w:rsidR="003646A0" w:rsidRPr="00F93FFA" w:rsidRDefault="003646A0" w:rsidP="00DE16D0">
      <w:pPr>
        <w:widowControl w:val="0"/>
        <w:rPr>
          <w:bCs/>
          <w:color w:val="000000"/>
          <w:sz w:val="22"/>
          <w:szCs w:val="22"/>
        </w:rPr>
      </w:pPr>
    </w:p>
    <w:p w14:paraId="7E03D797" w14:textId="77777777" w:rsidR="003646A0" w:rsidRPr="00F93FFA" w:rsidRDefault="003646A0" w:rsidP="00DE16D0">
      <w:pPr>
        <w:widowControl w:val="0"/>
        <w:rPr>
          <w:color w:val="000000"/>
          <w:sz w:val="22"/>
          <w:szCs w:val="22"/>
        </w:rPr>
      </w:pPr>
      <w:r w:rsidRPr="00F93FFA">
        <w:rPr>
          <w:color w:val="000000"/>
          <w:sz w:val="22"/>
          <w:szCs w:val="22"/>
        </w:rPr>
        <w:t>Šių žiurkių kancerogeniškumo tyrimų radinių reikšmė ir mechanizmas žmonėms dar neaiškus.</w:t>
      </w:r>
    </w:p>
    <w:p w14:paraId="7472BE27" w14:textId="77777777" w:rsidR="003646A0" w:rsidRPr="00F93FFA" w:rsidRDefault="003646A0" w:rsidP="00DE16D0">
      <w:pPr>
        <w:widowControl w:val="0"/>
        <w:rPr>
          <w:bCs/>
          <w:color w:val="000000"/>
          <w:sz w:val="22"/>
          <w:szCs w:val="22"/>
        </w:rPr>
      </w:pPr>
    </w:p>
    <w:p w14:paraId="70F5D992" w14:textId="77777777" w:rsidR="003646A0" w:rsidRPr="00F93FFA" w:rsidRDefault="003646A0" w:rsidP="00DE16D0">
      <w:pPr>
        <w:widowControl w:val="0"/>
        <w:rPr>
          <w:bCs/>
          <w:color w:val="000000"/>
          <w:sz w:val="22"/>
          <w:szCs w:val="22"/>
        </w:rPr>
      </w:pPr>
      <w:r w:rsidRPr="00F93FFA">
        <w:rPr>
          <w:bCs/>
          <w:color w:val="000000"/>
          <w:sz w:val="22"/>
          <w:szCs w:val="22"/>
        </w:rPr>
        <w:t>Ankstesniuse tyrimuose nebuvo registruota kitų, ne neoplastinių širdies ir kraujagyslių sistemos, kasos, endokrininių liaukų ir dantų pažeidimų. Svarbiausi pakitimai buvo širdies hipertrofija ir išsiplėtimas, dėl ko kai kuriems gyvūnėliams pasireiškė širdies nepakankamumo simptomai.</w:t>
      </w:r>
    </w:p>
    <w:p w14:paraId="22A8BC8A" w14:textId="77777777" w:rsidR="003646A0" w:rsidRPr="00F93FFA" w:rsidRDefault="003646A0" w:rsidP="00DE16D0">
      <w:pPr>
        <w:widowControl w:val="0"/>
        <w:rPr>
          <w:bCs/>
          <w:color w:val="000000"/>
          <w:sz w:val="22"/>
          <w:szCs w:val="22"/>
        </w:rPr>
      </w:pPr>
    </w:p>
    <w:p w14:paraId="3E55AF68" w14:textId="77777777" w:rsidR="003646A0" w:rsidRPr="00F93FFA" w:rsidRDefault="003646A0" w:rsidP="00DE16D0">
      <w:pPr>
        <w:widowControl w:val="0"/>
        <w:rPr>
          <w:color w:val="000000"/>
          <w:sz w:val="22"/>
          <w:szCs w:val="22"/>
        </w:rPr>
      </w:pPr>
      <w:r w:rsidRPr="00F93FFA">
        <w:rPr>
          <w:bCs/>
          <w:color w:val="000000"/>
          <w:sz w:val="22"/>
          <w:szCs w:val="22"/>
        </w:rPr>
        <w:t>Nustatyta, kad veiklioji medžiaga imatinibas kelia pavojų nuosėdose aptinkamiems organizmams.</w:t>
      </w:r>
    </w:p>
    <w:p w14:paraId="7837083D" w14:textId="77777777" w:rsidR="003646A0" w:rsidRPr="00F93FFA" w:rsidRDefault="003646A0" w:rsidP="00DE16D0">
      <w:pPr>
        <w:widowControl w:val="0"/>
        <w:rPr>
          <w:color w:val="000000"/>
          <w:sz w:val="22"/>
          <w:szCs w:val="22"/>
        </w:rPr>
      </w:pPr>
    </w:p>
    <w:p w14:paraId="7243F5BB" w14:textId="77777777" w:rsidR="003646A0" w:rsidRPr="00F93FFA" w:rsidRDefault="003646A0" w:rsidP="00DE16D0">
      <w:pPr>
        <w:widowControl w:val="0"/>
        <w:ind w:left="567" w:hanging="567"/>
        <w:rPr>
          <w:color w:val="000000"/>
          <w:sz w:val="22"/>
          <w:szCs w:val="22"/>
        </w:rPr>
      </w:pPr>
    </w:p>
    <w:p w14:paraId="34370497" w14:textId="77777777" w:rsidR="003646A0" w:rsidRPr="00F93FFA" w:rsidRDefault="003646A0" w:rsidP="00D82342">
      <w:pPr>
        <w:keepNext/>
        <w:widowControl w:val="0"/>
        <w:ind w:left="567" w:hanging="567"/>
        <w:rPr>
          <w:b/>
          <w:caps/>
          <w:color w:val="000000"/>
          <w:sz w:val="22"/>
          <w:szCs w:val="22"/>
        </w:rPr>
      </w:pPr>
      <w:r w:rsidRPr="00F93FFA">
        <w:rPr>
          <w:b/>
          <w:caps/>
          <w:color w:val="000000"/>
          <w:sz w:val="22"/>
          <w:szCs w:val="22"/>
        </w:rPr>
        <w:t>6.</w:t>
      </w:r>
      <w:r w:rsidRPr="00F93FFA">
        <w:rPr>
          <w:b/>
          <w:caps/>
          <w:color w:val="000000"/>
          <w:sz w:val="22"/>
          <w:szCs w:val="22"/>
        </w:rPr>
        <w:tab/>
        <w:t>farmacinė informacija</w:t>
      </w:r>
    </w:p>
    <w:p w14:paraId="3DB7DFDC" w14:textId="77777777" w:rsidR="003646A0" w:rsidRPr="00F93FFA" w:rsidRDefault="003646A0" w:rsidP="00D82342">
      <w:pPr>
        <w:keepNext/>
        <w:widowControl w:val="0"/>
        <w:ind w:left="567" w:hanging="567"/>
        <w:rPr>
          <w:color w:val="000000"/>
          <w:sz w:val="22"/>
          <w:szCs w:val="22"/>
        </w:rPr>
      </w:pPr>
    </w:p>
    <w:p w14:paraId="5213CDF1"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6.1</w:t>
      </w:r>
      <w:r w:rsidRPr="00F93FFA">
        <w:rPr>
          <w:b/>
          <w:color w:val="000000"/>
          <w:sz w:val="22"/>
          <w:szCs w:val="22"/>
        </w:rPr>
        <w:tab/>
        <w:t>Pagalbinių medžiagų sąrašas</w:t>
      </w:r>
    </w:p>
    <w:p w14:paraId="5CD07A47" w14:textId="77777777" w:rsidR="003646A0" w:rsidRPr="00F93FFA" w:rsidRDefault="003646A0" w:rsidP="00D82342">
      <w:pPr>
        <w:keepNext/>
        <w:widowControl w:val="0"/>
        <w:ind w:left="567" w:hanging="567"/>
        <w:rPr>
          <w:color w:val="000000"/>
          <w:sz w:val="22"/>
          <w:szCs w:val="22"/>
        </w:rPr>
      </w:pPr>
    </w:p>
    <w:p w14:paraId="44EFECEE" w14:textId="77777777" w:rsidR="003646A0" w:rsidRPr="00F93FFA" w:rsidRDefault="003646A0" w:rsidP="00D82342">
      <w:pPr>
        <w:pStyle w:val="EndnoteText"/>
        <w:keepNext/>
        <w:widowControl w:val="0"/>
        <w:tabs>
          <w:tab w:val="clear" w:pos="567"/>
          <w:tab w:val="left" w:pos="1701"/>
        </w:tabs>
        <w:rPr>
          <w:color w:val="000000"/>
          <w:szCs w:val="22"/>
          <w:lang w:val="lt-LT"/>
        </w:rPr>
      </w:pPr>
      <w:r w:rsidRPr="00F93FFA">
        <w:rPr>
          <w:color w:val="000000"/>
          <w:szCs w:val="22"/>
          <w:lang w:val="lt-LT"/>
        </w:rPr>
        <w:t>Tabletės šerdis:</w:t>
      </w:r>
    </w:p>
    <w:p w14:paraId="436138F5" w14:textId="157F82C7" w:rsidR="003646A0" w:rsidRPr="00F93FFA" w:rsidRDefault="00A82D78" w:rsidP="00D82342">
      <w:pPr>
        <w:pStyle w:val="EndnoteText"/>
        <w:keepNext/>
        <w:widowControl w:val="0"/>
        <w:tabs>
          <w:tab w:val="clear" w:pos="567"/>
          <w:tab w:val="left" w:pos="1701"/>
        </w:tabs>
        <w:rPr>
          <w:color w:val="000000"/>
          <w:szCs w:val="22"/>
          <w:lang w:val="lt-LT"/>
        </w:rPr>
      </w:pPr>
      <w:r w:rsidRPr="00F93FFA">
        <w:rPr>
          <w:color w:val="000000"/>
          <w:szCs w:val="22"/>
          <w:lang w:val="lt-LT"/>
        </w:rPr>
        <w:t>M</w:t>
      </w:r>
      <w:r w:rsidR="003646A0" w:rsidRPr="00F93FFA">
        <w:rPr>
          <w:color w:val="000000"/>
          <w:szCs w:val="22"/>
          <w:lang w:val="lt-LT"/>
        </w:rPr>
        <w:t>ikrokristalinė celiuliozė</w:t>
      </w:r>
    </w:p>
    <w:p w14:paraId="03D2E853" w14:textId="57C8D6D8" w:rsidR="003646A0" w:rsidRPr="00F93FFA" w:rsidRDefault="00A82D78" w:rsidP="00D82342">
      <w:pPr>
        <w:keepNext/>
        <w:widowControl w:val="0"/>
        <w:rPr>
          <w:color w:val="000000"/>
          <w:sz w:val="22"/>
          <w:szCs w:val="22"/>
        </w:rPr>
      </w:pPr>
      <w:r w:rsidRPr="00F93FFA">
        <w:rPr>
          <w:color w:val="000000"/>
          <w:sz w:val="22"/>
          <w:szCs w:val="22"/>
        </w:rPr>
        <w:t>K</w:t>
      </w:r>
      <w:r w:rsidR="003646A0" w:rsidRPr="00F93FFA">
        <w:rPr>
          <w:color w:val="000000"/>
          <w:sz w:val="22"/>
          <w:szCs w:val="22"/>
        </w:rPr>
        <w:t>rospovidonas</w:t>
      </w:r>
    </w:p>
    <w:p w14:paraId="4D27590C" w14:textId="4EE71268" w:rsidR="003646A0" w:rsidRPr="00F93FFA" w:rsidRDefault="00A82D78" w:rsidP="00D82342">
      <w:pPr>
        <w:keepNext/>
        <w:widowControl w:val="0"/>
        <w:rPr>
          <w:color w:val="000000"/>
          <w:sz w:val="22"/>
          <w:szCs w:val="22"/>
        </w:rPr>
      </w:pPr>
      <w:r w:rsidRPr="00F93FFA">
        <w:rPr>
          <w:color w:val="000000"/>
          <w:sz w:val="22"/>
          <w:szCs w:val="22"/>
        </w:rPr>
        <w:t>H</w:t>
      </w:r>
      <w:r w:rsidR="003646A0" w:rsidRPr="00F93FFA">
        <w:rPr>
          <w:color w:val="000000"/>
          <w:sz w:val="22"/>
          <w:szCs w:val="22"/>
        </w:rPr>
        <w:t>ipromeliozė</w:t>
      </w:r>
    </w:p>
    <w:p w14:paraId="798FF13B" w14:textId="11B9F5E1" w:rsidR="003646A0" w:rsidRPr="00F93FFA" w:rsidRDefault="00A82D78" w:rsidP="00D82342">
      <w:pPr>
        <w:keepNext/>
        <w:widowControl w:val="0"/>
        <w:rPr>
          <w:color w:val="000000"/>
          <w:sz w:val="22"/>
          <w:szCs w:val="22"/>
        </w:rPr>
      </w:pPr>
      <w:r w:rsidRPr="00F93FFA">
        <w:rPr>
          <w:color w:val="000000"/>
          <w:sz w:val="22"/>
          <w:szCs w:val="22"/>
        </w:rPr>
        <w:t>M</w:t>
      </w:r>
      <w:r w:rsidR="003646A0" w:rsidRPr="00F93FFA">
        <w:rPr>
          <w:color w:val="000000"/>
          <w:sz w:val="22"/>
          <w:szCs w:val="22"/>
        </w:rPr>
        <w:t>agnio stearatas</w:t>
      </w:r>
    </w:p>
    <w:p w14:paraId="22265667" w14:textId="5D043F2E" w:rsidR="003646A0" w:rsidRPr="00F93FFA" w:rsidRDefault="00A82D78" w:rsidP="00DE16D0">
      <w:pPr>
        <w:widowControl w:val="0"/>
        <w:rPr>
          <w:color w:val="000000"/>
          <w:sz w:val="22"/>
          <w:szCs w:val="22"/>
        </w:rPr>
      </w:pPr>
      <w:r w:rsidRPr="00F93FFA">
        <w:rPr>
          <w:color w:val="000000"/>
          <w:sz w:val="22"/>
          <w:szCs w:val="22"/>
        </w:rPr>
        <w:t>K</w:t>
      </w:r>
      <w:r w:rsidR="003646A0" w:rsidRPr="00F93FFA">
        <w:rPr>
          <w:color w:val="000000"/>
          <w:sz w:val="22"/>
          <w:szCs w:val="22"/>
        </w:rPr>
        <w:t xml:space="preserve">oloidinis </w:t>
      </w:r>
      <w:r w:rsidRPr="00F93FFA">
        <w:rPr>
          <w:color w:val="000000"/>
          <w:sz w:val="22"/>
          <w:szCs w:val="22"/>
        </w:rPr>
        <w:t xml:space="preserve">bevandenis </w:t>
      </w:r>
      <w:r w:rsidR="003646A0" w:rsidRPr="00F93FFA">
        <w:rPr>
          <w:color w:val="000000"/>
          <w:sz w:val="22"/>
          <w:szCs w:val="22"/>
        </w:rPr>
        <w:t>silicio dioksidas</w:t>
      </w:r>
    </w:p>
    <w:p w14:paraId="33CD6B89" w14:textId="77777777" w:rsidR="003646A0" w:rsidRPr="00F93FFA" w:rsidRDefault="003646A0" w:rsidP="00DE16D0">
      <w:pPr>
        <w:widowControl w:val="0"/>
        <w:rPr>
          <w:color w:val="000000"/>
          <w:sz w:val="22"/>
          <w:szCs w:val="22"/>
        </w:rPr>
      </w:pPr>
    </w:p>
    <w:p w14:paraId="6AA3307F" w14:textId="06F8A992" w:rsidR="003646A0" w:rsidRPr="00F93FFA" w:rsidRDefault="003646A0" w:rsidP="00D82342">
      <w:pPr>
        <w:keepNext/>
        <w:widowControl w:val="0"/>
        <w:rPr>
          <w:color w:val="000000"/>
          <w:sz w:val="22"/>
          <w:szCs w:val="22"/>
        </w:rPr>
      </w:pPr>
      <w:r w:rsidRPr="00F93FFA">
        <w:rPr>
          <w:color w:val="000000"/>
          <w:sz w:val="22"/>
          <w:szCs w:val="22"/>
        </w:rPr>
        <w:t xml:space="preserve">Tabletės </w:t>
      </w:r>
      <w:r w:rsidR="00A82D78" w:rsidRPr="00F93FFA">
        <w:rPr>
          <w:color w:val="000000"/>
          <w:sz w:val="22"/>
          <w:szCs w:val="22"/>
        </w:rPr>
        <w:t>plėvelė</w:t>
      </w:r>
      <w:r w:rsidRPr="00F93FFA">
        <w:rPr>
          <w:color w:val="000000"/>
          <w:sz w:val="22"/>
          <w:szCs w:val="22"/>
        </w:rPr>
        <w:t>:</w:t>
      </w:r>
    </w:p>
    <w:p w14:paraId="11886E27" w14:textId="0C8E020F" w:rsidR="003646A0" w:rsidRPr="00F93FFA" w:rsidRDefault="00A82D78" w:rsidP="00D82342">
      <w:pPr>
        <w:keepNext/>
        <w:widowControl w:val="0"/>
        <w:rPr>
          <w:color w:val="000000"/>
          <w:sz w:val="22"/>
          <w:szCs w:val="22"/>
        </w:rPr>
      </w:pPr>
      <w:r w:rsidRPr="00F93FFA">
        <w:rPr>
          <w:color w:val="000000"/>
          <w:sz w:val="22"/>
          <w:szCs w:val="22"/>
        </w:rPr>
        <w:t>R</w:t>
      </w:r>
      <w:r w:rsidR="003646A0" w:rsidRPr="00F93FFA">
        <w:rPr>
          <w:color w:val="000000"/>
          <w:sz w:val="22"/>
          <w:szCs w:val="22"/>
        </w:rPr>
        <w:t>audonasis geležies oksidas (E172)</w:t>
      </w:r>
    </w:p>
    <w:p w14:paraId="39F684DE" w14:textId="3EF1BFE2" w:rsidR="003646A0" w:rsidRPr="00F93FFA" w:rsidRDefault="007738D8" w:rsidP="00D82342">
      <w:pPr>
        <w:keepNext/>
        <w:widowControl w:val="0"/>
        <w:rPr>
          <w:color w:val="000000"/>
          <w:sz w:val="22"/>
          <w:szCs w:val="22"/>
        </w:rPr>
      </w:pPr>
      <w:r w:rsidRPr="00F93FFA">
        <w:rPr>
          <w:color w:val="000000"/>
          <w:sz w:val="22"/>
          <w:szCs w:val="22"/>
        </w:rPr>
        <w:t>G</w:t>
      </w:r>
      <w:r w:rsidR="003646A0" w:rsidRPr="00F93FFA">
        <w:rPr>
          <w:color w:val="000000"/>
          <w:sz w:val="22"/>
          <w:szCs w:val="22"/>
        </w:rPr>
        <w:t>eltonasis geležies oksidas (E172)</w:t>
      </w:r>
    </w:p>
    <w:p w14:paraId="4154030D" w14:textId="5B5B110C" w:rsidR="003646A0" w:rsidRPr="00F93FFA" w:rsidRDefault="007738D8" w:rsidP="00D82342">
      <w:pPr>
        <w:keepNext/>
        <w:widowControl w:val="0"/>
        <w:rPr>
          <w:color w:val="000000"/>
          <w:sz w:val="22"/>
          <w:szCs w:val="22"/>
        </w:rPr>
      </w:pPr>
      <w:r w:rsidRPr="00F93FFA">
        <w:rPr>
          <w:color w:val="000000"/>
          <w:sz w:val="22"/>
          <w:szCs w:val="22"/>
        </w:rPr>
        <w:t>M</w:t>
      </w:r>
      <w:r w:rsidR="003646A0" w:rsidRPr="00F93FFA">
        <w:rPr>
          <w:color w:val="000000"/>
          <w:sz w:val="22"/>
          <w:szCs w:val="22"/>
        </w:rPr>
        <w:t>akrogolis</w:t>
      </w:r>
    </w:p>
    <w:p w14:paraId="4F05F1B9" w14:textId="4FA9F24B" w:rsidR="003646A0" w:rsidRPr="00F93FFA" w:rsidRDefault="007738D8" w:rsidP="00D82342">
      <w:pPr>
        <w:keepNext/>
        <w:widowControl w:val="0"/>
        <w:rPr>
          <w:color w:val="000000"/>
          <w:sz w:val="22"/>
          <w:szCs w:val="22"/>
        </w:rPr>
      </w:pPr>
      <w:r w:rsidRPr="00F93FFA">
        <w:rPr>
          <w:color w:val="000000"/>
          <w:sz w:val="22"/>
          <w:szCs w:val="22"/>
        </w:rPr>
        <w:t>T</w:t>
      </w:r>
      <w:r w:rsidR="003646A0" w:rsidRPr="00F93FFA">
        <w:rPr>
          <w:color w:val="000000"/>
          <w:sz w:val="22"/>
          <w:szCs w:val="22"/>
        </w:rPr>
        <w:t>alkas</w:t>
      </w:r>
    </w:p>
    <w:p w14:paraId="3217248B" w14:textId="45C10787" w:rsidR="003646A0" w:rsidRPr="00F93FFA" w:rsidRDefault="007738D8" w:rsidP="00DE16D0">
      <w:pPr>
        <w:widowControl w:val="0"/>
        <w:rPr>
          <w:color w:val="000000"/>
          <w:sz w:val="22"/>
          <w:szCs w:val="22"/>
        </w:rPr>
      </w:pPr>
      <w:r w:rsidRPr="00F93FFA">
        <w:rPr>
          <w:color w:val="000000"/>
          <w:sz w:val="22"/>
          <w:szCs w:val="22"/>
        </w:rPr>
        <w:t>H</w:t>
      </w:r>
      <w:r w:rsidR="003646A0" w:rsidRPr="00F93FFA">
        <w:rPr>
          <w:color w:val="000000"/>
          <w:sz w:val="22"/>
          <w:szCs w:val="22"/>
        </w:rPr>
        <w:t>ipromeliozė</w:t>
      </w:r>
    </w:p>
    <w:p w14:paraId="3CE1B646" w14:textId="77777777" w:rsidR="003646A0" w:rsidRPr="00F93FFA" w:rsidRDefault="003646A0" w:rsidP="00DE16D0">
      <w:pPr>
        <w:widowControl w:val="0"/>
        <w:rPr>
          <w:color w:val="000000"/>
          <w:sz w:val="22"/>
          <w:szCs w:val="22"/>
        </w:rPr>
      </w:pPr>
    </w:p>
    <w:p w14:paraId="3A1A63BC"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6.2</w:t>
      </w:r>
      <w:r w:rsidRPr="00F93FFA">
        <w:rPr>
          <w:b/>
          <w:color w:val="000000"/>
          <w:sz w:val="22"/>
          <w:szCs w:val="22"/>
        </w:rPr>
        <w:tab/>
        <w:t>Nesuderinamumas</w:t>
      </w:r>
    </w:p>
    <w:p w14:paraId="21710801" w14:textId="77777777" w:rsidR="003646A0" w:rsidRPr="00F93FFA" w:rsidRDefault="003646A0" w:rsidP="00D82342">
      <w:pPr>
        <w:keepNext/>
        <w:widowControl w:val="0"/>
        <w:ind w:left="567" w:hanging="567"/>
        <w:rPr>
          <w:color w:val="000000"/>
          <w:sz w:val="22"/>
          <w:szCs w:val="22"/>
        </w:rPr>
      </w:pPr>
    </w:p>
    <w:p w14:paraId="084CC6A3" w14:textId="77777777" w:rsidR="003646A0" w:rsidRPr="00F93FFA" w:rsidRDefault="003646A0" w:rsidP="00DE16D0">
      <w:pPr>
        <w:widowControl w:val="0"/>
        <w:ind w:left="567" w:hanging="567"/>
        <w:rPr>
          <w:color w:val="000000"/>
          <w:sz w:val="22"/>
          <w:szCs w:val="22"/>
        </w:rPr>
      </w:pPr>
      <w:r w:rsidRPr="00F93FFA">
        <w:rPr>
          <w:color w:val="000000"/>
          <w:sz w:val="22"/>
          <w:szCs w:val="22"/>
        </w:rPr>
        <w:t>Duomenys nebūtini.</w:t>
      </w:r>
    </w:p>
    <w:p w14:paraId="046D1E81" w14:textId="77777777" w:rsidR="003646A0" w:rsidRPr="00F93FFA" w:rsidRDefault="003646A0" w:rsidP="00DE16D0">
      <w:pPr>
        <w:widowControl w:val="0"/>
        <w:ind w:left="567" w:hanging="567"/>
        <w:rPr>
          <w:color w:val="000000"/>
          <w:sz w:val="22"/>
          <w:szCs w:val="22"/>
        </w:rPr>
      </w:pPr>
    </w:p>
    <w:p w14:paraId="6937F2AF"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6.3</w:t>
      </w:r>
      <w:r w:rsidRPr="00F93FFA">
        <w:rPr>
          <w:b/>
          <w:color w:val="000000"/>
          <w:sz w:val="22"/>
          <w:szCs w:val="22"/>
        </w:rPr>
        <w:tab/>
        <w:t>Tinkamumo laikas</w:t>
      </w:r>
    </w:p>
    <w:p w14:paraId="226609C7" w14:textId="77777777" w:rsidR="003646A0" w:rsidRPr="00F93FFA" w:rsidRDefault="003646A0" w:rsidP="00D82342">
      <w:pPr>
        <w:keepNext/>
        <w:widowControl w:val="0"/>
        <w:ind w:left="567" w:hanging="567"/>
        <w:rPr>
          <w:color w:val="000000"/>
          <w:sz w:val="22"/>
          <w:szCs w:val="22"/>
        </w:rPr>
      </w:pPr>
    </w:p>
    <w:p w14:paraId="3F91E7D7" w14:textId="77777777" w:rsidR="003646A0" w:rsidRPr="00F93FFA" w:rsidRDefault="003646A0" w:rsidP="00DE16D0">
      <w:pPr>
        <w:widowControl w:val="0"/>
        <w:ind w:left="567" w:hanging="567"/>
        <w:rPr>
          <w:color w:val="000000"/>
          <w:sz w:val="22"/>
          <w:szCs w:val="22"/>
        </w:rPr>
      </w:pPr>
      <w:r w:rsidRPr="00F93FFA">
        <w:rPr>
          <w:color w:val="000000"/>
          <w:sz w:val="22"/>
          <w:szCs w:val="22"/>
        </w:rPr>
        <w:t>3 metai</w:t>
      </w:r>
    </w:p>
    <w:p w14:paraId="5B78070F" w14:textId="77777777" w:rsidR="003646A0" w:rsidRPr="00F93FFA" w:rsidRDefault="003646A0" w:rsidP="00DE16D0">
      <w:pPr>
        <w:widowControl w:val="0"/>
        <w:ind w:left="567" w:hanging="567"/>
        <w:rPr>
          <w:color w:val="000000"/>
          <w:sz w:val="22"/>
          <w:szCs w:val="22"/>
        </w:rPr>
      </w:pPr>
    </w:p>
    <w:p w14:paraId="26B3B021"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6.4</w:t>
      </w:r>
      <w:r w:rsidRPr="00F93FFA">
        <w:rPr>
          <w:b/>
          <w:color w:val="000000"/>
          <w:sz w:val="22"/>
          <w:szCs w:val="22"/>
        </w:rPr>
        <w:tab/>
        <w:t>Specialios laikymo sąlygos</w:t>
      </w:r>
    </w:p>
    <w:p w14:paraId="5678A81F" w14:textId="77777777" w:rsidR="003646A0" w:rsidRPr="00F93FFA" w:rsidRDefault="003646A0" w:rsidP="00D82342">
      <w:pPr>
        <w:keepNext/>
        <w:widowControl w:val="0"/>
        <w:ind w:left="567" w:hanging="567"/>
        <w:rPr>
          <w:color w:val="000000"/>
          <w:sz w:val="22"/>
          <w:szCs w:val="22"/>
        </w:rPr>
      </w:pPr>
    </w:p>
    <w:p w14:paraId="6DD687B3" w14:textId="77777777" w:rsidR="003646A0" w:rsidRPr="00F93FFA" w:rsidRDefault="003646A0" w:rsidP="00DE16D0">
      <w:pPr>
        <w:widowControl w:val="0"/>
        <w:rPr>
          <w:color w:val="000000"/>
          <w:sz w:val="22"/>
          <w:szCs w:val="22"/>
        </w:rPr>
      </w:pPr>
      <w:r w:rsidRPr="00F93FFA">
        <w:rPr>
          <w:color w:val="000000"/>
          <w:sz w:val="22"/>
          <w:szCs w:val="22"/>
        </w:rPr>
        <w:t>Laikyti ne aukštesnėje kaip 30 </w:t>
      </w:r>
      <w:r w:rsidRPr="00F93FFA">
        <w:rPr>
          <w:color w:val="000000"/>
          <w:sz w:val="22"/>
          <w:szCs w:val="22"/>
        </w:rPr>
        <w:sym w:font="Symbol" w:char="F0B0"/>
      </w:r>
      <w:r w:rsidRPr="00F93FFA">
        <w:rPr>
          <w:color w:val="000000"/>
          <w:sz w:val="22"/>
          <w:szCs w:val="22"/>
        </w:rPr>
        <w:t>C temperatūroje.</w:t>
      </w:r>
    </w:p>
    <w:p w14:paraId="5A20C115" w14:textId="77777777" w:rsidR="003646A0" w:rsidRPr="00F93FFA" w:rsidRDefault="003646A0" w:rsidP="00DE16D0">
      <w:pPr>
        <w:widowControl w:val="0"/>
        <w:rPr>
          <w:color w:val="000000"/>
          <w:sz w:val="22"/>
          <w:szCs w:val="22"/>
        </w:rPr>
      </w:pPr>
    </w:p>
    <w:p w14:paraId="359C2190" w14:textId="77777777" w:rsidR="003646A0" w:rsidRPr="00F93FFA" w:rsidRDefault="003646A0" w:rsidP="00DE16D0">
      <w:pPr>
        <w:widowControl w:val="0"/>
        <w:rPr>
          <w:color w:val="000000"/>
          <w:sz w:val="22"/>
          <w:szCs w:val="22"/>
        </w:rPr>
      </w:pPr>
      <w:r w:rsidRPr="00F93FFA">
        <w:rPr>
          <w:color w:val="000000"/>
          <w:sz w:val="22"/>
          <w:szCs w:val="22"/>
        </w:rPr>
        <w:t xml:space="preserve">Laikyti gamintojo pakuotėje, kad </w:t>
      </w:r>
      <w:r w:rsidR="00C42121" w:rsidRPr="00F93FFA">
        <w:rPr>
          <w:color w:val="000000"/>
          <w:sz w:val="22"/>
          <w:szCs w:val="22"/>
        </w:rPr>
        <w:t xml:space="preserve">vaistinis </w:t>
      </w:r>
      <w:r w:rsidRPr="00F93FFA">
        <w:rPr>
          <w:color w:val="000000"/>
          <w:sz w:val="22"/>
          <w:szCs w:val="22"/>
        </w:rPr>
        <w:t>preparatas būtų apsaugotas nuo drėgmės.</w:t>
      </w:r>
    </w:p>
    <w:p w14:paraId="41C07079" w14:textId="77777777" w:rsidR="003646A0" w:rsidRPr="00F93FFA" w:rsidRDefault="003646A0" w:rsidP="00DE16D0">
      <w:pPr>
        <w:widowControl w:val="0"/>
        <w:ind w:left="567" w:hanging="567"/>
        <w:rPr>
          <w:color w:val="000000"/>
          <w:sz w:val="22"/>
          <w:szCs w:val="22"/>
        </w:rPr>
      </w:pPr>
    </w:p>
    <w:p w14:paraId="0EA79FA9"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lastRenderedPageBreak/>
        <w:t>6.5</w:t>
      </w:r>
      <w:r w:rsidRPr="00F93FFA">
        <w:rPr>
          <w:b/>
          <w:color w:val="000000"/>
          <w:sz w:val="22"/>
          <w:szCs w:val="22"/>
        </w:rPr>
        <w:tab/>
        <w:t>Talpyklės pobūdis ir jos turinys</w:t>
      </w:r>
    </w:p>
    <w:p w14:paraId="4FA4D7BB" w14:textId="77777777" w:rsidR="003646A0" w:rsidRPr="00F93FFA" w:rsidRDefault="003646A0" w:rsidP="00D82342">
      <w:pPr>
        <w:keepNext/>
        <w:widowControl w:val="0"/>
        <w:ind w:left="567" w:hanging="567"/>
        <w:rPr>
          <w:color w:val="000000"/>
          <w:sz w:val="22"/>
          <w:szCs w:val="22"/>
        </w:rPr>
      </w:pPr>
    </w:p>
    <w:p w14:paraId="01F509C3" w14:textId="77777777" w:rsidR="00F056D8" w:rsidRPr="00F93FFA" w:rsidRDefault="00F056D8" w:rsidP="00D82342">
      <w:pPr>
        <w:keepNext/>
        <w:widowControl w:val="0"/>
        <w:ind w:left="567" w:hanging="567"/>
        <w:rPr>
          <w:color w:val="000000"/>
          <w:sz w:val="22"/>
          <w:szCs w:val="22"/>
        </w:rPr>
      </w:pPr>
      <w:r w:rsidRPr="00F93FFA">
        <w:rPr>
          <w:color w:val="000000"/>
          <w:sz w:val="22"/>
          <w:szCs w:val="22"/>
          <w:u w:val="single"/>
        </w:rPr>
        <w:t>Glivec 100 mg plėvele dengtos tabletės</w:t>
      </w:r>
    </w:p>
    <w:p w14:paraId="308435BD" w14:textId="77777777" w:rsidR="00F056D8" w:rsidRPr="00F93FFA" w:rsidRDefault="003646A0" w:rsidP="00D82342">
      <w:pPr>
        <w:keepNext/>
        <w:widowControl w:val="0"/>
        <w:ind w:left="567" w:hanging="567"/>
        <w:rPr>
          <w:color w:val="000000"/>
          <w:sz w:val="22"/>
          <w:szCs w:val="22"/>
        </w:rPr>
      </w:pPr>
      <w:r w:rsidRPr="00F93FFA">
        <w:rPr>
          <w:color w:val="000000"/>
          <w:sz w:val="22"/>
          <w:szCs w:val="22"/>
        </w:rPr>
        <w:t>PVC/aliuminio lizdinės plokštelės.</w:t>
      </w:r>
    </w:p>
    <w:p w14:paraId="5B0E5A78" w14:textId="77777777" w:rsidR="003646A0" w:rsidRPr="00F93FFA" w:rsidRDefault="003646A0" w:rsidP="00DE16D0">
      <w:pPr>
        <w:widowControl w:val="0"/>
        <w:ind w:left="567" w:hanging="567"/>
        <w:rPr>
          <w:color w:val="000000"/>
          <w:sz w:val="22"/>
          <w:szCs w:val="22"/>
        </w:rPr>
      </w:pPr>
      <w:r w:rsidRPr="00F93FFA">
        <w:rPr>
          <w:color w:val="000000"/>
          <w:sz w:val="22"/>
          <w:szCs w:val="22"/>
        </w:rPr>
        <w:t>Pakuotėje yra 20, 60, 120 ar 180 plėvele dengtų tablečių.</w:t>
      </w:r>
    </w:p>
    <w:p w14:paraId="50B19106" w14:textId="77777777" w:rsidR="00F64FDC" w:rsidRPr="00F93FFA" w:rsidRDefault="00F64FDC" w:rsidP="00DE16D0">
      <w:pPr>
        <w:widowControl w:val="0"/>
        <w:ind w:left="567" w:hanging="567"/>
        <w:rPr>
          <w:color w:val="000000"/>
          <w:sz w:val="22"/>
          <w:szCs w:val="22"/>
        </w:rPr>
      </w:pPr>
    </w:p>
    <w:p w14:paraId="47156E71" w14:textId="77777777" w:rsidR="00F64FDC" w:rsidRPr="00F93FFA" w:rsidRDefault="00F64FDC" w:rsidP="00D82342">
      <w:pPr>
        <w:keepNext/>
        <w:widowControl w:val="0"/>
        <w:ind w:left="567" w:hanging="567"/>
        <w:rPr>
          <w:color w:val="000000"/>
          <w:sz w:val="22"/>
          <w:szCs w:val="22"/>
        </w:rPr>
      </w:pPr>
      <w:r w:rsidRPr="00F93FFA">
        <w:rPr>
          <w:color w:val="000000"/>
          <w:sz w:val="22"/>
          <w:szCs w:val="22"/>
        </w:rPr>
        <w:t>PVDC/aliuminio lizdinės plokštelės.</w:t>
      </w:r>
    </w:p>
    <w:p w14:paraId="1C3AC809" w14:textId="77777777" w:rsidR="00F64FDC" w:rsidRPr="00F93FFA" w:rsidRDefault="00F64FDC" w:rsidP="00DE16D0">
      <w:pPr>
        <w:widowControl w:val="0"/>
        <w:ind w:left="567" w:hanging="567"/>
        <w:rPr>
          <w:color w:val="000000"/>
          <w:sz w:val="22"/>
          <w:szCs w:val="22"/>
        </w:rPr>
      </w:pPr>
      <w:r w:rsidRPr="00F93FFA">
        <w:rPr>
          <w:color w:val="000000"/>
          <w:sz w:val="22"/>
          <w:szCs w:val="22"/>
        </w:rPr>
        <w:t xml:space="preserve">Pakuotėje yra </w:t>
      </w:r>
      <w:r w:rsidR="0079178F" w:rsidRPr="00F93FFA">
        <w:rPr>
          <w:color w:val="000000"/>
          <w:sz w:val="22"/>
          <w:szCs w:val="22"/>
        </w:rPr>
        <w:t>6</w:t>
      </w:r>
      <w:r w:rsidRPr="00F93FFA">
        <w:rPr>
          <w:color w:val="000000"/>
          <w:sz w:val="22"/>
          <w:szCs w:val="22"/>
        </w:rPr>
        <w:t>0, 120 ar 180 plėvele dengtų tablečių.</w:t>
      </w:r>
    </w:p>
    <w:p w14:paraId="1618B2BA" w14:textId="77777777" w:rsidR="00F056D8" w:rsidRPr="00F93FFA" w:rsidRDefault="00F056D8" w:rsidP="00DE16D0">
      <w:pPr>
        <w:widowControl w:val="0"/>
        <w:ind w:left="567" w:hanging="567"/>
        <w:rPr>
          <w:color w:val="000000"/>
          <w:sz w:val="22"/>
          <w:szCs w:val="22"/>
          <w:u w:val="single"/>
        </w:rPr>
      </w:pPr>
    </w:p>
    <w:p w14:paraId="4C8D388D" w14:textId="77777777" w:rsidR="00F056D8" w:rsidRPr="00F93FFA" w:rsidRDefault="00F056D8" w:rsidP="00D82342">
      <w:pPr>
        <w:keepNext/>
        <w:widowControl w:val="0"/>
        <w:ind w:left="567" w:hanging="567"/>
        <w:rPr>
          <w:color w:val="000000"/>
          <w:sz w:val="22"/>
          <w:szCs w:val="22"/>
          <w:u w:val="single"/>
        </w:rPr>
      </w:pPr>
      <w:r w:rsidRPr="00F93FFA">
        <w:rPr>
          <w:color w:val="000000"/>
          <w:sz w:val="22"/>
          <w:szCs w:val="22"/>
          <w:u w:val="single"/>
        </w:rPr>
        <w:t>Glivec 400 mg plėvele dengtos tabletės</w:t>
      </w:r>
    </w:p>
    <w:p w14:paraId="60BF4ECA" w14:textId="77777777" w:rsidR="00BB5232" w:rsidRPr="00F93FFA" w:rsidRDefault="00BB5232" w:rsidP="00D82342">
      <w:pPr>
        <w:keepNext/>
        <w:widowControl w:val="0"/>
        <w:ind w:left="567" w:hanging="567"/>
        <w:rPr>
          <w:color w:val="000000"/>
          <w:sz w:val="22"/>
          <w:szCs w:val="22"/>
        </w:rPr>
      </w:pPr>
      <w:r w:rsidRPr="00F93FFA">
        <w:rPr>
          <w:color w:val="000000"/>
          <w:sz w:val="22"/>
          <w:szCs w:val="22"/>
        </w:rPr>
        <w:t>PVDC/aliuminio lizdinės plokštelės.</w:t>
      </w:r>
    </w:p>
    <w:p w14:paraId="263E85DC" w14:textId="77777777" w:rsidR="00F056D8" w:rsidRPr="00F93FFA" w:rsidRDefault="00F056D8" w:rsidP="00DE16D0">
      <w:pPr>
        <w:widowControl w:val="0"/>
        <w:ind w:left="567" w:hanging="567"/>
        <w:rPr>
          <w:color w:val="000000"/>
          <w:sz w:val="22"/>
          <w:szCs w:val="22"/>
        </w:rPr>
      </w:pPr>
      <w:r w:rsidRPr="00F93FFA">
        <w:rPr>
          <w:color w:val="000000"/>
          <w:sz w:val="22"/>
          <w:szCs w:val="22"/>
        </w:rPr>
        <w:t>Pakuotėje yra 10, 30 ar 90 plėvele dengtų tablečių.</w:t>
      </w:r>
    </w:p>
    <w:p w14:paraId="47A200AB" w14:textId="77777777" w:rsidR="003646A0" w:rsidRPr="00F93FFA" w:rsidRDefault="003646A0" w:rsidP="00DE16D0">
      <w:pPr>
        <w:widowControl w:val="0"/>
        <w:ind w:left="567" w:hanging="567"/>
        <w:rPr>
          <w:color w:val="000000"/>
          <w:sz w:val="22"/>
          <w:szCs w:val="22"/>
        </w:rPr>
      </w:pPr>
    </w:p>
    <w:p w14:paraId="2D007F5B" w14:textId="77777777" w:rsidR="003646A0" w:rsidRPr="00F93FFA" w:rsidRDefault="003646A0" w:rsidP="00DE16D0">
      <w:pPr>
        <w:widowControl w:val="0"/>
        <w:ind w:left="567" w:hanging="567"/>
        <w:rPr>
          <w:color w:val="000000"/>
          <w:sz w:val="22"/>
          <w:szCs w:val="22"/>
        </w:rPr>
      </w:pPr>
      <w:r w:rsidRPr="00F93FFA">
        <w:rPr>
          <w:color w:val="000000"/>
          <w:sz w:val="22"/>
          <w:szCs w:val="22"/>
        </w:rPr>
        <w:t>Gali būti tiekiamos ne visų dydžių pakuotės.</w:t>
      </w:r>
    </w:p>
    <w:p w14:paraId="07229ABB" w14:textId="77777777" w:rsidR="003646A0" w:rsidRPr="00F93FFA" w:rsidRDefault="003646A0" w:rsidP="00DE16D0">
      <w:pPr>
        <w:widowControl w:val="0"/>
        <w:ind w:left="567" w:hanging="567"/>
        <w:rPr>
          <w:color w:val="000000"/>
          <w:sz w:val="22"/>
          <w:szCs w:val="22"/>
        </w:rPr>
      </w:pPr>
    </w:p>
    <w:p w14:paraId="5596B526"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6.6</w:t>
      </w:r>
      <w:r w:rsidRPr="00F93FFA">
        <w:rPr>
          <w:b/>
          <w:color w:val="000000"/>
          <w:sz w:val="22"/>
          <w:szCs w:val="22"/>
        </w:rPr>
        <w:tab/>
        <w:t xml:space="preserve">Specialūs reikalavimai </w:t>
      </w:r>
      <w:r w:rsidRPr="00F93FFA">
        <w:rPr>
          <w:rStyle w:val="Strong"/>
          <w:color w:val="000000"/>
          <w:sz w:val="22"/>
          <w:szCs w:val="22"/>
        </w:rPr>
        <w:t>atliekoms tvarkyti</w:t>
      </w:r>
    </w:p>
    <w:p w14:paraId="11B05C02" w14:textId="77777777" w:rsidR="003646A0" w:rsidRPr="00F93FFA" w:rsidRDefault="003646A0" w:rsidP="00D82342">
      <w:pPr>
        <w:keepNext/>
        <w:widowControl w:val="0"/>
        <w:ind w:left="567" w:hanging="567"/>
        <w:rPr>
          <w:color w:val="000000"/>
          <w:sz w:val="22"/>
          <w:szCs w:val="22"/>
        </w:rPr>
      </w:pPr>
    </w:p>
    <w:p w14:paraId="35C66D1A" w14:textId="77777777" w:rsidR="003646A0" w:rsidRPr="00F93FFA" w:rsidRDefault="003646A0" w:rsidP="00DE16D0">
      <w:pPr>
        <w:widowControl w:val="0"/>
        <w:ind w:left="567" w:hanging="567"/>
        <w:rPr>
          <w:color w:val="000000"/>
          <w:sz w:val="22"/>
          <w:szCs w:val="22"/>
        </w:rPr>
      </w:pPr>
      <w:r w:rsidRPr="00F93FFA">
        <w:rPr>
          <w:noProof/>
          <w:sz w:val="22"/>
          <w:szCs w:val="22"/>
        </w:rPr>
        <w:t>Nesuvartotą vaistinį preparatą ar atliekas reikia tvarkyti laikantis vietinių reikalavimų</w:t>
      </w:r>
      <w:r w:rsidRPr="00F93FFA">
        <w:rPr>
          <w:color w:val="000000"/>
          <w:sz w:val="22"/>
          <w:szCs w:val="22"/>
        </w:rPr>
        <w:t>.</w:t>
      </w:r>
    </w:p>
    <w:p w14:paraId="18545703" w14:textId="77777777" w:rsidR="003646A0" w:rsidRPr="00F93FFA" w:rsidRDefault="003646A0" w:rsidP="00DE16D0">
      <w:pPr>
        <w:widowControl w:val="0"/>
        <w:ind w:left="567" w:hanging="567"/>
        <w:rPr>
          <w:color w:val="000000"/>
          <w:sz w:val="22"/>
          <w:szCs w:val="22"/>
        </w:rPr>
      </w:pPr>
    </w:p>
    <w:p w14:paraId="769ADC63" w14:textId="77777777" w:rsidR="003646A0" w:rsidRPr="00F93FFA" w:rsidRDefault="003646A0" w:rsidP="00DE16D0">
      <w:pPr>
        <w:widowControl w:val="0"/>
        <w:ind w:left="567" w:hanging="567"/>
        <w:rPr>
          <w:color w:val="000000"/>
          <w:sz w:val="22"/>
          <w:szCs w:val="22"/>
        </w:rPr>
      </w:pPr>
    </w:p>
    <w:p w14:paraId="2E05BB0D" w14:textId="77777777" w:rsidR="003646A0" w:rsidRPr="00F93FFA" w:rsidRDefault="003646A0" w:rsidP="00D82342">
      <w:pPr>
        <w:keepNext/>
        <w:widowControl w:val="0"/>
        <w:ind w:left="567" w:hanging="567"/>
        <w:rPr>
          <w:b/>
          <w:caps/>
          <w:color w:val="000000"/>
          <w:sz w:val="22"/>
          <w:szCs w:val="22"/>
        </w:rPr>
      </w:pPr>
      <w:r w:rsidRPr="00F93FFA">
        <w:rPr>
          <w:b/>
          <w:caps/>
          <w:color w:val="000000"/>
          <w:sz w:val="22"/>
          <w:szCs w:val="22"/>
        </w:rPr>
        <w:t>7.</w:t>
      </w:r>
      <w:r w:rsidRPr="00F93FFA">
        <w:rPr>
          <w:b/>
          <w:caps/>
          <w:color w:val="000000"/>
          <w:sz w:val="22"/>
          <w:szCs w:val="22"/>
        </w:rPr>
        <w:tab/>
      </w:r>
      <w:r w:rsidR="00BB5232" w:rsidRPr="00F93FFA">
        <w:rPr>
          <w:b/>
          <w:caps/>
          <w:noProof/>
          <w:sz w:val="22"/>
          <w:szCs w:val="22"/>
          <w:lang w:bidi="lt-LT"/>
        </w:rPr>
        <w:t>REGISTRUOTOJAS</w:t>
      </w:r>
    </w:p>
    <w:p w14:paraId="2CE5A995" w14:textId="77777777" w:rsidR="003646A0" w:rsidRPr="00F93FFA" w:rsidRDefault="003646A0" w:rsidP="00D82342">
      <w:pPr>
        <w:keepNext/>
        <w:widowControl w:val="0"/>
        <w:ind w:left="567" w:hanging="567"/>
        <w:rPr>
          <w:color w:val="000000"/>
          <w:sz w:val="22"/>
          <w:szCs w:val="22"/>
        </w:rPr>
      </w:pPr>
    </w:p>
    <w:p w14:paraId="01A77407" w14:textId="77777777" w:rsidR="003646A0" w:rsidRPr="00F93FFA" w:rsidRDefault="003646A0" w:rsidP="00D82342">
      <w:pPr>
        <w:keepNext/>
        <w:widowControl w:val="0"/>
        <w:rPr>
          <w:color w:val="000000"/>
          <w:sz w:val="22"/>
          <w:szCs w:val="22"/>
        </w:rPr>
      </w:pPr>
      <w:r w:rsidRPr="00F93FFA">
        <w:rPr>
          <w:color w:val="000000"/>
          <w:sz w:val="22"/>
          <w:szCs w:val="22"/>
        </w:rPr>
        <w:t>Novartis Europharm Limited</w:t>
      </w:r>
    </w:p>
    <w:p w14:paraId="101ADB2E" w14:textId="77777777" w:rsidR="008D67C4" w:rsidRPr="00F93FFA" w:rsidRDefault="008D67C4" w:rsidP="00D82342">
      <w:pPr>
        <w:keepNext/>
        <w:widowControl w:val="0"/>
        <w:rPr>
          <w:color w:val="000000"/>
          <w:sz w:val="22"/>
          <w:szCs w:val="22"/>
        </w:rPr>
      </w:pPr>
      <w:r w:rsidRPr="00F93FFA">
        <w:rPr>
          <w:color w:val="000000"/>
          <w:sz w:val="22"/>
          <w:szCs w:val="22"/>
        </w:rPr>
        <w:t>Vista Building</w:t>
      </w:r>
    </w:p>
    <w:p w14:paraId="715734BF" w14:textId="77777777" w:rsidR="008D67C4" w:rsidRPr="00F93FFA" w:rsidRDefault="008D67C4" w:rsidP="00DE16D0">
      <w:pPr>
        <w:keepNext/>
        <w:widowControl w:val="0"/>
        <w:rPr>
          <w:color w:val="000000"/>
          <w:sz w:val="22"/>
          <w:szCs w:val="22"/>
        </w:rPr>
      </w:pPr>
      <w:r w:rsidRPr="00F93FFA">
        <w:rPr>
          <w:color w:val="000000"/>
          <w:sz w:val="22"/>
          <w:szCs w:val="22"/>
        </w:rPr>
        <w:t>Elm Park, Merrion Road</w:t>
      </w:r>
    </w:p>
    <w:p w14:paraId="398F8234" w14:textId="77777777" w:rsidR="008D67C4" w:rsidRPr="00F93FFA" w:rsidRDefault="008D67C4" w:rsidP="00DE16D0">
      <w:pPr>
        <w:keepNext/>
        <w:widowControl w:val="0"/>
        <w:rPr>
          <w:color w:val="000000"/>
          <w:sz w:val="22"/>
          <w:szCs w:val="22"/>
        </w:rPr>
      </w:pPr>
      <w:r w:rsidRPr="00F93FFA">
        <w:rPr>
          <w:color w:val="000000"/>
          <w:sz w:val="22"/>
          <w:szCs w:val="22"/>
        </w:rPr>
        <w:t>Dublin 4</w:t>
      </w:r>
    </w:p>
    <w:p w14:paraId="5182DC08" w14:textId="77777777" w:rsidR="003646A0" w:rsidRPr="00F93FFA" w:rsidRDefault="008D67C4" w:rsidP="00DE16D0">
      <w:pPr>
        <w:pStyle w:val="EndnoteText"/>
        <w:widowControl w:val="0"/>
        <w:tabs>
          <w:tab w:val="clear" w:pos="567"/>
        </w:tabs>
        <w:rPr>
          <w:color w:val="000000"/>
          <w:szCs w:val="22"/>
          <w:lang w:val="lt-LT"/>
        </w:rPr>
      </w:pPr>
      <w:r w:rsidRPr="00F93FFA">
        <w:rPr>
          <w:color w:val="000000"/>
        </w:rPr>
        <w:t>Airija</w:t>
      </w:r>
    </w:p>
    <w:p w14:paraId="24400243" w14:textId="77777777" w:rsidR="003646A0" w:rsidRPr="00F93FFA" w:rsidRDefault="003646A0" w:rsidP="00DE16D0">
      <w:pPr>
        <w:widowControl w:val="0"/>
        <w:ind w:left="567" w:hanging="567"/>
        <w:rPr>
          <w:color w:val="000000"/>
          <w:sz w:val="22"/>
          <w:szCs w:val="22"/>
        </w:rPr>
      </w:pPr>
    </w:p>
    <w:p w14:paraId="46A398A2" w14:textId="77777777" w:rsidR="003646A0" w:rsidRPr="00F93FFA" w:rsidRDefault="003646A0" w:rsidP="00DE16D0">
      <w:pPr>
        <w:widowControl w:val="0"/>
        <w:ind w:left="567" w:hanging="567"/>
        <w:rPr>
          <w:color w:val="000000"/>
          <w:sz w:val="22"/>
          <w:szCs w:val="22"/>
        </w:rPr>
      </w:pPr>
    </w:p>
    <w:p w14:paraId="0D2365F5" w14:textId="77777777" w:rsidR="003646A0" w:rsidRPr="00F93FFA" w:rsidRDefault="003646A0" w:rsidP="00DE16D0">
      <w:pPr>
        <w:keepNext/>
        <w:widowControl w:val="0"/>
        <w:ind w:left="567" w:hanging="567"/>
        <w:rPr>
          <w:b/>
          <w:caps/>
          <w:color w:val="000000"/>
          <w:sz w:val="22"/>
          <w:szCs w:val="22"/>
        </w:rPr>
      </w:pPr>
      <w:r w:rsidRPr="00F93FFA">
        <w:rPr>
          <w:b/>
          <w:caps/>
          <w:color w:val="000000"/>
          <w:sz w:val="22"/>
          <w:szCs w:val="22"/>
        </w:rPr>
        <w:t>8.</w:t>
      </w:r>
      <w:r w:rsidRPr="00F93FFA">
        <w:rPr>
          <w:b/>
          <w:caps/>
          <w:color w:val="000000"/>
          <w:sz w:val="22"/>
          <w:szCs w:val="22"/>
        </w:rPr>
        <w:tab/>
      </w:r>
      <w:r w:rsidR="00BB5232" w:rsidRPr="00F93FFA">
        <w:rPr>
          <w:b/>
          <w:caps/>
          <w:noProof/>
          <w:sz w:val="22"/>
          <w:szCs w:val="22"/>
          <w:lang w:bidi="lt-LT"/>
        </w:rPr>
        <w:t>REGISTRACIJOS PAŽYMĖJIMO NUMERIS (-IAI)</w:t>
      </w:r>
    </w:p>
    <w:p w14:paraId="220B1916" w14:textId="77777777" w:rsidR="003646A0" w:rsidRPr="00F93FFA" w:rsidRDefault="003646A0" w:rsidP="00DE16D0">
      <w:pPr>
        <w:keepNext/>
        <w:widowControl w:val="0"/>
        <w:ind w:left="567" w:hanging="567"/>
        <w:rPr>
          <w:color w:val="000000"/>
          <w:sz w:val="22"/>
          <w:szCs w:val="22"/>
        </w:rPr>
      </w:pPr>
    </w:p>
    <w:p w14:paraId="1ECE137F" w14:textId="77777777" w:rsidR="00F056D8" w:rsidRPr="00F93FFA" w:rsidRDefault="00F056D8" w:rsidP="00DE16D0">
      <w:pPr>
        <w:pStyle w:val="EndnoteText"/>
        <w:keepNext/>
        <w:widowControl w:val="0"/>
        <w:tabs>
          <w:tab w:val="clear" w:pos="567"/>
        </w:tabs>
        <w:rPr>
          <w:color w:val="000000"/>
          <w:szCs w:val="22"/>
          <w:lang w:val="lt-LT"/>
        </w:rPr>
      </w:pPr>
      <w:bookmarkStart w:id="1" w:name="OLE_LINK1"/>
      <w:r w:rsidRPr="00F93FFA">
        <w:rPr>
          <w:color w:val="000000"/>
          <w:szCs w:val="22"/>
          <w:u w:val="single"/>
          <w:lang w:val="lt-LT"/>
        </w:rPr>
        <w:t>Glivec 100 mg plėvele dengtos tabletės</w:t>
      </w:r>
    </w:p>
    <w:p w14:paraId="62CEB2F2" w14:textId="77777777" w:rsidR="003646A0" w:rsidRPr="00F93FFA" w:rsidRDefault="003646A0" w:rsidP="00DE16D0">
      <w:pPr>
        <w:pStyle w:val="EndnoteText"/>
        <w:keepNext/>
        <w:widowControl w:val="0"/>
        <w:tabs>
          <w:tab w:val="clear" w:pos="567"/>
        </w:tabs>
        <w:rPr>
          <w:color w:val="000000"/>
          <w:szCs w:val="22"/>
          <w:lang w:val="lt-LT"/>
        </w:rPr>
      </w:pPr>
      <w:r w:rsidRPr="00F93FFA">
        <w:rPr>
          <w:color w:val="000000"/>
          <w:szCs w:val="22"/>
          <w:lang w:val="lt-LT"/>
        </w:rPr>
        <w:t>EU/1/01/198/007</w:t>
      </w:r>
    </w:p>
    <w:p w14:paraId="2EB3D684" w14:textId="77777777" w:rsidR="003646A0" w:rsidRPr="00F93FFA" w:rsidRDefault="003646A0" w:rsidP="00DE16D0">
      <w:pPr>
        <w:pStyle w:val="EndnoteText"/>
        <w:keepNext/>
        <w:widowControl w:val="0"/>
        <w:tabs>
          <w:tab w:val="clear" w:pos="567"/>
        </w:tabs>
        <w:rPr>
          <w:color w:val="000000"/>
          <w:szCs w:val="22"/>
          <w:lang w:val="lt-LT"/>
        </w:rPr>
      </w:pPr>
      <w:r w:rsidRPr="00F93FFA">
        <w:rPr>
          <w:color w:val="000000"/>
          <w:szCs w:val="22"/>
          <w:lang w:val="lt-LT"/>
        </w:rPr>
        <w:t>EU/1/01/198/008</w:t>
      </w:r>
    </w:p>
    <w:p w14:paraId="44394F4F" w14:textId="77777777" w:rsidR="003646A0" w:rsidRPr="00F93FFA" w:rsidRDefault="003646A0" w:rsidP="00DE16D0">
      <w:pPr>
        <w:pStyle w:val="EndnoteText"/>
        <w:keepNext/>
        <w:widowControl w:val="0"/>
        <w:tabs>
          <w:tab w:val="clear" w:pos="567"/>
        </w:tabs>
        <w:rPr>
          <w:color w:val="000000"/>
          <w:szCs w:val="22"/>
          <w:lang w:val="lt-LT"/>
        </w:rPr>
      </w:pPr>
      <w:r w:rsidRPr="00F93FFA">
        <w:rPr>
          <w:color w:val="000000"/>
          <w:szCs w:val="22"/>
          <w:lang w:val="lt-LT"/>
        </w:rPr>
        <w:t>EU/1/01/198/011</w:t>
      </w:r>
    </w:p>
    <w:bookmarkEnd w:id="1"/>
    <w:p w14:paraId="65A45CDE" w14:textId="77777777" w:rsidR="003646A0" w:rsidRPr="00F93FFA" w:rsidRDefault="003646A0" w:rsidP="00DE16D0">
      <w:pPr>
        <w:pStyle w:val="EndnoteText"/>
        <w:keepNext/>
        <w:widowControl w:val="0"/>
        <w:tabs>
          <w:tab w:val="clear" w:pos="567"/>
        </w:tabs>
        <w:rPr>
          <w:color w:val="000000"/>
          <w:szCs w:val="22"/>
          <w:lang w:val="lt-LT"/>
        </w:rPr>
      </w:pPr>
      <w:r w:rsidRPr="00F93FFA">
        <w:rPr>
          <w:color w:val="000000"/>
          <w:szCs w:val="22"/>
          <w:lang w:val="lt-LT"/>
        </w:rPr>
        <w:t>EU/1/01/198/012</w:t>
      </w:r>
    </w:p>
    <w:p w14:paraId="6D8BA250" w14:textId="77777777" w:rsidR="00F64FDC" w:rsidRPr="00F53012" w:rsidRDefault="00F64FDC" w:rsidP="00DE16D0">
      <w:pPr>
        <w:pStyle w:val="EndnoteText"/>
        <w:keepNext/>
        <w:widowControl w:val="0"/>
        <w:tabs>
          <w:tab w:val="clear" w:pos="567"/>
        </w:tabs>
        <w:rPr>
          <w:color w:val="000000"/>
          <w:szCs w:val="22"/>
          <w:lang w:val="pt-PT"/>
        </w:rPr>
      </w:pPr>
      <w:r w:rsidRPr="00F53012">
        <w:rPr>
          <w:color w:val="000000"/>
          <w:szCs w:val="22"/>
          <w:lang w:val="pt-PT"/>
        </w:rPr>
        <w:t>EU/1/01/198/01</w:t>
      </w:r>
      <w:r w:rsidR="00646295" w:rsidRPr="00F53012">
        <w:rPr>
          <w:color w:val="000000"/>
          <w:szCs w:val="22"/>
          <w:lang w:val="pt-PT"/>
        </w:rPr>
        <w:t>4</w:t>
      </w:r>
    </w:p>
    <w:p w14:paraId="20DEC5F5" w14:textId="77777777" w:rsidR="00F64FDC" w:rsidRPr="00F53012" w:rsidRDefault="00F64FDC" w:rsidP="00DE16D0">
      <w:pPr>
        <w:pStyle w:val="EndnoteText"/>
        <w:keepNext/>
        <w:widowControl w:val="0"/>
        <w:tabs>
          <w:tab w:val="clear" w:pos="567"/>
        </w:tabs>
        <w:rPr>
          <w:color w:val="000000"/>
          <w:szCs w:val="22"/>
          <w:lang w:val="pt-PT"/>
        </w:rPr>
      </w:pPr>
      <w:r w:rsidRPr="00F53012">
        <w:rPr>
          <w:color w:val="000000"/>
          <w:szCs w:val="22"/>
          <w:lang w:val="pt-PT"/>
        </w:rPr>
        <w:t>EU/1/01/198/01</w:t>
      </w:r>
      <w:r w:rsidR="00646295" w:rsidRPr="00F53012">
        <w:rPr>
          <w:color w:val="000000"/>
          <w:szCs w:val="22"/>
          <w:lang w:val="pt-PT"/>
        </w:rPr>
        <w:t>5</w:t>
      </w:r>
    </w:p>
    <w:p w14:paraId="1D5D1B40" w14:textId="77777777" w:rsidR="0079178F" w:rsidRPr="00F53012" w:rsidRDefault="0079178F" w:rsidP="00DE16D0">
      <w:pPr>
        <w:pStyle w:val="EndnoteText"/>
        <w:widowControl w:val="0"/>
        <w:tabs>
          <w:tab w:val="clear" w:pos="567"/>
        </w:tabs>
        <w:rPr>
          <w:color w:val="000000"/>
          <w:szCs w:val="22"/>
          <w:lang w:val="pt-PT"/>
        </w:rPr>
      </w:pPr>
      <w:r w:rsidRPr="00F53012">
        <w:rPr>
          <w:color w:val="000000"/>
          <w:szCs w:val="22"/>
          <w:lang w:val="pt-PT"/>
        </w:rPr>
        <w:t>EU/1/01/198/01</w:t>
      </w:r>
      <w:r w:rsidR="00646295" w:rsidRPr="00F53012">
        <w:rPr>
          <w:color w:val="000000"/>
          <w:szCs w:val="22"/>
          <w:lang w:val="pt-PT"/>
        </w:rPr>
        <w:t>6</w:t>
      </w:r>
    </w:p>
    <w:p w14:paraId="17EB3886" w14:textId="77777777" w:rsidR="003646A0" w:rsidRPr="00F93FFA" w:rsidRDefault="003646A0" w:rsidP="00DE16D0">
      <w:pPr>
        <w:widowControl w:val="0"/>
        <w:rPr>
          <w:color w:val="000000"/>
          <w:sz w:val="22"/>
          <w:szCs w:val="22"/>
        </w:rPr>
      </w:pPr>
    </w:p>
    <w:p w14:paraId="35E43117" w14:textId="77777777" w:rsidR="00F056D8" w:rsidRPr="00F93FFA" w:rsidRDefault="00F056D8" w:rsidP="00D82342">
      <w:pPr>
        <w:keepNext/>
        <w:widowControl w:val="0"/>
        <w:rPr>
          <w:color w:val="000000"/>
          <w:sz w:val="22"/>
          <w:szCs w:val="22"/>
        </w:rPr>
      </w:pPr>
      <w:r w:rsidRPr="00F93FFA">
        <w:rPr>
          <w:color w:val="000000"/>
          <w:sz w:val="22"/>
          <w:szCs w:val="22"/>
          <w:u w:val="single"/>
        </w:rPr>
        <w:t>Glivec 400 mg plėvele dengtos tabletės</w:t>
      </w:r>
    </w:p>
    <w:p w14:paraId="0E3C12FB" w14:textId="77777777" w:rsidR="00F056D8" w:rsidRPr="00F93FFA" w:rsidRDefault="00F056D8" w:rsidP="00D82342">
      <w:pPr>
        <w:keepNext/>
        <w:widowControl w:val="0"/>
        <w:rPr>
          <w:color w:val="000000"/>
          <w:sz w:val="22"/>
          <w:szCs w:val="22"/>
        </w:rPr>
      </w:pPr>
      <w:r w:rsidRPr="00F93FFA">
        <w:rPr>
          <w:color w:val="000000"/>
          <w:sz w:val="22"/>
          <w:szCs w:val="22"/>
        </w:rPr>
        <w:t>EU/1/01/198/009</w:t>
      </w:r>
    </w:p>
    <w:p w14:paraId="31B0CF92" w14:textId="77777777" w:rsidR="00F056D8" w:rsidRPr="00F93FFA" w:rsidRDefault="00F056D8" w:rsidP="00D82342">
      <w:pPr>
        <w:keepNext/>
        <w:widowControl w:val="0"/>
        <w:rPr>
          <w:color w:val="000000"/>
          <w:sz w:val="22"/>
          <w:szCs w:val="22"/>
        </w:rPr>
      </w:pPr>
      <w:r w:rsidRPr="00F93FFA">
        <w:rPr>
          <w:color w:val="000000"/>
          <w:sz w:val="22"/>
          <w:szCs w:val="22"/>
        </w:rPr>
        <w:t>EU/1/01/198/010</w:t>
      </w:r>
    </w:p>
    <w:p w14:paraId="6717EA34" w14:textId="77777777" w:rsidR="00F056D8" w:rsidRPr="00F93FFA" w:rsidRDefault="00F056D8" w:rsidP="00DE16D0">
      <w:pPr>
        <w:widowControl w:val="0"/>
        <w:rPr>
          <w:color w:val="000000"/>
          <w:sz w:val="22"/>
          <w:szCs w:val="22"/>
        </w:rPr>
      </w:pPr>
      <w:r w:rsidRPr="00F93FFA">
        <w:rPr>
          <w:color w:val="000000"/>
          <w:sz w:val="22"/>
          <w:szCs w:val="22"/>
        </w:rPr>
        <w:t>EU/1/01/198/013</w:t>
      </w:r>
    </w:p>
    <w:p w14:paraId="1B80C8C0" w14:textId="77777777" w:rsidR="00F056D8" w:rsidRPr="00F93FFA" w:rsidRDefault="00F056D8" w:rsidP="00DE16D0">
      <w:pPr>
        <w:widowControl w:val="0"/>
        <w:rPr>
          <w:color w:val="000000"/>
          <w:sz w:val="22"/>
          <w:szCs w:val="22"/>
        </w:rPr>
      </w:pPr>
    </w:p>
    <w:p w14:paraId="36A22AE4" w14:textId="77777777" w:rsidR="003646A0" w:rsidRPr="00F93FFA" w:rsidRDefault="003646A0" w:rsidP="00DE16D0">
      <w:pPr>
        <w:widowControl w:val="0"/>
        <w:ind w:left="567" w:hanging="567"/>
        <w:rPr>
          <w:color w:val="000000"/>
          <w:sz w:val="22"/>
          <w:szCs w:val="22"/>
        </w:rPr>
      </w:pPr>
    </w:p>
    <w:p w14:paraId="06544F10" w14:textId="77777777" w:rsidR="003646A0" w:rsidRPr="00F93FFA" w:rsidRDefault="003646A0" w:rsidP="00D82342">
      <w:pPr>
        <w:keepNext/>
        <w:widowControl w:val="0"/>
        <w:ind w:left="567" w:hanging="567"/>
        <w:rPr>
          <w:b/>
          <w:caps/>
          <w:color w:val="000000"/>
          <w:sz w:val="22"/>
          <w:szCs w:val="22"/>
        </w:rPr>
      </w:pPr>
      <w:r w:rsidRPr="00F93FFA">
        <w:rPr>
          <w:b/>
          <w:caps/>
          <w:color w:val="000000"/>
          <w:sz w:val="22"/>
          <w:szCs w:val="22"/>
        </w:rPr>
        <w:t>9.</w:t>
      </w:r>
      <w:r w:rsidRPr="00F93FFA">
        <w:rPr>
          <w:b/>
          <w:caps/>
          <w:color w:val="000000"/>
          <w:sz w:val="22"/>
          <w:szCs w:val="22"/>
        </w:rPr>
        <w:tab/>
      </w:r>
      <w:r w:rsidR="00BB5232" w:rsidRPr="00F93FFA">
        <w:rPr>
          <w:b/>
          <w:caps/>
          <w:noProof/>
          <w:sz w:val="22"/>
          <w:szCs w:val="22"/>
          <w:lang w:bidi="lt-LT"/>
        </w:rPr>
        <w:t>REGISTRAVIMO / PERREGISTRAVIMO DATA</w:t>
      </w:r>
    </w:p>
    <w:p w14:paraId="6B69D14E" w14:textId="77777777" w:rsidR="003646A0" w:rsidRPr="00F93FFA" w:rsidRDefault="003646A0" w:rsidP="00D82342">
      <w:pPr>
        <w:keepNext/>
        <w:widowControl w:val="0"/>
        <w:ind w:left="567" w:hanging="567"/>
        <w:rPr>
          <w:color w:val="000000"/>
          <w:sz w:val="22"/>
          <w:szCs w:val="22"/>
        </w:rPr>
      </w:pPr>
    </w:p>
    <w:p w14:paraId="558F9BE4" w14:textId="77777777" w:rsidR="003646A0" w:rsidRPr="00F93FFA" w:rsidRDefault="00BB5232" w:rsidP="00D82342">
      <w:pPr>
        <w:keepNext/>
        <w:widowControl w:val="0"/>
        <w:ind w:left="567" w:hanging="567"/>
        <w:rPr>
          <w:color w:val="000000"/>
          <w:sz w:val="22"/>
          <w:szCs w:val="22"/>
        </w:rPr>
      </w:pPr>
      <w:r w:rsidRPr="00F93FFA">
        <w:rPr>
          <w:color w:val="000000"/>
          <w:sz w:val="22"/>
          <w:szCs w:val="22"/>
          <w:lang w:bidi="lt-LT"/>
        </w:rPr>
        <w:t>Registravimo data</w:t>
      </w:r>
      <w:r w:rsidR="003646A0" w:rsidRPr="00F93FFA">
        <w:rPr>
          <w:color w:val="000000"/>
          <w:sz w:val="22"/>
          <w:szCs w:val="22"/>
        </w:rPr>
        <w:t xml:space="preserve"> 2001</w:t>
      </w:r>
      <w:r w:rsidRPr="00F93FFA">
        <w:rPr>
          <w:color w:val="000000"/>
          <w:sz w:val="22"/>
          <w:szCs w:val="22"/>
        </w:rPr>
        <w:t> </w:t>
      </w:r>
      <w:r w:rsidR="003646A0" w:rsidRPr="00F93FFA">
        <w:rPr>
          <w:color w:val="000000"/>
          <w:sz w:val="22"/>
          <w:szCs w:val="22"/>
        </w:rPr>
        <w:t>m. lapkričio 07</w:t>
      </w:r>
      <w:r w:rsidRPr="00F93FFA">
        <w:rPr>
          <w:color w:val="000000"/>
          <w:sz w:val="22"/>
          <w:szCs w:val="22"/>
        </w:rPr>
        <w:t> </w:t>
      </w:r>
      <w:r w:rsidR="003646A0" w:rsidRPr="00F93FFA">
        <w:rPr>
          <w:color w:val="000000"/>
          <w:sz w:val="22"/>
          <w:szCs w:val="22"/>
        </w:rPr>
        <w:t>d.</w:t>
      </w:r>
    </w:p>
    <w:p w14:paraId="015C4BBB" w14:textId="77777777" w:rsidR="003646A0" w:rsidRPr="00F93FFA" w:rsidRDefault="00BB5232" w:rsidP="00DE16D0">
      <w:pPr>
        <w:widowControl w:val="0"/>
        <w:rPr>
          <w:color w:val="000000"/>
          <w:sz w:val="22"/>
          <w:szCs w:val="22"/>
        </w:rPr>
      </w:pPr>
      <w:r w:rsidRPr="00F93FFA">
        <w:rPr>
          <w:color w:val="000000"/>
          <w:sz w:val="22"/>
          <w:szCs w:val="22"/>
          <w:lang w:bidi="lt-LT"/>
        </w:rPr>
        <w:t>Paskutinio perregistravimo data</w:t>
      </w:r>
      <w:r w:rsidR="003646A0" w:rsidRPr="00F93FFA">
        <w:rPr>
          <w:color w:val="000000"/>
          <w:sz w:val="22"/>
          <w:szCs w:val="22"/>
        </w:rPr>
        <w:t xml:space="preserve"> 2006</w:t>
      </w:r>
      <w:r w:rsidRPr="00F93FFA">
        <w:rPr>
          <w:color w:val="000000"/>
          <w:sz w:val="22"/>
          <w:szCs w:val="22"/>
        </w:rPr>
        <w:t> </w:t>
      </w:r>
      <w:r w:rsidR="003646A0" w:rsidRPr="00F93FFA">
        <w:rPr>
          <w:color w:val="000000"/>
          <w:sz w:val="22"/>
          <w:szCs w:val="22"/>
        </w:rPr>
        <w:t>m. lapkričio 07</w:t>
      </w:r>
      <w:r w:rsidRPr="00F93FFA">
        <w:rPr>
          <w:color w:val="000000"/>
          <w:sz w:val="22"/>
          <w:szCs w:val="22"/>
        </w:rPr>
        <w:t> </w:t>
      </w:r>
      <w:r w:rsidR="003646A0" w:rsidRPr="00F93FFA">
        <w:rPr>
          <w:color w:val="000000"/>
          <w:sz w:val="22"/>
          <w:szCs w:val="22"/>
        </w:rPr>
        <w:t>d.</w:t>
      </w:r>
    </w:p>
    <w:p w14:paraId="4CD1E680" w14:textId="77777777" w:rsidR="003646A0" w:rsidRPr="00F93FFA" w:rsidRDefault="003646A0" w:rsidP="00DE16D0">
      <w:pPr>
        <w:widowControl w:val="0"/>
        <w:ind w:left="567" w:hanging="567"/>
        <w:rPr>
          <w:color w:val="000000"/>
          <w:sz w:val="22"/>
          <w:szCs w:val="22"/>
        </w:rPr>
      </w:pPr>
    </w:p>
    <w:p w14:paraId="2B84A4BA" w14:textId="77777777" w:rsidR="003646A0" w:rsidRPr="00F93FFA" w:rsidRDefault="003646A0" w:rsidP="00DE16D0">
      <w:pPr>
        <w:widowControl w:val="0"/>
        <w:ind w:left="567" w:hanging="567"/>
        <w:rPr>
          <w:color w:val="000000"/>
          <w:sz w:val="22"/>
          <w:szCs w:val="22"/>
        </w:rPr>
      </w:pPr>
    </w:p>
    <w:p w14:paraId="1AB04BEA" w14:textId="77777777" w:rsidR="003646A0" w:rsidRPr="00F93FFA" w:rsidRDefault="003646A0" w:rsidP="00DE16D0">
      <w:pPr>
        <w:widowControl w:val="0"/>
        <w:ind w:left="567" w:hanging="567"/>
        <w:rPr>
          <w:b/>
          <w:caps/>
          <w:color w:val="000000"/>
          <w:sz w:val="22"/>
          <w:szCs w:val="22"/>
        </w:rPr>
      </w:pPr>
      <w:r w:rsidRPr="00F93FFA">
        <w:rPr>
          <w:b/>
          <w:caps/>
          <w:color w:val="000000"/>
          <w:sz w:val="22"/>
          <w:szCs w:val="22"/>
        </w:rPr>
        <w:t>10.</w:t>
      </w:r>
      <w:r w:rsidRPr="00F93FFA">
        <w:rPr>
          <w:b/>
          <w:caps/>
          <w:color w:val="000000"/>
          <w:sz w:val="22"/>
          <w:szCs w:val="22"/>
        </w:rPr>
        <w:tab/>
        <w:t>teksto peržiūros data</w:t>
      </w:r>
    </w:p>
    <w:p w14:paraId="785D0966" w14:textId="77777777" w:rsidR="003646A0" w:rsidRPr="00F93FFA" w:rsidRDefault="003646A0" w:rsidP="00DE16D0">
      <w:pPr>
        <w:widowControl w:val="0"/>
        <w:ind w:left="567" w:hanging="567"/>
        <w:rPr>
          <w:color w:val="000000"/>
          <w:sz w:val="22"/>
          <w:szCs w:val="22"/>
        </w:rPr>
      </w:pPr>
    </w:p>
    <w:p w14:paraId="243E9381" w14:textId="77777777" w:rsidR="003646A0" w:rsidRPr="00F93FFA" w:rsidRDefault="003646A0" w:rsidP="00DE16D0">
      <w:pPr>
        <w:widowControl w:val="0"/>
        <w:ind w:left="567" w:hanging="567"/>
        <w:rPr>
          <w:color w:val="000000"/>
          <w:sz w:val="22"/>
          <w:szCs w:val="22"/>
        </w:rPr>
      </w:pPr>
    </w:p>
    <w:p w14:paraId="0FAD82AC" w14:textId="77777777" w:rsidR="003646A0" w:rsidRPr="00F93FFA" w:rsidRDefault="003646A0" w:rsidP="00D82342">
      <w:pPr>
        <w:keepLines/>
        <w:widowControl w:val="0"/>
        <w:rPr>
          <w:color w:val="000000"/>
          <w:sz w:val="22"/>
          <w:szCs w:val="22"/>
        </w:rPr>
      </w:pPr>
      <w:r w:rsidRPr="00F93FFA">
        <w:rPr>
          <w:color w:val="000000"/>
          <w:sz w:val="22"/>
          <w:szCs w:val="22"/>
        </w:rPr>
        <w:t>Išsami informacija apie šį vaistinį preparatą pateikiama Europos vaistų agentūros tinklalapyje http://www.ema.europa.eu</w:t>
      </w:r>
      <w:r w:rsidR="002C261F" w:rsidRPr="00F93FFA">
        <w:rPr>
          <w:color w:val="000000"/>
          <w:sz w:val="22"/>
          <w:szCs w:val="22"/>
        </w:rPr>
        <w:t>/</w:t>
      </w:r>
      <w:r w:rsidRPr="00F93FFA">
        <w:rPr>
          <w:color w:val="000000"/>
          <w:sz w:val="22"/>
          <w:szCs w:val="22"/>
        </w:rPr>
        <w:br w:type="page"/>
      </w:r>
    </w:p>
    <w:p w14:paraId="0E7ACCEA" w14:textId="77777777" w:rsidR="003646A0" w:rsidRPr="00F93FFA" w:rsidRDefault="003646A0" w:rsidP="00DE16D0">
      <w:pPr>
        <w:widowControl w:val="0"/>
        <w:rPr>
          <w:color w:val="000000"/>
          <w:sz w:val="22"/>
          <w:szCs w:val="22"/>
        </w:rPr>
      </w:pPr>
    </w:p>
    <w:p w14:paraId="1813EAFA" w14:textId="77777777" w:rsidR="003646A0" w:rsidRPr="00F93FFA" w:rsidRDefault="003646A0" w:rsidP="00DE16D0">
      <w:pPr>
        <w:widowControl w:val="0"/>
        <w:rPr>
          <w:color w:val="000000"/>
          <w:sz w:val="22"/>
          <w:szCs w:val="22"/>
        </w:rPr>
      </w:pPr>
    </w:p>
    <w:p w14:paraId="4F2A349D" w14:textId="77777777" w:rsidR="003646A0" w:rsidRPr="00F93FFA" w:rsidRDefault="003646A0" w:rsidP="00DE16D0">
      <w:pPr>
        <w:widowControl w:val="0"/>
        <w:rPr>
          <w:color w:val="000000"/>
          <w:sz w:val="22"/>
          <w:szCs w:val="22"/>
        </w:rPr>
      </w:pPr>
    </w:p>
    <w:p w14:paraId="213142EE" w14:textId="77777777" w:rsidR="003646A0" w:rsidRPr="00F93FFA" w:rsidRDefault="003646A0" w:rsidP="00DE16D0">
      <w:pPr>
        <w:widowControl w:val="0"/>
        <w:rPr>
          <w:color w:val="000000"/>
          <w:sz w:val="22"/>
          <w:szCs w:val="22"/>
        </w:rPr>
      </w:pPr>
    </w:p>
    <w:p w14:paraId="79E15A68" w14:textId="77777777" w:rsidR="003646A0" w:rsidRPr="00F93FFA" w:rsidRDefault="003646A0" w:rsidP="00DE16D0">
      <w:pPr>
        <w:widowControl w:val="0"/>
        <w:rPr>
          <w:color w:val="000000"/>
          <w:sz w:val="22"/>
          <w:szCs w:val="22"/>
        </w:rPr>
      </w:pPr>
    </w:p>
    <w:p w14:paraId="55563F97" w14:textId="77777777" w:rsidR="003646A0" w:rsidRPr="00F93FFA" w:rsidRDefault="003646A0" w:rsidP="00DE16D0">
      <w:pPr>
        <w:widowControl w:val="0"/>
        <w:rPr>
          <w:color w:val="000000"/>
          <w:sz w:val="22"/>
          <w:szCs w:val="22"/>
        </w:rPr>
      </w:pPr>
    </w:p>
    <w:p w14:paraId="68D26EC7" w14:textId="77777777" w:rsidR="003646A0" w:rsidRPr="00F93FFA" w:rsidRDefault="003646A0" w:rsidP="00DE16D0">
      <w:pPr>
        <w:widowControl w:val="0"/>
        <w:rPr>
          <w:color w:val="000000"/>
          <w:sz w:val="22"/>
          <w:szCs w:val="22"/>
        </w:rPr>
      </w:pPr>
    </w:p>
    <w:p w14:paraId="6BF0A9D9" w14:textId="77777777" w:rsidR="003646A0" w:rsidRPr="00F93FFA" w:rsidRDefault="003646A0" w:rsidP="00DE16D0">
      <w:pPr>
        <w:widowControl w:val="0"/>
        <w:rPr>
          <w:color w:val="000000"/>
          <w:sz w:val="22"/>
          <w:szCs w:val="22"/>
        </w:rPr>
      </w:pPr>
    </w:p>
    <w:p w14:paraId="0AB0D6B5" w14:textId="77777777" w:rsidR="003646A0" w:rsidRPr="00F93FFA" w:rsidRDefault="003646A0" w:rsidP="00DE16D0">
      <w:pPr>
        <w:widowControl w:val="0"/>
        <w:rPr>
          <w:color w:val="000000"/>
          <w:sz w:val="22"/>
          <w:szCs w:val="22"/>
        </w:rPr>
      </w:pPr>
    </w:p>
    <w:p w14:paraId="3D298E62" w14:textId="77777777" w:rsidR="003646A0" w:rsidRPr="00F93FFA" w:rsidRDefault="003646A0" w:rsidP="00DE16D0">
      <w:pPr>
        <w:widowControl w:val="0"/>
        <w:rPr>
          <w:color w:val="000000"/>
          <w:sz w:val="22"/>
          <w:szCs w:val="22"/>
        </w:rPr>
      </w:pPr>
    </w:p>
    <w:p w14:paraId="7E481B04" w14:textId="77777777" w:rsidR="003646A0" w:rsidRPr="00F93FFA" w:rsidRDefault="003646A0" w:rsidP="00DE16D0">
      <w:pPr>
        <w:widowControl w:val="0"/>
        <w:rPr>
          <w:color w:val="000000"/>
          <w:sz w:val="22"/>
          <w:szCs w:val="22"/>
        </w:rPr>
      </w:pPr>
    </w:p>
    <w:p w14:paraId="2F416B5B" w14:textId="77777777" w:rsidR="003646A0" w:rsidRPr="00F93FFA" w:rsidRDefault="003646A0" w:rsidP="00DE16D0">
      <w:pPr>
        <w:widowControl w:val="0"/>
        <w:rPr>
          <w:color w:val="000000"/>
          <w:sz w:val="22"/>
          <w:szCs w:val="22"/>
        </w:rPr>
      </w:pPr>
    </w:p>
    <w:p w14:paraId="7BC0421E" w14:textId="77777777" w:rsidR="003646A0" w:rsidRPr="00F93FFA" w:rsidRDefault="003646A0" w:rsidP="00DE16D0">
      <w:pPr>
        <w:widowControl w:val="0"/>
        <w:rPr>
          <w:color w:val="000000"/>
          <w:sz w:val="22"/>
          <w:szCs w:val="22"/>
        </w:rPr>
      </w:pPr>
    </w:p>
    <w:p w14:paraId="19B584B8" w14:textId="77777777" w:rsidR="003646A0" w:rsidRPr="00F93FFA" w:rsidRDefault="003646A0" w:rsidP="00DE16D0">
      <w:pPr>
        <w:widowControl w:val="0"/>
        <w:rPr>
          <w:color w:val="000000"/>
          <w:sz w:val="22"/>
          <w:szCs w:val="22"/>
        </w:rPr>
      </w:pPr>
    </w:p>
    <w:p w14:paraId="63B13838" w14:textId="77777777" w:rsidR="003646A0" w:rsidRPr="00F93FFA" w:rsidRDefault="003646A0" w:rsidP="00DE16D0">
      <w:pPr>
        <w:widowControl w:val="0"/>
        <w:rPr>
          <w:color w:val="000000"/>
          <w:sz w:val="22"/>
          <w:szCs w:val="22"/>
        </w:rPr>
      </w:pPr>
    </w:p>
    <w:p w14:paraId="20C6B116" w14:textId="77777777" w:rsidR="003646A0" w:rsidRPr="00F93FFA" w:rsidRDefault="003646A0" w:rsidP="00DE16D0">
      <w:pPr>
        <w:widowControl w:val="0"/>
        <w:rPr>
          <w:color w:val="000000"/>
          <w:sz w:val="22"/>
          <w:szCs w:val="22"/>
        </w:rPr>
      </w:pPr>
    </w:p>
    <w:p w14:paraId="01844C52" w14:textId="77777777" w:rsidR="003646A0" w:rsidRPr="00F93FFA" w:rsidRDefault="003646A0" w:rsidP="00DE16D0">
      <w:pPr>
        <w:widowControl w:val="0"/>
        <w:rPr>
          <w:color w:val="000000"/>
          <w:sz w:val="22"/>
          <w:szCs w:val="22"/>
        </w:rPr>
      </w:pPr>
    </w:p>
    <w:p w14:paraId="4B70A986" w14:textId="77777777" w:rsidR="003646A0" w:rsidRPr="00F93FFA" w:rsidRDefault="003646A0" w:rsidP="00DE16D0">
      <w:pPr>
        <w:widowControl w:val="0"/>
        <w:rPr>
          <w:color w:val="000000"/>
          <w:sz w:val="22"/>
          <w:szCs w:val="22"/>
        </w:rPr>
      </w:pPr>
    </w:p>
    <w:p w14:paraId="3C245B50" w14:textId="77777777" w:rsidR="003646A0" w:rsidRPr="00F93FFA" w:rsidRDefault="003646A0" w:rsidP="00DE16D0">
      <w:pPr>
        <w:widowControl w:val="0"/>
        <w:rPr>
          <w:color w:val="000000"/>
          <w:sz w:val="22"/>
          <w:szCs w:val="22"/>
        </w:rPr>
      </w:pPr>
    </w:p>
    <w:p w14:paraId="59CFE500" w14:textId="77777777" w:rsidR="003646A0" w:rsidRPr="00F93FFA" w:rsidRDefault="003646A0" w:rsidP="00DE16D0">
      <w:pPr>
        <w:widowControl w:val="0"/>
        <w:rPr>
          <w:color w:val="000000"/>
          <w:sz w:val="22"/>
          <w:szCs w:val="22"/>
        </w:rPr>
      </w:pPr>
    </w:p>
    <w:p w14:paraId="17912225" w14:textId="77777777" w:rsidR="003646A0" w:rsidRPr="00F93FFA" w:rsidRDefault="003646A0" w:rsidP="00DE16D0">
      <w:pPr>
        <w:widowControl w:val="0"/>
        <w:rPr>
          <w:color w:val="000000"/>
          <w:sz w:val="22"/>
          <w:szCs w:val="22"/>
        </w:rPr>
      </w:pPr>
    </w:p>
    <w:p w14:paraId="35D7A38F" w14:textId="77777777" w:rsidR="003646A0" w:rsidRPr="00F93FFA" w:rsidRDefault="003646A0" w:rsidP="00DE16D0">
      <w:pPr>
        <w:widowControl w:val="0"/>
        <w:rPr>
          <w:color w:val="000000"/>
          <w:sz w:val="22"/>
          <w:szCs w:val="22"/>
        </w:rPr>
      </w:pPr>
    </w:p>
    <w:p w14:paraId="2CAA6EAE" w14:textId="77777777" w:rsidR="00D82342" w:rsidRPr="00F93FFA" w:rsidRDefault="00D82342" w:rsidP="00DE16D0">
      <w:pPr>
        <w:widowControl w:val="0"/>
        <w:rPr>
          <w:color w:val="000000"/>
          <w:sz w:val="22"/>
          <w:szCs w:val="22"/>
        </w:rPr>
      </w:pPr>
    </w:p>
    <w:p w14:paraId="2164D8DD" w14:textId="77777777" w:rsidR="003646A0" w:rsidRPr="00F93FFA" w:rsidRDefault="003646A0" w:rsidP="00DE16D0">
      <w:pPr>
        <w:widowControl w:val="0"/>
        <w:jc w:val="center"/>
        <w:rPr>
          <w:b/>
          <w:color w:val="000000"/>
          <w:sz w:val="22"/>
          <w:szCs w:val="22"/>
        </w:rPr>
      </w:pPr>
      <w:r w:rsidRPr="00F93FFA">
        <w:rPr>
          <w:b/>
          <w:color w:val="000000"/>
          <w:sz w:val="22"/>
          <w:szCs w:val="22"/>
        </w:rPr>
        <w:t>II PRIEDAS</w:t>
      </w:r>
    </w:p>
    <w:p w14:paraId="34E04CFC" w14:textId="77777777" w:rsidR="003646A0" w:rsidRPr="00F93FFA" w:rsidRDefault="003646A0" w:rsidP="00DE16D0">
      <w:pPr>
        <w:widowControl w:val="0"/>
        <w:ind w:right="1416"/>
        <w:rPr>
          <w:color w:val="000000"/>
          <w:sz w:val="22"/>
          <w:szCs w:val="22"/>
        </w:rPr>
      </w:pPr>
    </w:p>
    <w:p w14:paraId="1BF629F4" w14:textId="77777777" w:rsidR="003646A0" w:rsidRPr="00F93FFA" w:rsidRDefault="003646A0" w:rsidP="00DE16D0">
      <w:pPr>
        <w:widowControl w:val="0"/>
        <w:tabs>
          <w:tab w:val="left" w:pos="1701"/>
        </w:tabs>
        <w:ind w:left="1701" w:right="1416" w:hanging="567"/>
        <w:rPr>
          <w:b/>
          <w:color w:val="000000"/>
          <w:sz w:val="22"/>
          <w:szCs w:val="22"/>
        </w:rPr>
      </w:pPr>
      <w:r w:rsidRPr="00F93FFA">
        <w:rPr>
          <w:b/>
          <w:color w:val="000000"/>
          <w:sz w:val="22"/>
          <w:szCs w:val="22"/>
        </w:rPr>
        <w:t>A.</w:t>
      </w:r>
      <w:r w:rsidRPr="00F93FFA">
        <w:rPr>
          <w:b/>
          <w:color w:val="000000"/>
          <w:sz w:val="22"/>
          <w:szCs w:val="22"/>
        </w:rPr>
        <w:tab/>
        <w:t>GAMINTOJAS, ATSAKINGAS UŽ SERIJŲ IŠLEIDIMĄ</w:t>
      </w:r>
    </w:p>
    <w:p w14:paraId="4DB43747" w14:textId="77777777" w:rsidR="003646A0" w:rsidRPr="00F93FFA" w:rsidRDefault="003646A0" w:rsidP="00DE16D0">
      <w:pPr>
        <w:widowControl w:val="0"/>
        <w:ind w:right="1416"/>
        <w:rPr>
          <w:bCs/>
          <w:color w:val="000000"/>
          <w:sz w:val="22"/>
          <w:szCs w:val="22"/>
        </w:rPr>
      </w:pPr>
    </w:p>
    <w:p w14:paraId="15B97D21" w14:textId="77777777" w:rsidR="003646A0" w:rsidRPr="00F93FFA" w:rsidRDefault="003646A0" w:rsidP="00DE16D0">
      <w:pPr>
        <w:widowControl w:val="0"/>
        <w:tabs>
          <w:tab w:val="left" w:pos="1701"/>
        </w:tabs>
        <w:ind w:left="1701" w:right="1416" w:hanging="567"/>
        <w:rPr>
          <w:b/>
          <w:color w:val="000000"/>
          <w:sz w:val="22"/>
          <w:szCs w:val="22"/>
        </w:rPr>
      </w:pPr>
      <w:r w:rsidRPr="00F93FFA">
        <w:rPr>
          <w:b/>
          <w:color w:val="000000"/>
          <w:sz w:val="22"/>
          <w:szCs w:val="22"/>
        </w:rPr>
        <w:t>B.</w:t>
      </w:r>
      <w:r w:rsidRPr="00F93FFA">
        <w:rPr>
          <w:b/>
          <w:color w:val="000000"/>
          <w:sz w:val="22"/>
          <w:szCs w:val="22"/>
        </w:rPr>
        <w:tab/>
      </w:r>
      <w:r w:rsidRPr="00F93FFA">
        <w:rPr>
          <w:b/>
          <w:sz w:val="22"/>
          <w:szCs w:val="22"/>
        </w:rPr>
        <w:t>TIEKIMO IR VARTOJIMO SĄLYGOS AR APRIBOJIMAI</w:t>
      </w:r>
    </w:p>
    <w:p w14:paraId="080228C5" w14:textId="77777777" w:rsidR="003646A0" w:rsidRPr="00F93FFA" w:rsidRDefault="003646A0" w:rsidP="00DE16D0">
      <w:pPr>
        <w:widowControl w:val="0"/>
        <w:ind w:right="1416"/>
        <w:rPr>
          <w:color w:val="000000"/>
          <w:sz w:val="22"/>
          <w:szCs w:val="22"/>
        </w:rPr>
      </w:pPr>
    </w:p>
    <w:p w14:paraId="55E2AF82" w14:textId="77777777" w:rsidR="003646A0" w:rsidRPr="00F93FFA" w:rsidRDefault="003646A0" w:rsidP="00DE16D0">
      <w:pPr>
        <w:widowControl w:val="0"/>
        <w:tabs>
          <w:tab w:val="left" w:pos="1701"/>
        </w:tabs>
        <w:ind w:left="1701" w:right="1416" w:hanging="567"/>
        <w:rPr>
          <w:b/>
          <w:sz w:val="22"/>
          <w:szCs w:val="22"/>
        </w:rPr>
      </w:pPr>
      <w:r w:rsidRPr="00F93FFA">
        <w:rPr>
          <w:b/>
          <w:sz w:val="22"/>
          <w:szCs w:val="22"/>
        </w:rPr>
        <w:t>C.</w:t>
      </w:r>
      <w:r w:rsidRPr="00F93FFA">
        <w:rPr>
          <w:b/>
          <w:sz w:val="22"/>
          <w:szCs w:val="22"/>
        </w:rPr>
        <w:tab/>
        <w:t xml:space="preserve">KITOS SĄLYGOS IR REIKALAVIMAI </w:t>
      </w:r>
      <w:r w:rsidR="002C261F" w:rsidRPr="00F93FFA">
        <w:rPr>
          <w:b/>
          <w:sz w:val="22"/>
          <w:szCs w:val="22"/>
          <w:lang w:bidi="lt-LT"/>
        </w:rPr>
        <w:t>REGISTRUOTOJUI</w:t>
      </w:r>
    </w:p>
    <w:p w14:paraId="7473F2ED" w14:textId="77777777" w:rsidR="003646A0" w:rsidRPr="00F93FFA" w:rsidRDefault="003646A0" w:rsidP="00DE16D0">
      <w:pPr>
        <w:widowControl w:val="0"/>
        <w:ind w:right="1416"/>
        <w:rPr>
          <w:sz w:val="22"/>
          <w:szCs w:val="22"/>
        </w:rPr>
      </w:pPr>
    </w:p>
    <w:p w14:paraId="1F3B7319" w14:textId="77777777" w:rsidR="003646A0" w:rsidRPr="00F93FFA" w:rsidRDefault="003646A0" w:rsidP="00DE16D0">
      <w:pPr>
        <w:widowControl w:val="0"/>
        <w:tabs>
          <w:tab w:val="left" w:pos="1701"/>
        </w:tabs>
        <w:ind w:left="1701" w:right="1416" w:hanging="567"/>
        <w:rPr>
          <w:b/>
          <w:sz w:val="22"/>
          <w:szCs w:val="22"/>
        </w:rPr>
      </w:pPr>
      <w:r w:rsidRPr="00F93FFA">
        <w:rPr>
          <w:b/>
          <w:sz w:val="22"/>
          <w:szCs w:val="22"/>
        </w:rPr>
        <w:t>D.</w:t>
      </w:r>
      <w:r w:rsidRPr="00F93FFA">
        <w:rPr>
          <w:b/>
          <w:sz w:val="22"/>
          <w:szCs w:val="22"/>
        </w:rPr>
        <w:tab/>
        <w:t>SĄLYGOS AR APRIBOJIMAI SAUGIAM IR VEIKSMINGAM VAISTINIO PREPARATO VARTOJIMUI UŽTIKRINTI</w:t>
      </w:r>
    </w:p>
    <w:p w14:paraId="46BB4971" w14:textId="77777777" w:rsidR="003646A0" w:rsidRPr="00F93FFA" w:rsidRDefault="003646A0" w:rsidP="00DE16D0">
      <w:pPr>
        <w:widowControl w:val="0"/>
        <w:ind w:right="1416"/>
        <w:rPr>
          <w:sz w:val="22"/>
          <w:szCs w:val="22"/>
        </w:rPr>
      </w:pPr>
    </w:p>
    <w:p w14:paraId="19FD5935" w14:textId="77777777" w:rsidR="003646A0" w:rsidRPr="00F93FFA" w:rsidRDefault="003646A0" w:rsidP="00746EEC">
      <w:pPr>
        <w:widowControl w:val="0"/>
        <w:rPr>
          <w:sz w:val="22"/>
          <w:szCs w:val="22"/>
        </w:rPr>
      </w:pPr>
      <w:r w:rsidRPr="00F93FFA">
        <w:rPr>
          <w:color w:val="000000"/>
          <w:sz w:val="22"/>
          <w:szCs w:val="22"/>
        </w:rPr>
        <w:br w:type="page"/>
      </w:r>
      <w:r w:rsidRPr="00F93FFA">
        <w:rPr>
          <w:b/>
          <w:sz w:val="22"/>
          <w:szCs w:val="22"/>
        </w:rPr>
        <w:lastRenderedPageBreak/>
        <w:t>A.</w:t>
      </w:r>
      <w:r w:rsidRPr="00F93FFA">
        <w:rPr>
          <w:b/>
          <w:sz w:val="22"/>
          <w:szCs w:val="22"/>
        </w:rPr>
        <w:tab/>
        <w:t>GAMINTOJAS, ATSAKINGAS UŽ SERIJŲ IŠLEIDIMĄ</w:t>
      </w:r>
    </w:p>
    <w:p w14:paraId="275401F9" w14:textId="77777777" w:rsidR="003646A0" w:rsidRPr="00F93FFA" w:rsidRDefault="003646A0" w:rsidP="00DE16D0">
      <w:pPr>
        <w:widowControl w:val="0"/>
        <w:ind w:right="1416"/>
        <w:rPr>
          <w:sz w:val="22"/>
          <w:szCs w:val="22"/>
        </w:rPr>
      </w:pPr>
    </w:p>
    <w:p w14:paraId="5CDC7E61" w14:textId="77777777" w:rsidR="003646A0" w:rsidRPr="00F93FFA" w:rsidRDefault="003646A0" w:rsidP="00DE16D0">
      <w:pPr>
        <w:widowControl w:val="0"/>
        <w:rPr>
          <w:sz w:val="22"/>
          <w:szCs w:val="22"/>
        </w:rPr>
      </w:pPr>
      <w:r w:rsidRPr="00F93FFA">
        <w:rPr>
          <w:sz w:val="22"/>
          <w:szCs w:val="22"/>
          <w:u w:val="single"/>
        </w:rPr>
        <w:t>Gamintojo, atsakingo už serijų išleidimą, pavadinimas ir adresas</w:t>
      </w:r>
    </w:p>
    <w:p w14:paraId="11E92FAD" w14:textId="77777777" w:rsidR="003646A0" w:rsidRPr="00F93FFA" w:rsidRDefault="003646A0" w:rsidP="00DE16D0">
      <w:pPr>
        <w:widowControl w:val="0"/>
        <w:rPr>
          <w:sz w:val="22"/>
          <w:szCs w:val="22"/>
        </w:rPr>
      </w:pPr>
    </w:p>
    <w:p w14:paraId="39D6AA8F" w14:textId="77777777" w:rsidR="00776292" w:rsidRPr="00F53012" w:rsidRDefault="00776292" w:rsidP="00DE16D0">
      <w:pPr>
        <w:widowControl w:val="0"/>
        <w:tabs>
          <w:tab w:val="left" w:pos="7513"/>
        </w:tabs>
        <w:rPr>
          <w:sz w:val="22"/>
          <w:szCs w:val="22"/>
          <w:lang w:val="pt-PT"/>
        </w:rPr>
      </w:pPr>
      <w:r w:rsidRPr="00F53012">
        <w:rPr>
          <w:sz w:val="22"/>
          <w:szCs w:val="22"/>
          <w:lang w:val="pt-PT"/>
        </w:rPr>
        <w:t>Lek d.d, PE PROIZVODNJA LENDAVA</w:t>
      </w:r>
    </w:p>
    <w:p w14:paraId="7B59F7F4" w14:textId="77777777" w:rsidR="00776292" w:rsidRPr="00F53012" w:rsidRDefault="00776292" w:rsidP="00DE16D0">
      <w:pPr>
        <w:widowControl w:val="0"/>
        <w:tabs>
          <w:tab w:val="left" w:pos="7513"/>
        </w:tabs>
        <w:rPr>
          <w:sz w:val="22"/>
          <w:szCs w:val="22"/>
          <w:lang w:val="pt-PT"/>
        </w:rPr>
      </w:pPr>
      <w:r w:rsidRPr="00F53012">
        <w:rPr>
          <w:sz w:val="22"/>
          <w:szCs w:val="22"/>
          <w:lang w:val="pt-PT"/>
        </w:rPr>
        <w:t>Trimlini 2D</w:t>
      </w:r>
    </w:p>
    <w:p w14:paraId="458A3AD6" w14:textId="77777777" w:rsidR="00776292" w:rsidRPr="00F53012" w:rsidRDefault="00776292" w:rsidP="00DE16D0">
      <w:pPr>
        <w:widowControl w:val="0"/>
        <w:tabs>
          <w:tab w:val="left" w:pos="7513"/>
        </w:tabs>
        <w:rPr>
          <w:sz w:val="22"/>
          <w:szCs w:val="22"/>
          <w:lang w:val="pt-PT"/>
        </w:rPr>
      </w:pPr>
      <w:r w:rsidRPr="00F53012">
        <w:rPr>
          <w:sz w:val="22"/>
          <w:szCs w:val="22"/>
          <w:lang w:val="pt-PT"/>
        </w:rPr>
        <w:t>Lendava, 9220</w:t>
      </w:r>
    </w:p>
    <w:p w14:paraId="62FFEC7F" w14:textId="59AFBAFD" w:rsidR="00776292" w:rsidRPr="00F93FFA" w:rsidRDefault="00776292" w:rsidP="00DE16D0">
      <w:pPr>
        <w:widowControl w:val="0"/>
        <w:tabs>
          <w:tab w:val="left" w:pos="7513"/>
        </w:tabs>
        <w:rPr>
          <w:sz w:val="22"/>
          <w:szCs w:val="22"/>
          <w:lang w:val="pt-BR"/>
        </w:rPr>
      </w:pPr>
      <w:r w:rsidRPr="00F53012">
        <w:rPr>
          <w:sz w:val="22"/>
          <w:szCs w:val="22"/>
          <w:lang w:val="pt-PT"/>
        </w:rPr>
        <w:t>Slov</w:t>
      </w:r>
      <w:r w:rsidR="00EE5D6B" w:rsidRPr="00F53012">
        <w:rPr>
          <w:sz w:val="22"/>
          <w:szCs w:val="22"/>
          <w:lang w:val="pt-PT"/>
        </w:rPr>
        <w:t>ė</w:t>
      </w:r>
      <w:r w:rsidRPr="00F53012">
        <w:rPr>
          <w:sz w:val="22"/>
          <w:szCs w:val="22"/>
          <w:lang w:val="pt-PT"/>
        </w:rPr>
        <w:t>ni</w:t>
      </w:r>
      <w:r w:rsidR="00EE5D6B" w:rsidRPr="00F53012">
        <w:rPr>
          <w:sz w:val="22"/>
          <w:szCs w:val="22"/>
          <w:lang w:val="pt-PT"/>
        </w:rPr>
        <w:t>j</w:t>
      </w:r>
      <w:r w:rsidRPr="00F53012">
        <w:rPr>
          <w:sz w:val="22"/>
          <w:szCs w:val="22"/>
          <w:lang w:val="pt-PT"/>
        </w:rPr>
        <w:t>a</w:t>
      </w:r>
    </w:p>
    <w:p w14:paraId="0F20AC4A" w14:textId="77777777" w:rsidR="00776292" w:rsidRPr="00F93FFA" w:rsidRDefault="00776292" w:rsidP="00DE16D0">
      <w:pPr>
        <w:widowControl w:val="0"/>
        <w:tabs>
          <w:tab w:val="left" w:pos="7513"/>
        </w:tabs>
        <w:rPr>
          <w:sz w:val="22"/>
          <w:szCs w:val="22"/>
          <w:lang w:val="pt-BR"/>
        </w:rPr>
      </w:pPr>
    </w:p>
    <w:p w14:paraId="737E58CA" w14:textId="77777777" w:rsidR="003646A0" w:rsidRPr="00F93FFA" w:rsidRDefault="003646A0" w:rsidP="00DE16D0">
      <w:pPr>
        <w:widowControl w:val="0"/>
        <w:tabs>
          <w:tab w:val="left" w:pos="7513"/>
        </w:tabs>
        <w:rPr>
          <w:sz w:val="22"/>
          <w:szCs w:val="22"/>
        </w:rPr>
      </w:pPr>
      <w:r w:rsidRPr="00F93FFA">
        <w:rPr>
          <w:sz w:val="22"/>
          <w:szCs w:val="22"/>
        </w:rPr>
        <w:t>Novartis Pharma GmbH</w:t>
      </w:r>
    </w:p>
    <w:p w14:paraId="51212947" w14:textId="77777777" w:rsidR="003646A0" w:rsidRPr="00F93FFA" w:rsidRDefault="003646A0" w:rsidP="00DE16D0">
      <w:pPr>
        <w:widowControl w:val="0"/>
        <w:tabs>
          <w:tab w:val="left" w:pos="7513"/>
        </w:tabs>
        <w:rPr>
          <w:sz w:val="22"/>
          <w:szCs w:val="22"/>
        </w:rPr>
      </w:pPr>
      <w:r w:rsidRPr="00F93FFA">
        <w:rPr>
          <w:sz w:val="22"/>
          <w:szCs w:val="22"/>
        </w:rPr>
        <w:t>Roonstra</w:t>
      </w:r>
      <w:r w:rsidRPr="00F93FFA">
        <w:rPr>
          <w:snapToGrid w:val="0"/>
          <w:sz w:val="22"/>
          <w:szCs w:val="22"/>
        </w:rPr>
        <w:t>ss</w:t>
      </w:r>
      <w:r w:rsidRPr="00F93FFA">
        <w:rPr>
          <w:sz w:val="22"/>
          <w:szCs w:val="22"/>
        </w:rPr>
        <w:t>e 25</w:t>
      </w:r>
    </w:p>
    <w:p w14:paraId="00397837" w14:textId="77777777" w:rsidR="003646A0" w:rsidRPr="00F93FFA" w:rsidRDefault="003646A0" w:rsidP="00DE16D0">
      <w:pPr>
        <w:widowControl w:val="0"/>
        <w:ind w:left="709" w:hanging="709"/>
        <w:rPr>
          <w:snapToGrid w:val="0"/>
          <w:sz w:val="22"/>
          <w:szCs w:val="22"/>
        </w:rPr>
      </w:pPr>
      <w:r w:rsidRPr="00F93FFA">
        <w:rPr>
          <w:sz w:val="22"/>
          <w:szCs w:val="22"/>
        </w:rPr>
        <w:t xml:space="preserve">D-90429 </w:t>
      </w:r>
      <w:r w:rsidRPr="00F93FFA">
        <w:rPr>
          <w:snapToGrid w:val="0"/>
          <w:sz w:val="22"/>
          <w:szCs w:val="22"/>
        </w:rPr>
        <w:t>Nürnberg</w:t>
      </w:r>
    </w:p>
    <w:p w14:paraId="37C58D47" w14:textId="77777777" w:rsidR="003646A0" w:rsidRPr="00F93FFA" w:rsidRDefault="003646A0" w:rsidP="00DE16D0">
      <w:pPr>
        <w:widowControl w:val="0"/>
        <w:ind w:left="567" w:hanging="567"/>
        <w:rPr>
          <w:snapToGrid w:val="0"/>
          <w:sz w:val="22"/>
          <w:szCs w:val="22"/>
        </w:rPr>
      </w:pPr>
      <w:r w:rsidRPr="00F93FFA">
        <w:rPr>
          <w:snapToGrid w:val="0"/>
          <w:sz w:val="22"/>
          <w:szCs w:val="22"/>
        </w:rPr>
        <w:t>Vokietija</w:t>
      </w:r>
    </w:p>
    <w:p w14:paraId="30C9B895" w14:textId="119F1B91" w:rsidR="003646A0" w:rsidRDefault="003646A0" w:rsidP="00DE16D0">
      <w:pPr>
        <w:widowControl w:val="0"/>
        <w:rPr>
          <w:sz w:val="22"/>
          <w:szCs w:val="22"/>
        </w:rPr>
      </w:pPr>
    </w:p>
    <w:p w14:paraId="5D9B8199" w14:textId="77777777" w:rsidR="005248F1" w:rsidRPr="005248F1" w:rsidRDefault="005248F1" w:rsidP="005248F1">
      <w:pPr>
        <w:widowControl w:val="0"/>
        <w:rPr>
          <w:sz w:val="22"/>
          <w:szCs w:val="22"/>
        </w:rPr>
      </w:pPr>
      <w:r w:rsidRPr="005248F1">
        <w:rPr>
          <w:sz w:val="22"/>
          <w:szCs w:val="22"/>
        </w:rPr>
        <w:t>Sandoz S.R.L.</w:t>
      </w:r>
    </w:p>
    <w:p w14:paraId="31C7A878" w14:textId="77777777" w:rsidR="005248F1" w:rsidRPr="005248F1" w:rsidRDefault="005248F1" w:rsidP="005248F1">
      <w:pPr>
        <w:widowControl w:val="0"/>
        <w:rPr>
          <w:sz w:val="22"/>
          <w:szCs w:val="22"/>
        </w:rPr>
      </w:pPr>
      <w:r w:rsidRPr="005248F1">
        <w:rPr>
          <w:sz w:val="22"/>
          <w:szCs w:val="22"/>
        </w:rPr>
        <w:t>Str. Livezeni nr. 7A</w:t>
      </w:r>
    </w:p>
    <w:p w14:paraId="5396CDEC" w14:textId="77777777" w:rsidR="005248F1" w:rsidRPr="005248F1" w:rsidRDefault="005248F1" w:rsidP="005248F1">
      <w:pPr>
        <w:widowControl w:val="0"/>
        <w:rPr>
          <w:sz w:val="22"/>
          <w:szCs w:val="22"/>
        </w:rPr>
      </w:pPr>
      <w:r w:rsidRPr="005248F1">
        <w:rPr>
          <w:sz w:val="22"/>
          <w:szCs w:val="22"/>
        </w:rPr>
        <w:t>540472, Targu Mures</w:t>
      </w:r>
    </w:p>
    <w:p w14:paraId="1FF1386F" w14:textId="175EDDB4" w:rsidR="005248F1" w:rsidRDefault="005248F1" w:rsidP="005248F1">
      <w:pPr>
        <w:widowControl w:val="0"/>
        <w:rPr>
          <w:sz w:val="22"/>
          <w:szCs w:val="22"/>
        </w:rPr>
      </w:pPr>
      <w:r w:rsidRPr="005248F1">
        <w:rPr>
          <w:sz w:val="22"/>
          <w:szCs w:val="22"/>
        </w:rPr>
        <w:t>Rumunija</w:t>
      </w:r>
    </w:p>
    <w:p w14:paraId="2D6BFBDD" w14:textId="77777777" w:rsidR="005248F1" w:rsidRPr="00F93FFA" w:rsidRDefault="005248F1" w:rsidP="005248F1">
      <w:pPr>
        <w:widowControl w:val="0"/>
        <w:rPr>
          <w:sz w:val="22"/>
          <w:szCs w:val="22"/>
        </w:rPr>
      </w:pPr>
    </w:p>
    <w:p w14:paraId="45BB018C" w14:textId="77777777" w:rsidR="00776292" w:rsidRPr="00F93FFA" w:rsidRDefault="00776292" w:rsidP="00DE16D0">
      <w:pPr>
        <w:widowControl w:val="0"/>
        <w:rPr>
          <w:sz w:val="22"/>
          <w:szCs w:val="22"/>
        </w:rPr>
      </w:pPr>
      <w:r w:rsidRPr="00F93FFA">
        <w:rPr>
          <w:sz w:val="22"/>
          <w:szCs w:val="22"/>
        </w:rPr>
        <w:t>Su pakuote pateikiamame lapelyje nurodomas gamintojo, atsakingo už konkrečios serijos išleidimą, pavadinimas ir adresas.</w:t>
      </w:r>
    </w:p>
    <w:p w14:paraId="32373466" w14:textId="77777777" w:rsidR="00776292" w:rsidRPr="00F93FFA" w:rsidRDefault="00776292" w:rsidP="00DE16D0">
      <w:pPr>
        <w:widowControl w:val="0"/>
        <w:rPr>
          <w:sz w:val="22"/>
          <w:szCs w:val="22"/>
        </w:rPr>
      </w:pPr>
    </w:p>
    <w:p w14:paraId="0AE1ED0C" w14:textId="77777777" w:rsidR="003646A0" w:rsidRPr="00F93FFA" w:rsidRDefault="003646A0" w:rsidP="00DE16D0">
      <w:pPr>
        <w:widowControl w:val="0"/>
        <w:rPr>
          <w:sz w:val="22"/>
          <w:szCs w:val="22"/>
        </w:rPr>
      </w:pPr>
    </w:p>
    <w:p w14:paraId="184F9D7C" w14:textId="77777777" w:rsidR="003646A0" w:rsidRPr="00F93FFA" w:rsidRDefault="003646A0" w:rsidP="00D82342">
      <w:pPr>
        <w:keepNext/>
        <w:widowControl w:val="0"/>
        <w:ind w:left="567" w:hanging="567"/>
        <w:rPr>
          <w:b/>
          <w:color w:val="000000"/>
          <w:sz w:val="22"/>
          <w:szCs w:val="22"/>
        </w:rPr>
      </w:pPr>
      <w:r w:rsidRPr="00F93FFA">
        <w:rPr>
          <w:b/>
          <w:color w:val="000000"/>
          <w:sz w:val="22"/>
          <w:szCs w:val="22"/>
        </w:rPr>
        <w:t>B.</w:t>
      </w:r>
      <w:r w:rsidRPr="00F93FFA">
        <w:rPr>
          <w:b/>
          <w:color w:val="000000"/>
          <w:sz w:val="22"/>
          <w:szCs w:val="22"/>
        </w:rPr>
        <w:tab/>
      </w:r>
      <w:r w:rsidRPr="00F93FFA">
        <w:rPr>
          <w:b/>
          <w:sz w:val="22"/>
          <w:szCs w:val="22"/>
        </w:rPr>
        <w:t>TIEKIMO IR VARTOJIMO SĄLYGOS AR APRIBOJIMAI</w:t>
      </w:r>
    </w:p>
    <w:p w14:paraId="41595365" w14:textId="77777777" w:rsidR="003646A0" w:rsidRPr="00F93FFA" w:rsidRDefault="003646A0" w:rsidP="00D82342">
      <w:pPr>
        <w:keepNext/>
        <w:widowControl w:val="0"/>
        <w:rPr>
          <w:color w:val="000000"/>
          <w:sz w:val="22"/>
          <w:szCs w:val="22"/>
        </w:rPr>
      </w:pPr>
    </w:p>
    <w:p w14:paraId="1AE1301F" w14:textId="77777777" w:rsidR="003646A0" w:rsidRPr="00F93FFA" w:rsidRDefault="003646A0" w:rsidP="00DE16D0">
      <w:pPr>
        <w:widowControl w:val="0"/>
        <w:numPr>
          <w:ilvl w:val="12"/>
          <w:numId w:val="0"/>
        </w:numPr>
        <w:rPr>
          <w:color w:val="000000"/>
          <w:sz w:val="22"/>
          <w:szCs w:val="22"/>
        </w:rPr>
      </w:pPr>
      <w:r w:rsidRPr="00F93FFA">
        <w:rPr>
          <w:color w:val="000000"/>
          <w:sz w:val="22"/>
          <w:szCs w:val="22"/>
        </w:rPr>
        <w:t>Riboto išrašymo receptinis vaistinis preparatas (žr. I priedo [preparato charakteristikų santraukos] 4.2</w:t>
      </w:r>
      <w:r w:rsidR="002C261F" w:rsidRPr="00F93FFA">
        <w:rPr>
          <w:color w:val="000000"/>
          <w:sz w:val="22"/>
          <w:szCs w:val="22"/>
        </w:rPr>
        <w:t> </w:t>
      </w:r>
      <w:r w:rsidRPr="00F93FFA">
        <w:rPr>
          <w:color w:val="000000"/>
          <w:sz w:val="22"/>
          <w:szCs w:val="22"/>
        </w:rPr>
        <w:t>skyrių).</w:t>
      </w:r>
    </w:p>
    <w:p w14:paraId="4BFFD45A" w14:textId="77777777" w:rsidR="003646A0" w:rsidRPr="00F93FFA" w:rsidRDefault="003646A0" w:rsidP="00DE16D0">
      <w:pPr>
        <w:widowControl w:val="0"/>
        <w:ind w:left="567" w:hanging="567"/>
        <w:rPr>
          <w:sz w:val="22"/>
          <w:szCs w:val="22"/>
        </w:rPr>
      </w:pPr>
    </w:p>
    <w:p w14:paraId="3082584A" w14:textId="77777777" w:rsidR="003646A0" w:rsidRPr="00F93FFA" w:rsidRDefault="003646A0" w:rsidP="00DE16D0">
      <w:pPr>
        <w:widowControl w:val="0"/>
        <w:ind w:left="567" w:hanging="567"/>
        <w:rPr>
          <w:sz w:val="22"/>
          <w:szCs w:val="22"/>
        </w:rPr>
      </w:pPr>
    </w:p>
    <w:p w14:paraId="1381CF53" w14:textId="77777777" w:rsidR="003646A0" w:rsidRPr="00F93FFA" w:rsidRDefault="003646A0" w:rsidP="00D82342">
      <w:pPr>
        <w:keepNext/>
        <w:widowControl w:val="0"/>
        <w:ind w:left="567" w:hanging="567"/>
        <w:rPr>
          <w:b/>
          <w:sz w:val="22"/>
          <w:szCs w:val="22"/>
        </w:rPr>
      </w:pPr>
      <w:r w:rsidRPr="00F93FFA">
        <w:rPr>
          <w:b/>
          <w:sz w:val="22"/>
          <w:szCs w:val="22"/>
        </w:rPr>
        <w:t>C.</w:t>
      </w:r>
      <w:r w:rsidRPr="00F93FFA">
        <w:rPr>
          <w:b/>
          <w:sz w:val="22"/>
          <w:szCs w:val="22"/>
        </w:rPr>
        <w:tab/>
        <w:t xml:space="preserve">KITOS SĄLYGOS IR REIKALAVIMAI </w:t>
      </w:r>
      <w:r w:rsidR="002C261F" w:rsidRPr="00F93FFA">
        <w:rPr>
          <w:b/>
          <w:sz w:val="22"/>
          <w:szCs w:val="22"/>
          <w:lang w:bidi="lt-LT"/>
        </w:rPr>
        <w:t>REGISTRUOTOJUI</w:t>
      </w:r>
    </w:p>
    <w:p w14:paraId="75FB5EB8" w14:textId="77777777" w:rsidR="003646A0" w:rsidRPr="00F93FFA" w:rsidRDefault="003646A0" w:rsidP="00D82342">
      <w:pPr>
        <w:keepNext/>
        <w:widowControl w:val="0"/>
        <w:ind w:right="-1"/>
        <w:rPr>
          <w:color w:val="000000"/>
          <w:sz w:val="22"/>
          <w:szCs w:val="22"/>
        </w:rPr>
      </w:pPr>
    </w:p>
    <w:p w14:paraId="476DA231" w14:textId="77777777" w:rsidR="003646A0" w:rsidRPr="00F93FFA" w:rsidRDefault="003646A0" w:rsidP="00D82342">
      <w:pPr>
        <w:keepNext/>
        <w:widowControl w:val="0"/>
        <w:numPr>
          <w:ilvl w:val="0"/>
          <w:numId w:val="24"/>
        </w:numPr>
        <w:tabs>
          <w:tab w:val="left" w:pos="567"/>
        </w:tabs>
        <w:ind w:right="-1" w:hanging="720"/>
        <w:rPr>
          <w:b/>
          <w:sz w:val="22"/>
          <w:szCs w:val="22"/>
        </w:rPr>
      </w:pPr>
      <w:r w:rsidRPr="00F93FFA">
        <w:rPr>
          <w:b/>
          <w:sz w:val="22"/>
          <w:szCs w:val="22"/>
        </w:rPr>
        <w:t>Periodiškai atnaujinami saugumo protokolai</w:t>
      </w:r>
    </w:p>
    <w:p w14:paraId="53F41AA0" w14:textId="77777777" w:rsidR="00D82342" w:rsidRPr="00F93FFA" w:rsidRDefault="00D82342" w:rsidP="00D82342">
      <w:pPr>
        <w:keepNext/>
        <w:widowControl w:val="0"/>
        <w:tabs>
          <w:tab w:val="left" w:pos="0"/>
        </w:tabs>
        <w:rPr>
          <w:sz w:val="22"/>
          <w:szCs w:val="22"/>
          <w:lang w:bidi="lt-LT"/>
        </w:rPr>
      </w:pPr>
    </w:p>
    <w:p w14:paraId="56AE4A62" w14:textId="77777777" w:rsidR="003646A0" w:rsidRPr="00F93FFA" w:rsidRDefault="002C261F" w:rsidP="00DE16D0">
      <w:pPr>
        <w:widowControl w:val="0"/>
        <w:tabs>
          <w:tab w:val="left" w:pos="0"/>
        </w:tabs>
        <w:rPr>
          <w:i/>
          <w:sz w:val="22"/>
          <w:szCs w:val="22"/>
        </w:rPr>
      </w:pPr>
      <w:r w:rsidRPr="00F93FFA">
        <w:rPr>
          <w:sz w:val="22"/>
          <w:szCs w:val="22"/>
          <w:lang w:bidi="lt-LT"/>
        </w:rPr>
        <w:t>Šio vaistinio preparato periodiškai atnaujinamo saugumo protokolo pateikimo reikalavimai išdėstyti Direktyvos 2001/83/EB 107c straipsnio 7 dalyje numatytame Sąjungos referencinių datų sąraše (EURD sąraše), kuris skelbiamas Europos vaistų tinklalapyje.</w:t>
      </w:r>
    </w:p>
    <w:p w14:paraId="77687EC5" w14:textId="77777777" w:rsidR="003646A0" w:rsidRPr="00F93FFA" w:rsidRDefault="003646A0" w:rsidP="00DE16D0">
      <w:pPr>
        <w:widowControl w:val="0"/>
        <w:ind w:right="567"/>
        <w:rPr>
          <w:noProof/>
          <w:sz w:val="22"/>
          <w:szCs w:val="22"/>
          <w:u w:val="single"/>
        </w:rPr>
      </w:pPr>
    </w:p>
    <w:p w14:paraId="7ED43E5A" w14:textId="77777777" w:rsidR="003646A0" w:rsidRPr="00F93FFA" w:rsidRDefault="003646A0" w:rsidP="00DE16D0">
      <w:pPr>
        <w:widowControl w:val="0"/>
        <w:ind w:right="-1"/>
        <w:rPr>
          <w:color w:val="000000"/>
          <w:sz w:val="22"/>
          <w:szCs w:val="22"/>
        </w:rPr>
      </w:pPr>
    </w:p>
    <w:p w14:paraId="2F690D64" w14:textId="77777777" w:rsidR="003646A0" w:rsidRPr="00F93FFA" w:rsidRDefault="003646A0" w:rsidP="00D82342">
      <w:pPr>
        <w:keepNext/>
        <w:widowControl w:val="0"/>
        <w:ind w:left="540" w:right="-1" w:hanging="540"/>
        <w:rPr>
          <w:b/>
          <w:bCs/>
          <w:sz w:val="22"/>
          <w:szCs w:val="22"/>
        </w:rPr>
      </w:pPr>
      <w:r w:rsidRPr="00F93FFA">
        <w:rPr>
          <w:b/>
          <w:bCs/>
          <w:sz w:val="22"/>
          <w:szCs w:val="22"/>
        </w:rPr>
        <w:t>D.</w:t>
      </w:r>
      <w:r w:rsidRPr="00F93FFA">
        <w:rPr>
          <w:b/>
          <w:bCs/>
          <w:sz w:val="22"/>
          <w:szCs w:val="22"/>
        </w:rPr>
        <w:tab/>
        <w:t>SĄLYGOS AR APRIBOJIMAI SAUGIAM IR VEIKSMINGAM VAISTINIO PREPARATO VARTOJIMUI UŽTIKRINTI</w:t>
      </w:r>
    </w:p>
    <w:p w14:paraId="6C337132" w14:textId="77777777" w:rsidR="003646A0" w:rsidRPr="00F93FFA" w:rsidRDefault="003646A0" w:rsidP="00D82342">
      <w:pPr>
        <w:keepNext/>
        <w:widowControl w:val="0"/>
        <w:ind w:right="-1"/>
        <w:rPr>
          <w:sz w:val="22"/>
          <w:szCs w:val="22"/>
        </w:rPr>
      </w:pPr>
    </w:p>
    <w:p w14:paraId="0C8A6A07" w14:textId="77777777" w:rsidR="003646A0" w:rsidRPr="00F93FFA" w:rsidRDefault="003646A0" w:rsidP="00D82342">
      <w:pPr>
        <w:keepNext/>
        <w:widowControl w:val="0"/>
        <w:numPr>
          <w:ilvl w:val="0"/>
          <w:numId w:val="24"/>
        </w:numPr>
        <w:tabs>
          <w:tab w:val="left" w:pos="567"/>
        </w:tabs>
        <w:ind w:right="-1" w:hanging="720"/>
        <w:rPr>
          <w:b/>
          <w:sz w:val="22"/>
          <w:szCs w:val="22"/>
        </w:rPr>
      </w:pPr>
      <w:r w:rsidRPr="00F93FFA">
        <w:rPr>
          <w:b/>
          <w:sz w:val="22"/>
          <w:szCs w:val="22"/>
        </w:rPr>
        <w:t>Rizikos valdymo planas (RVP)</w:t>
      </w:r>
    </w:p>
    <w:p w14:paraId="35124085" w14:textId="77777777" w:rsidR="00D82342" w:rsidRPr="00F93FFA" w:rsidRDefault="00D82342" w:rsidP="00D82342">
      <w:pPr>
        <w:keepNext/>
        <w:widowControl w:val="0"/>
        <w:tabs>
          <w:tab w:val="left" w:pos="0"/>
        </w:tabs>
        <w:rPr>
          <w:sz w:val="22"/>
          <w:szCs w:val="22"/>
          <w:lang w:bidi="lt-LT"/>
        </w:rPr>
      </w:pPr>
    </w:p>
    <w:p w14:paraId="18420E14" w14:textId="77777777" w:rsidR="003646A0" w:rsidRPr="00F93FFA" w:rsidRDefault="002C261F" w:rsidP="00DE16D0">
      <w:pPr>
        <w:widowControl w:val="0"/>
        <w:tabs>
          <w:tab w:val="left" w:pos="0"/>
        </w:tabs>
        <w:rPr>
          <w:noProof/>
          <w:sz w:val="22"/>
          <w:szCs w:val="22"/>
        </w:rPr>
      </w:pPr>
      <w:r w:rsidRPr="00F93FFA">
        <w:rPr>
          <w:sz w:val="22"/>
          <w:szCs w:val="22"/>
          <w:lang w:bidi="lt-LT"/>
        </w:rPr>
        <w:t>Registruotojas</w:t>
      </w:r>
      <w:r w:rsidR="003646A0" w:rsidRPr="00F93FFA">
        <w:rPr>
          <w:sz w:val="22"/>
          <w:szCs w:val="22"/>
        </w:rPr>
        <w:t xml:space="preserve"> atlieka reikalaujamą farmakologinio budrumo veiklą ir veiksmus, kurie išsamiai aprašyti </w:t>
      </w:r>
      <w:r w:rsidRPr="00F93FFA">
        <w:rPr>
          <w:sz w:val="22"/>
          <w:szCs w:val="22"/>
          <w:lang w:bidi="lt-LT"/>
        </w:rPr>
        <w:t xml:space="preserve">registracijos </w:t>
      </w:r>
      <w:r w:rsidR="003646A0" w:rsidRPr="00F93FFA">
        <w:rPr>
          <w:sz w:val="22"/>
          <w:szCs w:val="22"/>
        </w:rPr>
        <w:t>bylos 1.8.2 modulyje pateiktame RVP ir suderintose tolesnėse jo versijose.</w:t>
      </w:r>
    </w:p>
    <w:p w14:paraId="3922CDFD" w14:textId="77777777" w:rsidR="003646A0" w:rsidRPr="00F93FFA" w:rsidRDefault="003646A0" w:rsidP="00DE16D0">
      <w:pPr>
        <w:widowControl w:val="0"/>
        <w:rPr>
          <w:noProof/>
          <w:color w:val="000000"/>
          <w:sz w:val="22"/>
          <w:szCs w:val="22"/>
        </w:rPr>
      </w:pPr>
    </w:p>
    <w:p w14:paraId="074529A5" w14:textId="77777777" w:rsidR="003646A0" w:rsidRPr="00F93FFA" w:rsidRDefault="003646A0" w:rsidP="00D82342">
      <w:pPr>
        <w:keepNext/>
        <w:widowControl w:val="0"/>
        <w:ind w:right="-1"/>
        <w:rPr>
          <w:i/>
          <w:noProof/>
          <w:sz w:val="22"/>
          <w:szCs w:val="22"/>
          <w:lang w:val="es-ES_tradnl"/>
        </w:rPr>
      </w:pPr>
      <w:r w:rsidRPr="00F93FFA">
        <w:rPr>
          <w:sz w:val="22"/>
          <w:szCs w:val="22"/>
        </w:rPr>
        <w:t>Atnaujintas rizikos valdymo planas turi būti pateiktas</w:t>
      </w:r>
      <w:r w:rsidRPr="00F93FFA">
        <w:rPr>
          <w:noProof/>
          <w:sz w:val="22"/>
          <w:szCs w:val="22"/>
          <w:lang w:val="es-ES_tradnl"/>
        </w:rPr>
        <w:t>:</w:t>
      </w:r>
    </w:p>
    <w:p w14:paraId="035B6467" w14:textId="77777777" w:rsidR="003646A0" w:rsidRPr="00F93FFA" w:rsidRDefault="003646A0" w:rsidP="00DE16D0">
      <w:pPr>
        <w:widowControl w:val="0"/>
        <w:numPr>
          <w:ilvl w:val="0"/>
          <w:numId w:val="25"/>
        </w:numPr>
        <w:tabs>
          <w:tab w:val="clear" w:pos="720"/>
        </w:tabs>
        <w:ind w:left="567" w:right="-1" w:hanging="567"/>
        <w:rPr>
          <w:i/>
          <w:noProof/>
          <w:sz w:val="22"/>
          <w:szCs w:val="22"/>
        </w:rPr>
      </w:pPr>
      <w:r w:rsidRPr="00F93FFA">
        <w:rPr>
          <w:sz w:val="22"/>
          <w:szCs w:val="22"/>
        </w:rPr>
        <w:t>pareikalavus Europos vaistų agentūrai</w:t>
      </w:r>
      <w:r w:rsidRPr="00F93FFA">
        <w:rPr>
          <w:noProof/>
          <w:sz w:val="22"/>
          <w:szCs w:val="22"/>
        </w:rPr>
        <w:t>;</w:t>
      </w:r>
    </w:p>
    <w:p w14:paraId="64278581" w14:textId="77777777" w:rsidR="003646A0" w:rsidRPr="00F93FFA" w:rsidRDefault="003646A0" w:rsidP="00DE16D0">
      <w:pPr>
        <w:widowControl w:val="0"/>
        <w:numPr>
          <w:ilvl w:val="0"/>
          <w:numId w:val="25"/>
        </w:numPr>
        <w:tabs>
          <w:tab w:val="clear" w:pos="720"/>
        </w:tabs>
        <w:ind w:left="567" w:right="-1" w:hanging="567"/>
        <w:rPr>
          <w:noProof/>
          <w:sz w:val="22"/>
          <w:szCs w:val="22"/>
        </w:rPr>
      </w:pPr>
      <w:r w:rsidRPr="00F93FFA">
        <w:rPr>
          <w:sz w:val="22"/>
          <w:szCs w:val="22"/>
        </w:rPr>
        <w:t>kai keičiama rizikos valdymo sistema, ypač gavus naujos informacijos, kuri gali lemti didelį naudos ir rizikos santykio pokytį arba pasiekus svarbų (farmakologinio budrumo ar rizikos mažinimo) etapą.</w:t>
      </w:r>
    </w:p>
    <w:p w14:paraId="5B3987A5" w14:textId="77777777" w:rsidR="003646A0" w:rsidRPr="00F93FFA" w:rsidRDefault="003646A0" w:rsidP="00DE16D0">
      <w:pPr>
        <w:widowControl w:val="0"/>
        <w:ind w:right="-1"/>
        <w:rPr>
          <w:noProof/>
          <w:sz w:val="22"/>
          <w:szCs w:val="22"/>
        </w:rPr>
      </w:pPr>
    </w:p>
    <w:p w14:paraId="4915A05B" w14:textId="77777777" w:rsidR="003646A0" w:rsidRPr="00F93FFA" w:rsidRDefault="003646A0" w:rsidP="00D82342">
      <w:pPr>
        <w:keepNext/>
        <w:widowControl w:val="0"/>
        <w:numPr>
          <w:ilvl w:val="0"/>
          <w:numId w:val="24"/>
        </w:numPr>
        <w:tabs>
          <w:tab w:val="clear" w:pos="720"/>
        </w:tabs>
        <w:ind w:left="567" w:hanging="567"/>
        <w:rPr>
          <w:b/>
          <w:bCs/>
          <w:sz w:val="22"/>
          <w:szCs w:val="22"/>
        </w:rPr>
      </w:pPr>
      <w:r w:rsidRPr="00F93FFA">
        <w:rPr>
          <w:b/>
          <w:sz w:val="22"/>
          <w:szCs w:val="22"/>
        </w:rPr>
        <w:lastRenderedPageBreak/>
        <w:t>Įpareigojimas vykdyti poregistracines užduotis</w:t>
      </w:r>
    </w:p>
    <w:p w14:paraId="5DB58D9C" w14:textId="77777777" w:rsidR="003646A0" w:rsidRPr="00F93FFA" w:rsidRDefault="003646A0" w:rsidP="00D82342">
      <w:pPr>
        <w:pStyle w:val="NormalAgency"/>
        <w:keepNext/>
        <w:widowControl w:val="0"/>
        <w:rPr>
          <w:rFonts w:ascii="Times New Roman" w:hAnsi="Times New Roman"/>
          <w:bCs/>
          <w:i/>
          <w:iCs/>
          <w:sz w:val="22"/>
          <w:szCs w:val="22"/>
          <w:lang w:val="en-GB"/>
        </w:rPr>
      </w:pPr>
    </w:p>
    <w:p w14:paraId="19068F9D" w14:textId="77777777" w:rsidR="003646A0" w:rsidRPr="00F93FFA" w:rsidRDefault="002C261F" w:rsidP="00D82342">
      <w:pPr>
        <w:keepNext/>
        <w:widowControl w:val="0"/>
        <w:rPr>
          <w:sz w:val="22"/>
          <w:szCs w:val="22"/>
        </w:rPr>
      </w:pPr>
      <w:r w:rsidRPr="00F93FFA">
        <w:rPr>
          <w:sz w:val="22"/>
          <w:szCs w:val="22"/>
          <w:lang w:bidi="lt-LT"/>
        </w:rPr>
        <w:t>Registruotojas</w:t>
      </w:r>
      <w:r w:rsidR="003646A0" w:rsidRPr="00F93FFA">
        <w:rPr>
          <w:sz w:val="22"/>
          <w:szCs w:val="22"/>
        </w:rPr>
        <w:t xml:space="preserve"> per nustatytus terminus turi įvykdyti šias užduotis:</w:t>
      </w:r>
    </w:p>
    <w:p w14:paraId="2BC029C4" w14:textId="77777777" w:rsidR="003646A0" w:rsidRPr="00F93FFA" w:rsidRDefault="003646A0" w:rsidP="00D82342">
      <w:pPr>
        <w:keepNext/>
        <w:widowControl w:val="0"/>
        <w:rPr>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25"/>
        <w:gridCol w:w="1454"/>
      </w:tblGrid>
      <w:tr w:rsidR="003646A0" w:rsidRPr="00F93FFA" w14:paraId="568DCD05" w14:textId="77777777" w:rsidTr="00D82342">
        <w:trPr>
          <w:cantSplit/>
        </w:trPr>
        <w:tc>
          <w:tcPr>
            <w:tcW w:w="4181" w:type="pct"/>
            <w:tcMar>
              <w:top w:w="0" w:type="dxa"/>
              <w:left w:w="108" w:type="dxa"/>
              <w:bottom w:w="0" w:type="dxa"/>
              <w:right w:w="108" w:type="dxa"/>
            </w:tcMar>
          </w:tcPr>
          <w:p w14:paraId="060F12BB" w14:textId="77777777" w:rsidR="003646A0" w:rsidRPr="00F93FFA" w:rsidRDefault="003646A0" w:rsidP="00D82342">
            <w:pPr>
              <w:keepNext/>
              <w:widowControl w:val="0"/>
              <w:ind w:right="-1"/>
              <w:rPr>
                <w:rFonts w:eastAsia="Calibri"/>
                <w:b/>
                <w:bCs/>
                <w:sz w:val="22"/>
                <w:szCs w:val="22"/>
              </w:rPr>
            </w:pPr>
            <w:r w:rsidRPr="00F93FFA">
              <w:rPr>
                <w:b/>
                <w:bCs/>
                <w:sz w:val="22"/>
                <w:szCs w:val="22"/>
              </w:rPr>
              <w:t>Aprašymas</w:t>
            </w:r>
          </w:p>
        </w:tc>
        <w:tc>
          <w:tcPr>
            <w:tcW w:w="819" w:type="pct"/>
            <w:tcMar>
              <w:top w:w="0" w:type="dxa"/>
              <w:left w:w="108" w:type="dxa"/>
              <w:bottom w:w="0" w:type="dxa"/>
              <w:right w:w="108" w:type="dxa"/>
            </w:tcMar>
          </w:tcPr>
          <w:p w14:paraId="0B4E5133" w14:textId="77777777" w:rsidR="003646A0" w:rsidRPr="00F93FFA" w:rsidRDefault="003646A0" w:rsidP="00D82342">
            <w:pPr>
              <w:keepNext/>
              <w:widowControl w:val="0"/>
              <w:ind w:right="-1"/>
              <w:rPr>
                <w:rFonts w:eastAsia="Calibri"/>
                <w:b/>
                <w:bCs/>
                <w:sz w:val="22"/>
                <w:szCs w:val="22"/>
              </w:rPr>
            </w:pPr>
            <w:r w:rsidRPr="00F93FFA">
              <w:rPr>
                <w:b/>
                <w:bCs/>
                <w:sz w:val="22"/>
                <w:szCs w:val="22"/>
              </w:rPr>
              <w:t>Terminas</w:t>
            </w:r>
          </w:p>
        </w:tc>
      </w:tr>
      <w:tr w:rsidR="003646A0" w:rsidRPr="00F93FFA" w14:paraId="15936252" w14:textId="77777777" w:rsidTr="00D82342">
        <w:trPr>
          <w:cantSplit/>
        </w:trPr>
        <w:tc>
          <w:tcPr>
            <w:tcW w:w="4181" w:type="pct"/>
            <w:tcMar>
              <w:top w:w="0" w:type="dxa"/>
              <w:left w:w="108" w:type="dxa"/>
              <w:bottom w:w="0" w:type="dxa"/>
              <w:right w:w="108" w:type="dxa"/>
            </w:tcMar>
          </w:tcPr>
          <w:p w14:paraId="18FF1B33" w14:textId="77777777" w:rsidR="003646A0" w:rsidRPr="00F93FFA" w:rsidRDefault="003646A0" w:rsidP="00D82342">
            <w:pPr>
              <w:pStyle w:val="EndnoteText"/>
              <w:keepNext/>
              <w:widowControl w:val="0"/>
              <w:rPr>
                <w:color w:val="000000"/>
                <w:szCs w:val="22"/>
                <w:lang w:val="lt-LT"/>
              </w:rPr>
            </w:pPr>
            <w:r w:rsidRPr="00F93FFA">
              <w:rPr>
                <w:rStyle w:val="hps"/>
                <w:color w:val="333333"/>
                <w:szCs w:val="22"/>
              </w:rPr>
              <w:t xml:space="preserve">Sudaryti </w:t>
            </w:r>
            <w:r w:rsidRPr="00F93FFA">
              <w:rPr>
                <w:rStyle w:val="hps"/>
                <w:color w:val="333333"/>
                <w:szCs w:val="22"/>
                <w:lang w:val="lt-LT"/>
              </w:rPr>
              <w:t>veiksmingumo</w:t>
            </w:r>
            <w:r w:rsidRPr="00F93FFA">
              <w:rPr>
                <w:color w:val="333333"/>
                <w:szCs w:val="22"/>
                <w:lang w:val="lt-LT"/>
              </w:rPr>
              <w:t xml:space="preserve"> </w:t>
            </w:r>
            <w:r w:rsidRPr="00F93FFA">
              <w:rPr>
                <w:rStyle w:val="hps"/>
                <w:color w:val="333333"/>
                <w:szCs w:val="22"/>
                <w:lang w:val="lt-LT"/>
              </w:rPr>
              <w:t xml:space="preserve">ir saugumo </w:t>
            </w:r>
            <w:r w:rsidRPr="00F93FFA">
              <w:rPr>
                <w:color w:val="333333"/>
                <w:szCs w:val="22"/>
                <w:lang w:val="lt-LT"/>
              </w:rPr>
              <w:t xml:space="preserve">stebėjimo </w:t>
            </w:r>
            <w:r w:rsidRPr="00F93FFA">
              <w:rPr>
                <w:rStyle w:val="hps"/>
                <w:color w:val="333333"/>
                <w:szCs w:val="22"/>
                <w:lang w:val="lt-LT"/>
              </w:rPr>
              <w:t>registr</w:t>
            </w:r>
            <w:r w:rsidRPr="00F93FFA">
              <w:rPr>
                <w:rStyle w:val="hps"/>
                <w:color w:val="333333"/>
                <w:szCs w:val="22"/>
              </w:rPr>
              <w:t xml:space="preserve">ą pediatriniams pacientams, </w:t>
            </w:r>
            <w:r w:rsidRPr="00F93FFA">
              <w:rPr>
                <w:color w:val="333333"/>
                <w:szCs w:val="22"/>
              </w:rPr>
              <w:t>kuriems buvo naujai</w:t>
            </w:r>
            <w:r w:rsidRPr="00F93FFA">
              <w:rPr>
                <w:rStyle w:val="hps"/>
                <w:color w:val="333333"/>
                <w:szCs w:val="22"/>
              </w:rPr>
              <w:t xml:space="preserve"> </w:t>
            </w:r>
            <w:r w:rsidRPr="00F93FFA">
              <w:rPr>
                <w:rStyle w:val="hps"/>
                <w:color w:val="333333"/>
                <w:szCs w:val="22"/>
                <w:lang w:val="lt-LT"/>
              </w:rPr>
              <w:t>diagnozuot</w:t>
            </w:r>
            <w:r w:rsidRPr="00F93FFA">
              <w:rPr>
                <w:rStyle w:val="hps"/>
                <w:color w:val="333333"/>
                <w:szCs w:val="22"/>
              </w:rPr>
              <w:t>a</w:t>
            </w:r>
            <w:r w:rsidRPr="00F93FFA">
              <w:rPr>
                <w:color w:val="333333"/>
                <w:szCs w:val="22"/>
                <w:lang w:val="lt-LT"/>
              </w:rPr>
              <w:t xml:space="preserve"> </w:t>
            </w:r>
            <w:r w:rsidRPr="00F93FFA">
              <w:rPr>
                <w:rStyle w:val="hps"/>
                <w:color w:val="333333"/>
                <w:szCs w:val="22"/>
                <w:lang w:val="lt-LT"/>
              </w:rPr>
              <w:t>Ph</w:t>
            </w:r>
            <w:r w:rsidRPr="00F93FFA">
              <w:rPr>
                <w:color w:val="333333"/>
                <w:szCs w:val="22"/>
                <w:lang w:val="lt-LT"/>
              </w:rPr>
              <w:t xml:space="preserve"> </w:t>
            </w:r>
            <w:r w:rsidRPr="00F93FFA">
              <w:rPr>
                <w:rStyle w:val="hps"/>
                <w:color w:val="333333"/>
                <w:szCs w:val="22"/>
                <w:lang w:val="lt-LT"/>
              </w:rPr>
              <w:t>+</w:t>
            </w:r>
            <w:r w:rsidRPr="00F93FFA">
              <w:rPr>
                <w:rStyle w:val="hps"/>
                <w:color w:val="333333"/>
                <w:szCs w:val="22"/>
              </w:rPr>
              <w:t xml:space="preserve"> ūmi</w:t>
            </w:r>
            <w:r w:rsidRPr="00F93FFA">
              <w:rPr>
                <w:color w:val="333333"/>
                <w:szCs w:val="22"/>
                <w:lang w:val="lt-LT"/>
              </w:rPr>
              <w:t xml:space="preserve"> </w:t>
            </w:r>
            <w:r w:rsidRPr="00F93FFA">
              <w:rPr>
                <w:rStyle w:val="hps"/>
                <w:color w:val="333333"/>
                <w:szCs w:val="22"/>
                <w:lang w:val="lt-LT"/>
              </w:rPr>
              <w:t>limfoblastin</w:t>
            </w:r>
            <w:r w:rsidRPr="00F93FFA">
              <w:rPr>
                <w:rStyle w:val="hps"/>
                <w:color w:val="333333"/>
                <w:szCs w:val="22"/>
              </w:rPr>
              <w:t>ė</w:t>
            </w:r>
            <w:r w:rsidRPr="00F93FFA">
              <w:rPr>
                <w:color w:val="333333"/>
                <w:szCs w:val="22"/>
                <w:lang w:val="lt-LT"/>
              </w:rPr>
              <w:t xml:space="preserve"> </w:t>
            </w:r>
            <w:r w:rsidRPr="00F93FFA">
              <w:rPr>
                <w:rStyle w:val="hps"/>
                <w:color w:val="333333"/>
                <w:szCs w:val="22"/>
              </w:rPr>
              <w:t>l</w:t>
            </w:r>
            <w:r w:rsidRPr="00F93FFA">
              <w:rPr>
                <w:rStyle w:val="hps"/>
                <w:color w:val="333333"/>
                <w:szCs w:val="22"/>
                <w:lang w:val="lt-LT"/>
              </w:rPr>
              <w:t>eukemij</w:t>
            </w:r>
            <w:r w:rsidRPr="00F93FFA">
              <w:rPr>
                <w:rStyle w:val="hps"/>
                <w:color w:val="333333"/>
                <w:szCs w:val="22"/>
              </w:rPr>
              <w:t>a</w:t>
            </w:r>
            <w:r w:rsidRPr="00F93FFA">
              <w:rPr>
                <w:color w:val="333333"/>
                <w:szCs w:val="22"/>
                <w:lang w:val="lt-LT"/>
              </w:rPr>
              <w:t xml:space="preserve"> </w:t>
            </w:r>
            <w:r w:rsidRPr="00F93FFA">
              <w:rPr>
                <w:rStyle w:val="hps"/>
                <w:color w:val="333333"/>
                <w:szCs w:val="22"/>
              </w:rPr>
              <w:t>(ŪLL</w:t>
            </w:r>
            <w:r w:rsidRPr="00F93FFA">
              <w:rPr>
                <w:rStyle w:val="hps"/>
                <w:color w:val="333333"/>
                <w:szCs w:val="22"/>
                <w:lang w:val="lt-LT"/>
              </w:rPr>
              <w:t>)</w:t>
            </w:r>
            <w:r w:rsidRPr="00F93FFA">
              <w:rPr>
                <w:rStyle w:val="hps"/>
                <w:color w:val="333333"/>
                <w:szCs w:val="22"/>
              </w:rPr>
              <w:t xml:space="preserve"> ir skirta </w:t>
            </w:r>
            <w:r w:rsidRPr="00F93FFA">
              <w:rPr>
                <w:rStyle w:val="hps"/>
                <w:color w:val="333333"/>
                <w:szCs w:val="22"/>
                <w:lang w:val="lt-LT"/>
              </w:rPr>
              <w:t>chemoterapi</w:t>
            </w:r>
            <w:r w:rsidRPr="00F93FFA">
              <w:rPr>
                <w:rStyle w:val="hps"/>
                <w:color w:val="333333"/>
                <w:szCs w:val="22"/>
              </w:rPr>
              <w:t>ja</w:t>
            </w:r>
            <w:r w:rsidRPr="00F93FFA">
              <w:rPr>
                <w:color w:val="333333"/>
                <w:szCs w:val="22"/>
                <w:lang w:val="lt-LT"/>
              </w:rPr>
              <w:t xml:space="preserve"> </w:t>
            </w:r>
            <w:r w:rsidRPr="00F93FFA">
              <w:rPr>
                <w:rStyle w:val="hps"/>
                <w:color w:val="333333"/>
                <w:szCs w:val="22"/>
                <w:lang w:val="lt-LT"/>
              </w:rPr>
              <w:t>+</w:t>
            </w:r>
            <w:r w:rsidRPr="00F93FFA">
              <w:rPr>
                <w:color w:val="333333"/>
                <w:szCs w:val="22"/>
                <w:lang w:val="lt-LT"/>
              </w:rPr>
              <w:t xml:space="preserve"> </w:t>
            </w:r>
            <w:r w:rsidRPr="00F93FFA">
              <w:rPr>
                <w:rStyle w:val="hps"/>
                <w:color w:val="333333"/>
                <w:szCs w:val="22"/>
                <w:lang w:val="lt-LT"/>
              </w:rPr>
              <w:t>imatinib</w:t>
            </w:r>
            <w:r w:rsidRPr="00F93FFA">
              <w:rPr>
                <w:rStyle w:val="hps"/>
                <w:color w:val="333333"/>
                <w:szCs w:val="22"/>
              </w:rPr>
              <w:t>as</w:t>
            </w:r>
            <w:r w:rsidRPr="00F93FFA">
              <w:rPr>
                <w:color w:val="333333"/>
                <w:szCs w:val="22"/>
                <w:lang w:val="lt-LT"/>
              </w:rPr>
              <w:t xml:space="preserve"> </w:t>
            </w:r>
            <w:r w:rsidRPr="00F93FFA">
              <w:rPr>
                <w:rStyle w:val="hps"/>
                <w:color w:val="333333"/>
                <w:szCs w:val="22"/>
                <w:lang w:val="lt-LT"/>
              </w:rPr>
              <w:t>±</w:t>
            </w:r>
            <w:r w:rsidRPr="00F93FFA">
              <w:rPr>
                <w:color w:val="000000"/>
                <w:szCs w:val="22"/>
                <w:lang w:val="lt-LT"/>
              </w:rPr>
              <w:t xml:space="preserve"> hematopoetinių kamieninių ląstelių transplantacija (</w:t>
            </w:r>
            <w:r w:rsidRPr="00F93FFA">
              <w:rPr>
                <w:rStyle w:val="hps"/>
                <w:color w:val="333333"/>
                <w:szCs w:val="22"/>
              </w:rPr>
              <w:t>HKLT).</w:t>
            </w:r>
            <w:r w:rsidRPr="00F93FFA">
              <w:rPr>
                <w:color w:val="333333"/>
                <w:szCs w:val="22"/>
              </w:rPr>
              <w:t xml:space="preserve"> Pateikti tyrimo ataskaitos santrauką</w:t>
            </w:r>
            <w:r w:rsidRPr="00F93FFA">
              <w:rPr>
                <w:color w:val="333333"/>
                <w:szCs w:val="22"/>
                <w:lang w:val="lt-LT"/>
              </w:rPr>
              <w:t>.</w:t>
            </w:r>
          </w:p>
        </w:tc>
        <w:tc>
          <w:tcPr>
            <w:tcW w:w="819" w:type="pct"/>
            <w:tcMar>
              <w:top w:w="0" w:type="dxa"/>
              <w:left w:w="108" w:type="dxa"/>
              <w:bottom w:w="0" w:type="dxa"/>
              <w:right w:w="108" w:type="dxa"/>
            </w:tcMar>
          </w:tcPr>
          <w:p w14:paraId="0DC339F7" w14:textId="5E977A50" w:rsidR="003646A0" w:rsidRPr="00F93FFA" w:rsidRDefault="00FF585E" w:rsidP="000C6A90">
            <w:pPr>
              <w:keepNext/>
              <w:widowControl w:val="0"/>
              <w:ind w:right="-1"/>
              <w:rPr>
                <w:rFonts w:eastAsia="Calibri"/>
                <w:sz w:val="22"/>
                <w:szCs w:val="22"/>
              </w:rPr>
            </w:pPr>
            <w:r w:rsidRPr="00F93FFA">
              <w:rPr>
                <w:sz w:val="22"/>
                <w:szCs w:val="22"/>
              </w:rPr>
              <w:t>202</w:t>
            </w:r>
            <w:r w:rsidR="00B33625">
              <w:rPr>
                <w:sz w:val="22"/>
                <w:szCs w:val="22"/>
              </w:rPr>
              <w:t>3</w:t>
            </w:r>
            <w:r w:rsidRPr="00F93FFA">
              <w:rPr>
                <w:sz w:val="22"/>
                <w:szCs w:val="22"/>
              </w:rPr>
              <w:t>/06/</w:t>
            </w:r>
            <w:r w:rsidR="000C6A90">
              <w:rPr>
                <w:sz w:val="22"/>
                <w:szCs w:val="22"/>
              </w:rPr>
              <w:t>2</w:t>
            </w:r>
            <w:r w:rsidRPr="00F93FFA">
              <w:rPr>
                <w:sz w:val="22"/>
                <w:szCs w:val="22"/>
              </w:rPr>
              <w:t>3</w:t>
            </w:r>
          </w:p>
        </w:tc>
      </w:tr>
    </w:tbl>
    <w:p w14:paraId="522F8FFF" w14:textId="77777777" w:rsidR="003646A0" w:rsidRPr="00F93FFA" w:rsidRDefault="003646A0" w:rsidP="00746EEC">
      <w:pPr>
        <w:widowControl w:val="0"/>
        <w:rPr>
          <w:color w:val="000000"/>
          <w:sz w:val="22"/>
          <w:szCs w:val="22"/>
        </w:rPr>
      </w:pPr>
      <w:r w:rsidRPr="00F93FFA">
        <w:rPr>
          <w:color w:val="000000"/>
          <w:sz w:val="22"/>
          <w:szCs w:val="22"/>
        </w:rPr>
        <w:br w:type="page"/>
      </w:r>
    </w:p>
    <w:p w14:paraId="05B409EC" w14:textId="77777777" w:rsidR="003646A0" w:rsidRPr="00F93FFA" w:rsidRDefault="003646A0" w:rsidP="00DE16D0">
      <w:pPr>
        <w:widowControl w:val="0"/>
        <w:ind w:left="567" w:hanging="567"/>
        <w:rPr>
          <w:color w:val="000000"/>
          <w:sz w:val="22"/>
          <w:szCs w:val="22"/>
        </w:rPr>
      </w:pPr>
    </w:p>
    <w:p w14:paraId="66ED65DE" w14:textId="77777777" w:rsidR="003646A0" w:rsidRPr="00F93FFA" w:rsidRDefault="003646A0" w:rsidP="00DE16D0">
      <w:pPr>
        <w:widowControl w:val="0"/>
        <w:ind w:left="567" w:hanging="567"/>
        <w:rPr>
          <w:color w:val="000000"/>
          <w:sz w:val="22"/>
          <w:szCs w:val="22"/>
        </w:rPr>
      </w:pPr>
    </w:p>
    <w:p w14:paraId="3C69EC43" w14:textId="77777777" w:rsidR="003646A0" w:rsidRPr="00F93FFA" w:rsidRDefault="003646A0" w:rsidP="00DE16D0">
      <w:pPr>
        <w:widowControl w:val="0"/>
        <w:ind w:left="567" w:hanging="567"/>
        <w:rPr>
          <w:color w:val="000000"/>
          <w:sz w:val="22"/>
          <w:szCs w:val="22"/>
        </w:rPr>
      </w:pPr>
    </w:p>
    <w:p w14:paraId="46998E6C" w14:textId="77777777" w:rsidR="003646A0" w:rsidRPr="00F93FFA" w:rsidRDefault="003646A0" w:rsidP="00DE16D0">
      <w:pPr>
        <w:widowControl w:val="0"/>
        <w:ind w:left="567" w:hanging="567"/>
        <w:rPr>
          <w:color w:val="000000"/>
          <w:sz w:val="22"/>
          <w:szCs w:val="22"/>
        </w:rPr>
      </w:pPr>
    </w:p>
    <w:p w14:paraId="0BF99509" w14:textId="77777777" w:rsidR="003646A0" w:rsidRPr="00F93FFA" w:rsidRDefault="003646A0" w:rsidP="00DE16D0">
      <w:pPr>
        <w:widowControl w:val="0"/>
        <w:ind w:left="567" w:hanging="567"/>
        <w:rPr>
          <w:color w:val="000000"/>
          <w:sz w:val="22"/>
          <w:szCs w:val="22"/>
        </w:rPr>
      </w:pPr>
    </w:p>
    <w:p w14:paraId="00D73EE8" w14:textId="77777777" w:rsidR="003646A0" w:rsidRPr="00F93FFA" w:rsidRDefault="003646A0" w:rsidP="00DE16D0">
      <w:pPr>
        <w:widowControl w:val="0"/>
        <w:ind w:left="567" w:hanging="567"/>
        <w:rPr>
          <w:color w:val="000000"/>
          <w:sz w:val="22"/>
          <w:szCs w:val="22"/>
        </w:rPr>
      </w:pPr>
    </w:p>
    <w:p w14:paraId="5C950C71" w14:textId="77777777" w:rsidR="003646A0" w:rsidRPr="00F93FFA" w:rsidRDefault="003646A0" w:rsidP="00DE16D0">
      <w:pPr>
        <w:widowControl w:val="0"/>
        <w:ind w:left="567" w:hanging="567"/>
        <w:rPr>
          <w:color w:val="000000"/>
          <w:sz w:val="22"/>
          <w:szCs w:val="22"/>
        </w:rPr>
      </w:pPr>
    </w:p>
    <w:p w14:paraId="5D0B33CD" w14:textId="77777777" w:rsidR="003646A0" w:rsidRPr="00F93FFA" w:rsidRDefault="003646A0" w:rsidP="00DE16D0">
      <w:pPr>
        <w:widowControl w:val="0"/>
        <w:ind w:left="567" w:hanging="567"/>
        <w:rPr>
          <w:color w:val="000000"/>
          <w:sz w:val="22"/>
          <w:szCs w:val="22"/>
        </w:rPr>
      </w:pPr>
    </w:p>
    <w:p w14:paraId="11CF223B" w14:textId="77777777" w:rsidR="003646A0" w:rsidRPr="00F93FFA" w:rsidRDefault="003646A0" w:rsidP="00DE16D0">
      <w:pPr>
        <w:widowControl w:val="0"/>
        <w:ind w:left="567" w:hanging="567"/>
        <w:rPr>
          <w:color w:val="000000"/>
          <w:sz w:val="22"/>
          <w:szCs w:val="22"/>
        </w:rPr>
      </w:pPr>
    </w:p>
    <w:p w14:paraId="5260F458" w14:textId="77777777" w:rsidR="003646A0" w:rsidRPr="00F93FFA" w:rsidRDefault="003646A0" w:rsidP="00DE16D0">
      <w:pPr>
        <w:widowControl w:val="0"/>
        <w:ind w:left="567" w:hanging="567"/>
        <w:rPr>
          <w:color w:val="000000"/>
          <w:sz w:val="22"/>
          <w:szCs w:val="22"/>
        </w:rPr>
      </w:pPr>
    </w:p>
    <w:p w14:paraId="6C8AB5AC" w14:textId="77777777" w:rsidR="003646A0" w:rsidRPr="00F93FFA" w:rsidRDefault="003646A0" w:rsidP="00DE16D0">
      <w:pPr>
        <w:widowControl w:val="0"/>
        <w:ind w:left="567" w:hanging="567"/>
        <w:rPr>
          <w:color w:val="000000"/>
          <w:sz w:val="22"/>
          <w:szCs w:val="22"/>
        </w:rPr>
      </w:pPr>
    </w:p>
    <w:p w14:paraId="2068824B" w14:textId="77777777" w:rsidR="003646A0" w:rsidRPr="00F93FFA" w:rsidRDefault="003646A0" w:rsidP="00DE16D0">
      <w:pPr>
        <w:widowControl w:val="0"/>
        <w:ind w:left="567" w:hanging="567"/>
        <w:rPr>
          <w:color w:val="000000"/>
          <w:sz w:val="22"/>
          <w:szCs w:val="22"/>
        </w:rPr>
      </w:pPr>
    </w:p>
    <w:p w14:paraId="645B45FE" w14:textId="77777777" w:rsidR="003646A0" w:rsidRPr="00F93FFA" w:rsidRDefault="003646A0" w:rsidP="00DE16D0">
      <w:pPr>
        <w:widowControl w:val="0"/>
        <w:ind w:left="567" w:hanging="567"/>
        <w:rPr>
          <w:color w:val="000000"/>
          <w:sz w:val="22"/>
          <w:szCs w:val="22"/>
        </w:rPr>
      </w:pPr>
    </w:p>
    <w:p w14:paraId="1C991DCF" w14:textId="77777777" w:rsidR="003646A0" w:rsidRPr="00F93FFA" w:rsidRDefault="003646A0" w:rsidP="00DE16D0">
      <w:pPr>
        <w:widowControl w:val="0"/>
        <w:ind w:left="567" w:hanging="567"/>
        <w:rPr>
          <w:color w:val="000000"/>
          <w:sz w:val="22"/>
          <w:szCs w:val="22"/>
        </w:rPr>
      </w:pPr>
    </w:p>
    <w:p w14:paraId="39193D54" w14:textId="77777777" w:rsidR="003646A0" w:rsidRPr="00F93FFA" w:rsidRDefault="003646A0" w:rsidP="00DE16D0">
      <w:pPr>
        <w:widowControl w:val="0"/>
        <w:ind w:left="567" w:hanging="567"/>
        <w:rPr>
          <w:color w:val="000000"/>
          <w:sz w:val="22"/>
          <w:szCs w:val="22"/>
        </w:rPr>
      </w:pPr>
    </w:p>
    <w:p w14:paraId="1852A306" w14:textId="77777777" w:rsidR="003646A0" w:rsidRPr="00F93FFA" w:rsidRDefault="003646A0" w:rsidP="00DE16D0">
      <w:pPr>
        <w:widowControl w:val="0"/>
        <w:ind w:left="567" w:hanging="567"/>
        <w:rPr>
          <w:color w:val="000000"/>
          <w:sz w:val="22"/>
          <w:szCs w:val="22"/>
        </w:rPr>
      </w:pPr>
    </w:p>
    <w:p w14:paraId="3544D90C" w14:textId="77777777" w:rsidR="003646A0" w:rsidRPr="00F93FFA" w:rsidRDefault="003646A0" w:rsidP="00DE16D0">
      <w:pPr>
        <w:widowControl w:val="0"/>
        <w:ind w:left="567" w:hanging="567"/>
        <w:rPr>
          <w:color w:val="000000"/>
          <w:sz w:val="22"/>
          <w:szCs w:val="22"/>
        </w:rPr>
      </w:pPr>
    </w:p>
    <w:p w14:paraId="2D478038" w14:textId="77777777" w:rsidR="003646A0" w:rsidRPr="00F93FFA" w:rsidRDefault="003646A0" w:rsidP="00DE16D0">
      <w:pPr>
        <w:widowControl w:val="0"/>
        <w:ind w:left="567" w:hanging="567"/>
        <w:rPr>
          <w:color w:val="000000"/>
          <w:sz w:val="22"/>
          <w:szCs w:val="22"/>
        </w:rPr>
      </w:pPr>
    </w:p>
    <w:p w14:paraId="2B0EBC89" w14:textId="77777777" w:rsidR="00D82342" w:rsidRPr="00F93FFA" w:rsidRDefault="00D82342" w:rsidP="00DE16D0">
      <w:pPr>
        <w:widowControl w:val="0"/>
        <w:ind w:left="567" w:hanging="567"/>
        <w:rPr>
          <w:color w:val="000000"/>
          <w:sz w:val="22"/>
          <w:szCs w:val="22"/>
        </w:rPr>
      </w:pPr>
    </w:p>
    <w:p w14:paraId="6F63A597" w14:textId="77777777" w:rsidR="003646A0" w:rsidRPr="00F93FFA" w:rsidRDefault="003646A0" w:rsidP="00DE16D0">
      <w:pPr>
        <w:widowControl w:val="0"/>
        <w:ind w:left="567" w:hanging="567"/>
        <w:rPr>
          <w:color w:val="000000"/>
          <w:sz w:val="22"/>
          <w:szCs w:val="22"/>
        </w:rPr>
      </w:pPr>
    </w:p>
    <w:p w14:paraId="5CD4792E" w14:textId="77777777" w:rsidR="003646A0" w:rsidRPr="00F93FFA" w:rsidRDefault="003646A0" w:rsidP="00DE16D0">
      <w:pPr>
        <w:widowControl w:val="0"/>
        <w:ind w:left="567" w:hanging="567"/>
        <w:rPr>
          <w:color w:val="000000"/>
          <w:sz w:val="22"/>
          <w:szCs w:val="22"/>
        </w:rPr>
      </w:pPr>
    </w:p>
    <w:p w14:paraId="5E39C621" w14:textId="77777777" w:rsidR="003646A0" w:rsidRPr="00F93FFA" w:rsidRDefault="003646A0" w:rsidP="00DE16D0">
      <w:pPr>
        <w:widowControl w:val="0"/>
        <w:ind w:left="567" w:hanging="567"/>
        <w:rPr>
          <w:color w:val="000000"/>
          <w:sz w:val="22"/>
          <w:szCs w:val="22"/>
        </w:rPr>
      </w:pPr>
    </w:p>
    <w:p w14:paraId="6972D9D2" w14:textId="77777777" w:rsidR="003646A0" w:rsidRPr="00F93FFA" w:rsidRDefault="003646A0" w:rsidP="00DE16D0">
      <w:pPr>
        <w:widowControl w:val="0"/>
        <w:rPr>
          <w:color w:val="000000"/>
          <w:sz w:val="22"/>
          <w:szCs w:val="22"/>
        </w:rPr>
      </w:pPr>
    </w:p>
    <w:p w14:paraId="761B3476" w14:textId="77777777" w:rsidR="003646A0" w:rsidRPr="00F93FFA" w:rsidRDefault="003646A0" w:rsidP="00DE16D0">
      <w:pPr>
        <w:widowControl w:val="0"/>
        <w:ind w:left="567" w:hanging="567"/>
        <w:jc w:val="center"/>
        <w:rPr>
          <w:b/>
          <w:color w:val="000000"/>
          <w:sz w:val="22"/>
          <w:szCs w:val="22"/>
        </w:rPr>
      </w:pPr>
      <w:r w:rsidRPr="00F93FFA">
        <w:rPr>
          <w:b/>
          <w:color w:val="000000"/>
          <w:sz w:val="22"/>
          <w:szCs w:val="22"/>
        </w:rPr>
        <w:t>III PRIEDAS</w:t>
      </w:r>
    </w:p>
    <w:p w14:paraId="0CB897A5" w14:textId="77777777" w:rsidR="003646A0" w:rsidRPr="00F93FFA" w:rsidRDefault="003646A0" w:rsidP="00DE16D0">
      <w:pPr>
        <w:widowControl w:val="0"/>
        <w:ind w:left="567" w:hanging="567"/>
        <w:jc w:val="center"/>
        <w:rPr>
          <w:color w:val="000000"/>
          <w:sz w:val="22"/>
          <w:szCs w:val="22"/>
        </w:rPr>
      </w:pPr>
    </w:p>
    <w:p w14:paraId="209E4353" w14:textId="77777777" w:rsidR="003646A0" w:rsidRPr="00F93FFA" w:rsidRDefault="003646A0" w:rsidP="00DE16D0">
      <w:pPr>
        <w:widowControl w:val="0"/>
        <w:ind w:left="567" w:hanging="567"/>
        <w:jc w:val="center"/>
        <w:rPr>
          <w:b/>
          <w:color w:val="000000"/>
          <w:sz w:val="22"/>
          <w:szCs w:val="22"/>
        </w:rPr>
      </w:pPr>
      <w:r w:rsidRPr="00F93FFA">
        <w:rPr>
          <w:b/>
          <w:color w:val="000000"/>
          <w:sz w:val="22"/>
          <w:szCs w:val="22"/>
        </w:rPr>
        <w:t>ŽENKLINIMAS IR PAKUOTĖS LAPELIS</w:t>
      </w:r>
    </w:p>
    <w:p w14:paraId="72898B56"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21B34753" w14:textId="77777777" w:rsidR="003646A0" w:rsidRPr="00F93FFA" w:rsidRDefault="003646A0" w:rsidP="00DE16D0">
      <w:pPr>
        <w:widowControl w:val="0"/>
        <w:ind w:left="567" w:hanging="567"/>
        <w:rPr>
          <w:color w:val="000000"/>
          <w:sz w:val="22"/>
          <w:szCs w:val="22"/>
        </w:rPr>
      </w:pPr>
    </w:p>
    <w:p w14:paraId="75C3EFF9" w14:textId="77777777" w:rsidR="003646A0" w:rsidRPr="00F93FFA" w:rsidRDefault="003646A0" w:rsidP="00DE16D0">
      <w:pPr>
        <w:widowControl w:val="0"/>
        <w:ind w:left="567" w:hanging="567"/>
        <w:rPr>
          <w:color w:val="000000"/>
          <w:sz w:val="22"/>
          <w:szCs w:val="22"/>
        </w:rPr>
      </w:pPr>
    </w:p>
    <w:p w14:paraId="78DA25D4" w14:textId="77777777" w:rsidR="003646A0" w:rsidRPr="00F93FFA" w:rsidRDefault="003646A0" w:rsidP="00DE16D0">
      <w:pPr>
        <w:widowControl w:val="0"/>
        <w:ind w:left="567" w:hanging="567"/>
        <w:rPr>
          <w:color w:val="000000"/>
          <w:sz w:val="22"/>
          <w:szCs w:val="22"/>
        </w:rPr>
      </w:pPr>
    </w:p>
    <w:p w14:paraId="63EA3850" w14:textId="77777777" w:rsidR="003646A0" w:rsidRPr="00F93FFA" w:rsidRDefault="003646A0" w:rsidP="00DE16D0">
      <w:pPr>
        <w:widowControl w:val="0"/>
        <w:ind w:left="567" w:hanging="567"/>
        <w:rPr>
          <w:color w:val="000000"/>
          <w:sz w:val="22"/>
          <w:szCs w:val="22"/>
        </w:rPr>
      </w:pPr>
    </w:p>
    <w:p w14:paraId="2B7F5079" w14:textId="77777777" w:rsidR="003646A0" w:rsidRPr="00F93FFA" w:rsidRDefault="003646A0" w:rsidP="00DE16D0">
      <w:pPr>
        <w:widowControl w:val="0"/>
        <w:ind w:left="567" w:hanging="567"/>
        <w:rPr>
          <w:color w:val="000000"/>
          <w:sz w:val="22"/>
          <w:szCs w:val="22"/>
        </w:rPr>
      </w:pPr>
    </w:p>
    <w:p w14:paraId="4E3EEBA7" w14:textId="77777777" w:rsidR="003646A0" w:rsidRPr="00F93FFA" w:rsidRDefault="003646A0" w:rsidP="00DE16D0">
      <w:pPr>
        <w:widowControl w:val="0"/>
        <w:ind w:left="567" w:hanging="567"/>
        <w:rPr>
          <w:color w:val="000000"/>
          <w:sz w:val="22"/>
          <w:szCs w:val="22"/>
        </w:rPr>
      </w:pPr>
    </w:p>
    <w:p w14:paraId="5EE33A43" w14:textId="77777777" w:rsidR="003646A0" w:rsidRPr="00F93FFA" w:rsidRDefault="003646A0" w:rsidP="00DE16D0">
      <w:pPr>
        <w:widowControl w:val="0"/>
        <w:ind w:left="567" w:hanging="567"/>
        <w:rPr>
          <w:color w:val="000000"/>
          <w:sz w:val="22"/>
          <w:szCs w:val="22"/>
        </w:rPr>
      </w:pPr>
    </w:p>
    <w:p w14:paraId="4E3EF8F3" w14:textId="77777777" w:rsidR="003646A0" w:rsidRPr="00F93FFA" w:rsidRDefault="003646A0" w:rsidP="00DE16D0">
      <w:pPr>
        <w:widowControl w:val="0"/>
        <w:ind w:left="567" w:hanging="567"/>
        <w:rPr>
          <w:color w:val="000000"/>
          <w:sz w:val="22"/>
          <w:szCs w:val="22"/>
        </w:rPr>
      </w:pPr>
    </w:p>
    <w:p w14:paraId="60E16F99" w14:textId="77777777" w:rsidR="003646A0" w:rsidRPr="00F93FFA" w:rsidRDefault="003646A0" w:rsidP="00DE16D0">
      <w:pPr>
        <w:widowControl w:val="0"/>
        <w:ind w:left="567" w:hanging="567"/>
        <w:rPr>
          <w:color w:val="000000"/>
          <w:sz w:val="22"/>
          <w:szCs w:val="22"/>
        </w:rPr>
      </w:pPr>
    </w:p>
    <w:p w14:paraId="43831AF2" w14:textId="77777777" w:rsidR="003646A0" w:rsidRPr="00F93FFA" w:rsidRDefault="003646A0" w:rsidP="00DE16D0">
      <w:pPr>
        <w:widowControl w:val="0"/>
        <w:ind w:left="567" w:hanging="567"/>
        <w:rPr>
          <w:color w:val="000000"/>
          <w:sz w:val="22"/>
          <w:szCs w:val="22"/>
        </w:rPr>
      </w:pPr>
    </w:p>
    <w:p w14:paraId="17AD9201" w14:textId="77777777" w:rsidR="003646A0" w:rsidRPr="00F93FFA" w:rsidRDefault="003646A0" w:rsidP="00DE16D0">
      <w:pPr>
        <w:widowControl w:val="0"/>
        <w:ind w:left="567" w:hanging="567"/>
        <w:rPr>
          <w:color w:val="000000"/>
          <w:sz w:val="22"/>
          <w:szCs w:val="22"/>
        </w:rPr>
      </w:pPr>
    </w:p>
    <w:p w14:paraId="78C6ECE7" w14:textId="77777777" w:rsidR="003646A0" w:rsidRPr="00F93FFA" w:rsidRDefault="003646A0" w:rsidP="00DE16D0">
      <w:pPr>
        <w:widowControl w:val="0"/>
        <w:ind w:left="567" w:hanging="567"/>
        <w:rPr>
          <w:color w:val="000000"/>
          <w:sz w:val="22"/>
          <w:szCs w:val="22"/>
        </w:rPr>
      </w:pPr>
    </w:p>
    <w:p w14:paraId="027B5122" w14:textId="77777777" w:rsidR="003646A0" w:rsidRPr="00F93FFA" w:rsidRDefault="003646A0" w:rsidP="00DE16D0">
      <w:pPr>
        <w:widowControl w:val="0"/>
        <w:ind w:left="567" w:hanging="567"/>
        <w:rPr>
          <w:color w:val="000000"/>
          <w:sz w:val="22"/>
          <w:szCs w:val="22"/>
        </w:rPr>
      </w:pPr>
    </w:p>
    <w:p w14:paraId="4FE43887" w14:textId="77777777" w:rsidR="003646A0" w:rsidRPr="00F93FFA" w:rsidRDefault="003646A0" w:rsidP="00DE16D0">
      <w:pPr>
        <w:widowControl w:val="0"/>
        <w:ind w:left="567" w:hanging="567"/>
        <w:rPr>
          <w:color w:val="000000"/>
          <w:sz w:val="22"/>
          <w:szCs w:val="22"/>
        </w:rPr>
      </w:pPr>
    </w:p>
    <w:p w14:paraId="01596F36" w14:textId="77777777" w:rsidR="00D82342" w:rsidRPr="00F93FFA" w:rsidRDefault="00D82342" w:rsidP="00DE16D0">
      <w:pPr>
        <w:widowControl w:val="0"/>
        <w:ind w:left="567" w:hanging="567"/>
        <w:rPr>
          <w:color w:val="000000"/>
          <w:sz w:val="22"/>
          <w:szCs w:val="22"/>
        </w:rPr>
      </w:pPr>
    </w:p>
    <w:p w14:paraId="5F0C1EC4" w14:textId="77777777" w:rsidR="003646A0" w:rsidRPr="00F93FFA" w:rsidRDefault="003646A0" w:rsidP="00DE16D0">
      <w:pPr>
        <w:widowControl w:val="0"/>
        <w:ind w:left="567" w:hanging="567"/>
        <w:rPr>
          <w:color w:val="000000"/>
          <w:sz w:val="22"/>
          <w:szCs w:val="22"/>
        </w:rPr>
      </w:pPr>
    </w:p>
    <w:p w14:paraId="6F052F3A" w14:textId="77777777" w:rsidR="003646A0" w:rsidRPr="00F93FFA" w:rsidRDefault="003646A0" w:rsidP="00DE16D0">
      <w:pPr>
        <w:widowControl w:val="0"/>
        <w:ind w:left="567" w:hanging="567"/>
        <w:rPr>
          <w:color w:val="000000"/>
          <w:sz w:val="22"/>
          <w:szCs w:val="22"/>
        </w:rPr>
      </w:pPr>
    </w:p>
    <w:p w14:paraId="34F1AA33" w14:textId="77777777" w:rsidR="003646A0" w:rsidRPr="00F93FFA" w:rsidRDefault="003646A0" w:rsidP="00DE16D0">
      <w:pPr>
        <w:widowControl w:val="0"/>
        <w:ind w:left="567" w:hanging="567"/>
        <w:rPr>
          <w:color w:val="000000"/>
          <w:sz w:val="22"/>
          <w:szCs w:val="22"/>
        </w:rPr>
      </w:pPr>
    </w:p>
    <w:p w14:paraId="361B302F" w14:textId="77777777" w:rsidR="003646A0" w:rsidRPr="00F93FFA" w:rsidRDefault="003646A0" w:rsidP="00DE16D0">
      <w:pPr>
        <w:widowControl w:val="0"/>
        <w:ind w:left="567" w:hanging="567"/>
        <w:rPr>
          <w:color w:val="000000"/>
          <w:sz w:val="22"/>
          <w:szCs w:val="22"/>
        </w:rPr>
      </w:pPr>
    </w:p>
    <w:p w14:paraId="4C1443C1" w14:textId="77777777" w:rsidR="003646A0" w:rsidRPr="00F93FFA" w:rsidRDefault="003646A0" w:rsidP="00DE16D0">
      <w:pPr>
        <w:widowControl w:val="0"/>
        <w:ind w:left="567" w:hanging="567"/>
        <w:rPr>
          <w:color w:val="000000"/>
          <w:sz w:val="22"/>
          <w:szCs w:val="22"/>
        </w:rPr>
      </w:pPr>
    </w:p>
    <w:p w14:paraId="4078244C" w14:textId="77777777" w:rsidR="003646A0" w:rsidRPr="00F93FFA" w:rsidRDefault="003646A0" w:rsidP="00DE16D0">
      <w:pPr>
        <w:widowControl w:val="0"/>
        <w:ind w:left="567" w:hanging="567"/>
        <w:rPr>
          <w:color w:val="000000"/>
          <w:sz w:val="22"/>
          <w:szCs w:val="22"/>
        </w:rPr>
      </w:pPr>
    </w:p>
    <w:p w14:paraId="5C1541A3" w14:textId="77777777" w:rsidR="003646A0" w:rsidRPr="00F93FFA" w:rsidRDefault="003646A0" w:rsidP="00DE16D0">
      <w:pPr>
        <w:widowControl w:val="0"/>
        <w:ind w:left="567" w:hanging="567"/>
        <w:rPr>
          <w:color w:val="000000"/>
          <w:sz w:val="22"/>
          <w:szCs w:val="22"/>
        </w:rPr>
      </w:pPr>
    </w:p>
    <w:p w14:paraId="3683F5BD" w14:textId="77777777" w:rsidR="003646A0" w:rsidRPr="00F93FFA" w:rsidRDefault="003646A0" w:rsidP="00DE16D0">
      <w:pPr>
        <w:widowControl w:val="0"/>
        <w:ind w:left="567" w:hanging="567"/>
        <w:rPr>
          <w:color w:val="000000"/>
          <w:sz w:val="22"/>
          <w:szCs w:val="22"/>
        </w:rPr>
      </w:pPr>
    </w:p>
    <w:p w14:paraId="7F77203C" w14:textId="77777777" w:rsidR="003646A0" w:rsidRPr="00F93FFA" w:rsidRDefault="003646A0" w:rsidP="00DE16D0">
      <w:pPr>
        <w:widowControl w:val="0"/>
        <w:ind w:left="567" w:hanging="567"/>
        <w:jc w:val="center"/>
        <w:rPr>
          <w:b/>
          <w:color w:val="000000"/>
          <w:sz w:val="22"/>
          <w:szCs w:val="22"/>
        </w:rPr>
      </w:pPr>
      <w:r w:rsidRPr="00F93FFA">
        <w:rPr>
          <w:b/>
          <w:color w:val="000000"/>
          <w:sz w:val="22"/>
          <w:szCs w:val="22"/>
        </w:rPr>
        <w:t>A. ŽENKLINIMAS</w:t>
      </w:r>
    </w:p>
    <w:p w14:paraId="181C9011" w14:textId="77777777" w:rsidR="003646A0" w:rsidRPr="00F93FFA" w:rsidRDefault="003646A0" w:rsidP="00DE16D0">
      <w:pPr>
        <w:widowControl w:val="0"/>
        <w:rPr>
          <w:color w:val="000000"/>
          <w:sz w:val="22"/>
          <w:szCs w:val="22"/>
        </w:rPr>
      </w:pPr>
      <w:r w:rsidRPr="00F93FFA">
        <w:rPr>
          <w:color w:val="000000"/>
          <w:sz w:val="22"/>
          <w:szCs w:val="22"/>
        </w:rPr>
        <w:br w:type="page"/>
      </w:r>
    </w:p>
    <w:p w14:paraId="208E51E5" w14:textId="77777777" w:rsidR="00D82342" w:rsidRPr="00F93FFA" w:rsidRDefault="00D82342" w:rsidP="00D82342">
      <w:pPr>
        <w:widowControl w:val="0"/>
        <w:ind w:left="567" w:hanging="567"/>
        <w:rPr>
          <w:color w:val="000000"/>
          <w:sz w:val="22"/>
          <w:szCs w:val="22"/>
        </w:rPr>
      </w:pPr>
    </w:p>
    <w:p w14:paraId="0EE87B0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INFORMACIJA ANT IŠORINĖS PAKUOTĖS</w:t>
      </w:r>
    </w:p>
    <w:p w14:paraId="07C4CEA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olor w:val="000000"/>
          <w:sz w:val="22"/>
          <w:szCs w:val="22"/>
        </w:rPr>
      </w:pPr>
    </w:p>
    <w:p w14:paraId="2437BF78"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kartoninė dėžutė</w:t>
      </w:r>
    </w:p>
    <w:p w14:paraId="09B9354A" w14:textId="77777777" w:rsidR="003646A0" w:rsidRPr="00F93FFA" w:rsidRDefault="003646A0" w:rsidP="00DE16D0">
      <w:pPr>
        <w:widowControl w:val="0"/>
        <w:ind w:left="567" w:hanging="567"/>
        <w:rPr>
          <w:color w:val="000000"/>
          <w:sz w:val="22"/>
          <w:szCs w:val="22"/>
        </w:rPr>
      </w:pPr>
    </w:p>
    <w:p w14:paraId="213E116E" w14:textId="77777777" w:rsidR="003646A0" w:rsidRPr="00F93FFA" w:rsidRDefault="003646A0" w:rsidP="00DE16D0">
      <w:pPr>
        <w:widowControl w:val="0"/>
        <w:ind w:left="567" w:hanging="567"/>
        <w:rPr>
          <w:color w:val="000000"/>
          <w:sz w:val="22"/>
          <w:szCs w:val="22"/>
        </w:rPr>
      </w:pPr>
    </w:p>
    <w:p w14:paraId="652F6F9E"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67D9E540" w14:textId="77777777" w:rsidR="003646A0" w:rsidRPr="00F93FFA" w:rsidRDefault="003646A0" w:rsidP="00DE16D0">
      <w:pPr>
        <w:widowControl w:val="0"/>
        <w:ind w:left="567" w:hanging="567"/>
        <w:rPr>
          <w:color w:val="000000"/>
          <w:sz w:val="22"/>
          <w:szCs w:val="22"/>
        </w:rPr>
      </w:pPr>
    </w:p>
    <w:p w14:paraId="2D3CB4D3" w14:textId="77777777" w:rsidR="003646A0" w:rsidRPr="00F93FFA" w:rsidRDefault="003646A0" w:rsidP="00DE16D0">
      <w:pPr>
        <w:widowControl w:val="0"/>
        <w:ind w:left="567" w:hanging="567"/>
        <w:rPr>
          <w:color w:val="000000"/>
          <w:sz w:val="22"/>
          <w:szCs w:val="22"/>
        </w:rPr>
      </w:pPr>
      <w:r w:rsidRPr="00F93FFA">
        <w:rPr>
          <w:color w:val="000000"/>
          <w:sz w:val="22"/>
          <w:szCs w:val="22"/>
        </w:rPr>
        <w:t>Glivec 100 mg kietos</w:t>
      </w:r>
      <w:r w:rsidR="009C0C90" w:rsidRPr="00F93FFA">
        <w:rPr>
          <w:color w:val="000000"/>
          <w:sz w:val="22"/>
          <w:szCs w:val="22"/>
        </w:rPr>
        <w:t>ios</w:t>
      </w:r>
      <w:r w:rsidRPr="00F93FFA">
        <w:rPr>
          <w:color w:val="000000"/>
          <w:sz w:val="22"/>
          <w:szCs w:val="22"/>
        </w:rPr>
        <w:t xml:space="preserve"> kapsulės</w:t>
      </w:r>
    </w:p>
    <w:p w14:paraId="0CF1BDB3" w14:textId="321E6565"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2C261F" w:rsidRPr="005205BF">
        <w:rPr>
          <w:i/>
          <w:color w:val="000000"/>
          <w:sz w:val="22"/>
          <w:szCs w:val="22"/>
        </w:rPr>
        <w:t>um</w:t>
      </w:r>
    </w:p>
    <w:p w14:paraId="31073499" w14:textId="77777777" w:rsidR="003646A0" w:rsidRPr="00F93FFA" w:rsidRDefault="003646A0" w:rsidP="00DE16D0">
      <w:pPr>
        <w:widowControl w:val="0"/>
        <w:ind w:left="567" w:hanging="567"/>
        <w:rPr>
          <w:color w:val="000000"/>
          <w:sz w:val="22"/>
          <w:szCs w:val="22"/>
        </w:rPr>
      </w:pPr>
    </w:p>
    <w:p w14:paraId="7C79B0BD" w14:textId="77777777" w:rsidR="003646A0" w:rsidRPr="00F93FFA" w:rsidRDefault="003646A0" w:rsidP="00DE16D0">
      <w:pPr>
        <w:widowControl w:val="0"/>
        <w:ind w:left="567" w:hanging="567"/>
        <w:rPr>
          <w:color w:val="000000"/>
          <w:sz w:val="22"/>
          <w:szCs w:val="22"/>
        </w:rPr>
      </w:pPr>
    </w:p>
    <w:p w14:paraId="637E36B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2.</w:t>
      </w:r>
      <w:r w:rsidRPr="00F93FFA">
        <w:rPr>
          <w:b/>
          <w:caps/>
          <w:color w:val="000000"/>
          <w:sz w:val="22"/>
          <w:szCs w:val="22"/>
        </w:rPr>
        <w:tab/>
        <w:t xml:space="preserve">veikliOJI </w:t>
      </w:r>
      <w:r w:rsidRPr="00F93FFA">
        <w:rPr>
          <w:b/>
          <w:noProof/>
          <w:sz w:val="22"/>
          <w:szCs w:val="22"/>
        </w:rPr>
        <w:t xml:space="preserve">(-IOS) </w:t>
      </w:r>
      <w:r w:rsidRPr="00F93FFA">
        <w:rPr>
          <w:b/>
          <w:caps/>
          <w:color w:val="000000"/>
          <w:sz w:val="22"/>
          <w:szCs w:val="22"/>
        </w:rPr>
        <w:t xml:space="preserve">medžiagA </w:t>
      </w:r>
      <w:r w:rsidRPr="00F93FFA">
        <w:rPr>
          <w:b/>
          <w:noProof/>
          <w:sz w:val="22"/>
          <w:szCs w:val="22"/>
        </w:rPr>
        <w:t xml:space="preserve">(-OS) </w:t>
      </w:r>
      <w:r w:rsidRPr="00F93FFA">
        <w:rPr>
          <w:b/>
          <w:caps/>
          <w:color w:val="000000"/>
          <w:sz w:val="22"/>
          <w:szCs w:val="22"/>
        </w:rPr>
        <w:t xml:space="preserve">ir JOS (-Ų) kiekis </w:t>
      </w:r>
      <w:r w:rsidRPr="00F93FFA">
        <w:rPr>
          <w:b/>
          <w:noProof/>
          <w:sz w:val="22"/>
          <w:szCs w:val="22"/>
        </w:rPr>
        <w:t>(-IAI)</w:t>
      </w:r>
    </w:p>
    <w:p w14:paraId="7C063EFB" w14:textId="77777777" w:rsidR="003646A0" w:rsidRPr="00F93FFA" w:rsidRDefault="003646A0" w:rsidP="00DE16D0">
      <w:pPr>
        <w:widowControl w:val="0"/>
        <w:ind w:left="567" w:hanging="567"/>
        <w:rPr>
          <w:caps/>
          <w:color w:val="000000"/>
          <w:sz w:val="22"/>
          <w:szCs w:val="22"/>
        </w:rPr>
      </w:pPr>
    </w:p>
    <w:p w14:paraId="16AB12FB" w14:textId="39DB3F43" w:rsidR="003646A0" w:rsidRPr="00F93FFA" w:rsidRDefault="006846B3" w:rsidP="00DE16D0">
      <w:pPr>
        <w:widowControl w:val="0"/>
        <w:ind w:left="567" w:hanging="567"/>
        <w:rPr>
          <w:color w:val="000000"/>
          <w:sz w:val="22"/>
          <w:szCs w:val="22"/>
        </w:rPr>
      </w:pPr>
      <w:r w:rsidRPr="00F93FFA">
        <w:rPr>
          <w:color w:val="000000"/>
          <w:sz w:val="22"/>
          <w:szCs w:val="22"/>
        </w:rPr>
        <w:t xml:space="preserve">Kiekvienoje </w:t>
      </w:r>
      <w:r w:rsidR="003646A0" w:rsidRPr="00F93FFA">
        <w:rPr>
          <w:color w:val="000000"/>
          <w:sz w:val="22"/>
          <w:szCs w:val="22"/>
        </w:rPr>
        <w:t>kapsulėje yra 100 mg imatinibo (mesilato pavidalu).</w:t>
      </w:r>
    </w:p>
    <w:p w14:paraId="3C03DAF6" w14:textId="77777777" w:rsidR="003646A0" w:rsidRPr="00F93FFA" w:rsidRDefault="003646A0" w:rsidP="00DE16D0">
      <w:pPr>
        <w:widowControl w:val="0"/>
        <w:ind w:left="567" w:hanging="567"/>
        <w:rPr>
          <w:caps/>
          <w:color w:val="000000"/>
          <w:sz w:val="22"/>
          <w:szCs w:val="22"/>
        </w:rPr>
      </w:pPr>
    </w:p>
    <w:p w14:paraId="7AF3D68C" w14:textId="77777777" w:rsidR="003646A0" w:rsidRPr="00F93FFA" w:rsidRDefault="003646A0" w:rsidP="00DE16D0">
      <w:pPr>
        <w:widowControl w:val="0"/>
        <w:ind w:left="567" w:hanging="567"/>
        <w:rPr>
          <w:caps/>
          <w:color w:val="000000"/>
          <w:sz w:val="22"/>
          <w:szCs w:val="22"/>
        </w:rPr>
      </w:pPr>
    </w:p>
    <w:p w14:paraId="777AA820"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3.</w:t>
      </w:r>
      <w:r w:rsidRPr="00F93FFA">
        <w:rPr>
          <w:b/>
          <w:caps/>
          <w:color w:val="000000"/>
          <w:sz w:val="22"/>
          <w:szCs w:val="22"/>
        </w:rPr>
        <w:tab/>
        <w:t>pagalbinių medžiagų sąrašas</w:t>
      </w:r>
    </w:p>
    <w:p w14:paraId="3790C9CA" w14:textId="77777777" w:rsidR="003646A0" w:rsidRPr="00F93FFA" w:rsidRDefault="003646A0" w:rsidP="00DE16D0">
      <w:pPr>
        <w:widowControl w:val="0"/>
        <w:ind w:left="567" w:hanging="567"/>
        <w:rPr>
          <w:caps/>
          <w:color w:val="000000"/>
          <w:sz w:val="22"/>
          <w:szCs w:val="22"/>
        </w:rPr>
      </w:pPr>
    </w:p>
    <w:p w14:paraId="489A0F18" w14:textId="77777777" w:rsidR="003646A0" w:rsidRPr="00F93FFA" w:rsidRDefault="003646A0" w:rsidP="00DE16D0">
      <w:pPr>
        <w:widowControl w:val="0"/>
        <w:ind w:left="567" w:hanging="567"/>
        <w:rPr>
          <w:caps/>
          <w:color w:val="000000"/>
          <w:sz w:val="22"/>
          <w:szCs w:val="22"/>
        </w:rPr>
      </w:pPr>
    </w:p>
    <w:p w14:paraId="5941D4D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FARMACINĖ forma ir KIEKIS PAKUOTĖJE</w:t>
      </w:r>
    </w:p>
    <w:p w14:paraId="4D8F6D76" w14:textId="77777777" w:rsidR="003646A0" w:rsidRPr="00F93FFA" w:rsidRDefault="003646A0" w:rsidP="00DE16D0">
      <w:pPr>
        <w:widowControl w:val="0"/>
        <w:ind w:left="567" w:hanging="567"/>
        <w:rPr>
          <w:caps/>
          <w:color w:val="000000"/>
          <w:sz w:val="22"/>
          <w:szCs w:val="22"/>
        </w:rPr>
      </w:pPr>
    </w:p>
    <w:p w14:paraId="12671F89" w14:textId="77777777" w:rsidR="003646A0" w:rsidRPr="00F93FFA" w:rsidRDefault="003646A0" w:rsidP="00DE16D0">
      <w:pPr>
        <w:widowControl w:val="0"/>
        <w:ind w:left="567" w:hanging="567"/>
        <w:rPr>
          <w:color w:val="000000"/>
          <w:sz w:val="22"/>
          <w:szCs w:val="22"/>
        </w:rPr>
      </w:pPr>
      <w:r w:rsidRPr="00F93FFA">
        <w:rPr>
          <w:color w:val="000000"/>
          <w:sz w:val="22"/>
          <w:szCs w:val="22"/>
        </w:rPr>
        <w:t>24 kietos</w:t>
      </w:r>
      <w:r w:rsidR="009C0C90" w:rsidRPr="00F93FFA">
        <w:rPr>
          <w:color w:val="000000"/>
          <w:sz w:val="22"/>
          <w:szCs w:val="22"/>
        </w:rPr>
        <w:t>ios</w:t>
      </w:r>
      <w:r w:rsidRPr="00F93FFA">
        <w:rPr>
          <w:color w:val="000000"/>
          <w:sz w:val="22"/>
          <w:szCs w:val="22"/>
        </w:rPr>
        <w:t xml:space="preserve"> kapsulės</w:t>
      </w:r>
    </w:p>
    <w:p w14:paraId="1931922E"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48 kietos</w:t>
      </w:r>
      <w:r w:rsidR="009C0C90" w:rsidRPr="00F93FFA">
        <w:rPr>
          <w:color w:val="000000"/>
          <w:sz w:val="22"/>
          <w:szCs w:val="22"/>
          <w:shd w:val="clear" w:color="auto" w:fill="D9D9D9"/>
        </w:rPr>
        <w:t>ios</w:t>
      </w:r>
      <w:r w:rsidRPr="00F93FFA">
        <w:rPr>
          <w:color w:val="000000"/>
          <w:sz w:val="22"/>
          <w:szCs w:val="22"/>
          <w:shd w:val="clear" w:color="auto" w:fill="D9D9D9"/>
        </w:rPr>
        <w:t xml:space="preserve"> kapsulės</w:t>
      </w:r>
    </w:p>
    <w:p w14:paraId="1DC1A629"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96 kietos</w:t>
      </w:r>
      <w:r w:rsidR="009C0C90" w:rsidRPr="00F93FFA">
        <w:rPr>
          <w:color w:val="000000"/>
          <w:sz w:val="22"/>
          <w:szCs w:val="22"/>
          <w:shd w:val="clear" w:color="auto" w:fill="D9D9D9"/>
        </w:rPr>
        <w:t>ios</w:t>
      </w:r>
      <w:r w:rsidRPr="00F93FFA">
        <w:rPr>
          <w:color w:val="000000"/>
          <w:sz w:val="22"/>
          <w:szCs w:val="22"/>
          <w:shd w:val="clear" w:color="auto" w:fill="D9D9D9"/>
        </w:rPr>
        <w:t xml:space="preserve"> kapsulės</w:t>
      </w:r>
    </w:p>
    <w:p w14:paraId="29103642"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120 kietų</w:t>
      </w:r>
      <w:r w:rsidR="009C0C90" w:rsidRPr="00F93FFA">
        <w:rPr>
          <w:color w:val="000000"/>
          <w:sz w:val="22"/>
          <w:szCs w:val="22"/>
          <w:shd w:val="clear" w:color="auto" w:fill="D9D9D9"/>
        </w:rPr>
        <w:t>jų</w:t>
      </w:r>
      <w:r w:rsidRPr="00F93FFA">
        <w:rPr>
          <w:color w:val="000000"/>
          <w:sz w:val="22"/>
          <w:szCs w:val="22"/>
          <w:shd w:val="clear" w:color="auto" w:fill="D9D9D9"/>
        </w:rPr>
        <w:t xml:space="preserve"> kapsulių</w:t>
      </w:r>
    </w:p>
    <w:p w14:paraId="6DFE40C4"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180 kietų</w:t>
      </w:r>
      <w:r w:rsidR="009C0C90" w:rsidRPr="00F93FFA">
        <w:rPr>
          <w:color w:val="000000"/>
          <w:sz w:val="22"/>
          <w:szCs w:val="22"/>
          <w:shd w:val="clear" w:color="auto" w:fill="D9D9D9"/>
        </w:rPr>
        <w:t>jų</w:t>
      </w:r>
      <w:r w:rsidRPr="00F93FFA">
        <w:rPr>
          <w:color w:val="000000"/>
          <w:sz w:val="22"/>
          <w:szCs w:val="22"/>
          <w:shd w:val="clear" w:color="auto" w:fill="D9D9D9"/>
        </w:rPr>
        <w:t xml:space="preserve"> kapsulių</w:t>
      </w:r>
    </w:p>
    <w:p w14:paraId="4E078149" w14:textId="77777777" w:rsidR="003646A0" w:rsidRPr="00F93FFA" w:rsidRDefault="003646A0" w:rsidP="00DE16D0">
      <w:pPr>
        <w:widowControl w:val="0"/>
        <w:ind w:left="567" w:hanging="567"/>
        <w:rPr>
          <w:caps/>
          <w:color w:val="000000"/>
          <w:sz w:val="22"/>
          <w:szCs w:val="22"/>
        </w:rPr>
      </w:pPr>
    </w:p>
    <w:p w14:paraId="10F79E85" w14:textId="77777777" w:rsidR="003646A0" w:rsidRPr="00F93FFA" w:rsidRDefault="003646A0" w:rsidP="00DE16D0">
      <w:pPr>
        <w:widowControl w:val="0"/>
        <w:ind w:left="567" w:hanging="567"/>
        <w:rPr>
          <w:caps/>
          <w:color w:val="000000"/>
          <w:sz w:val="22"/>
          <w:szCs w:val="22"/>
        </w:rPr>
      </w:pPr>
    </w:p>
    <w:p w14:paraId="0689155C"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aps/>
          <w:color w:val="000000"/>
          <w:sz w:val="22"/>
          <w:szCs w:val="22"/>
        </w:rPr>
      </w:pPr>
      <w:r w:rsidRPr="00F93FFA">
        <w:rPr>
          <w:b/>
          <w:caps/>
          <w:color w:val="000000"/>
          <w:sz w:val="22"/>
          <w:szCs w:val="22"/>
        </w:rPr>
        <w:t>5.</w:t>
      </w:r>
      <w:r w:rsidRPr="00F93FFA">
        <w:rPr>
          <w:b/>
          <w:caps/>
          <w:color w:val="000000"/>
          <w:sz w:val="22"/>
          <w:szCs w:val="22"/>
        </w:rPr>
        <w:tab/>
        <w:t xml:space="preserve">vartojimo METODAS IR būdas </w:t>
      </w:r>
      <w:r w:rsidRPr="00F93FFA">
        <w:rPr>
          <w:b/>
          <w:noProof/>
          <w:sz w:val="22"/>
          <w:szCs w:val="22"/>
        </w:rPr>
        <w:t>(-AI)</w:t>
      </w:r>
    </w:p>
    <w:p w14:paraId="54051102" w14:textId="77777777" w:rsidR="003646A0" w:rsidRPr="00F93FFA" w:rsidRDefault="003646A0" w:rsidP="00DE16D0">
      <w:pPr>
        <w:widowControl w:val="0"/>
        <w:ind w:left="567" w:hanging="567"/>
        <w:rPr>
          <w:color w:val="000000"/>
          <w:sz w:val="22"/>
          <w:szCs w:val="22"/>
        </w:rPr>
      </w:pPr>
    </w:p>
    <w:p w14:paraId="616A6878" w14:textId="77777777" w:rsidR="003646A0" w:rsidRPr="00F93FFA" w:rsidRDefault="003646A0" w:rsidP="00DE16D0">
      <w:pPr>
        <w:widowControl w:val="0"/>
        <w:ind w:left="567" w:hanging="567"/>
        <w:rPr>
          <w:color w:val="000000"/>
          <w:sz w:val="22"/>
          <w:szCs w:val="22"/>
        </w:rPr>
      </w:pPr>
      <w:r w:rsidRPr="00F93FFA">
        <w:rPr>
          <w:color w:val="000000"/>
          <w:sz w:val="22"/>
          <w:szCs w:val="22"/>
        </w:rPr>
        <w:t>Vartoti per burną. Prieš vartojimą perskaitykite pakuotės lapelį.</w:t>
      </w:r>
    </w:p>
    <w:p w14:paraId="4A36AF44" w14:textId="77777777" w:rsidR="003646A0" w:rsidRPr="00F93FFA" w:rsidRDefault="003646A0" w:rsidP="00DE16D0">
      <w:pPr>
        <w:widowControl w:val="0"/>
        <w:ind w:left="567" w:hanging="567"/>
        <w:rPr>
          <w:caps/>
          <w:color w:val="000000"/>
          <w:sz w:val="22"/>
          <w:szCs w:val="22"/>
        </w:rPr>
      </w:pPr>
    </w:p>
    <w:p w14:paraId="2EEE9E38" w14:textId="77777777" w:rsidR="003646A0" w:rsidRPr="00F93FFA" w:rsidRDefault="003646A0" w:rsidP="00DE16D0">
      <w:pPr>
        <w:widowControl w:val="0"/>
        <w:ind w:left="567" w:hanging="567"/>
        <w:rPr>
          <w:caps/>
          <w:color w:val="000000"/>
          <w:sz w:val="22"/>
          <w:szCs w:val="22"/>
        </w:rPr>
      </w:pPr>
    </w:p>
    <w:p w14:paraId="13388E0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40" w:hanging="540"/>
        <w:rPr>
          <w:b/>
          <w:caps/>
          <w:color w:val="000000"/>
          <w:sz w:val="22"/>
          <w:szCs w:val="22"/>
        </w:rPr>
      </w:pPr>
      <w:r w:rsidRPr="00F93FFA">
        <w:rPr>
          <w:b/>
          <w:caps/>
          <w:color w:val="000000"/>
          <w:sz w:val="22"/>
          <w:szCs w:val="22"/>
        </w:rPr>
        <w:t>6.</w:t>
      </w:r>
      <w:r w:rsidRPr="00F93FFA">
        <w:rPr>
          <w:b/>
          <w:caps/>
          <w:color w:val="000000"/>
          <w:sz w:val="22"/>
          <w:szCs w:val="22"/>
        </w:rPr>
        <w:tab/>
        <w:t>SPECIALUS Įspėjimas</w:t>
      </w:r>
      <w:r w:rsidRPr="00F93FFA">
        <w:rPr>
          <w:color w:val="000000"/>
          <w:sz w:val="22"/>
          <w:szCs w:val="22"/>
        </w:rPr>
        <w:t xml:space="preserve">, </w:t>
      </w:r>
      <w:r w:rsidRPr="00F93FFA">
        <w:rPr>
          <w:b/>
          <w:bCs/>
          <w:color w:val="000000"/>
          <w:sz w:val="22"/>
          <w:szCs w:val="22"/>
        </w:rPr>
        <w:t xml:space="preserve">KAD VAISTINĮ PREPARATĄ BŪTINA LAIKYTI </w:t>
      </w:r>
      <w:r w:rsidRPr="00F93FFA">
        <w:rPr>
          <w:b/>
          <w:caps/>
          <w:color w:val="000000"/>
          <w:sz w:val="22"/>
          <w:szCs w:val="22"/>
        </w:rPr>
        <w:t>vaikams nepastebimoje ir nepasiekiamoje vietoje</w:t>
      </w:r>
    </w:p>
    <w:p w14:paraId="7BAC9706" w14:textId="77777777" w:rsidR="003646A0" w:rsidRPr="00F93FFA" w:rsidRDefault="003646A0" w:rsidP="00DE16D0">
      <w:pPr>
        <w:widowControl w:val="0"/>
        <w:ind w:left="567" w:hanging="567"/>
        <w:rPr>
          <w:color w:val="000000"/>
          <w:sz w:val="22"/>
          <w:szCs w:val="22"/>
        </w:rPr>
      </w:pPr>
    </w:p>
    <w:p w14:paraId="272AB924" w14:textId="77777777" w:rsidR="003646A0" w:rsidRPr="00F93FFA" w:rsidRDefault="003646A0" w:rsidP="00DE16D0">
      <w:pPr>
        <w:widowControl w:val="0"/>
        <w:ind w:left="567" w:hanging="567"/>
        <w:rPr>
          <w:color w:val="000000"/>
          <w:sz w:val="22"/>
          <w:szCs w:val="22"/>
        </w:rPr>
      </w:pPr>
      <w:r w:rsidRPr="00F93FFA">
        <w:rPr>
          <w:color w:val="000000"/>
          <w:sz w:val="22"/>
          <w:szCs w:val="22"/>
        </w:rPr>
        <w:t>Laikyti vaikams nepastebimoje ir nepasiekiamoje vietoje.</w:t>
      </w:r>
    </w:p>
    <w:p w14:paraId="2D0D6C93" w14:textId="77777777" w:rsidR="003646A0" w:rsidRPr="00F93FFA" w:rsidRDefault="003646A0" w:rsidP="00DE16D0">
      <w:pPr>
        <w:widowControl w:val="0"/>
        <w:ind w:left="567" w:hanging="567"/>
        <w:rPr>
          <w:color w:val="000000"/>
          <w:sz w:val="22"/>
          <w:szCs w:val="22"/>
        </w:rPr>
      </w:pPr>
    </w:p>
    <w:p w14:paraId="770B1CB7" w14:textId="77777777" w:rsidR="003646A0" w:rsidRPr="00F93FFA" w:rsidRDefault="003646A0" w:rsidP="00DE16D0">
      <w:pPr>
        <w:widowControl w:val="0"/>
        <w:ind w:left="567" w:hanging="567"/>
        <w:rPr>
          <w:color w:val="000000"/>
          <w:sz w:val="22"/>
          <w:szCs w:val="22"/>
        </w:rPr>
      </w:pPr>
    </w:p>
    <w:p w14:paraId="0059861B"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7.</w:t>
      </w:r>
      <w:r w:rsidRPr="00F93FFA">
        <w:rPr>
          <w:b/>
          <w:caps/>
          <w:color w:val="000000"/>
          <w:sz w:val="22"/>
          <w:szCs w:val="22"/>
        </w:rPr>
        <w:tab/>
        <w:t xml:space="preserve">kitas </w:t>
      </w:r>
      <w:r w:rsidRPr="00F93FFA">
        <w:rPr>
          <w:b/>
          <w:noProof/>
          <w:sz w:val="22"/>
          <w:szCs w:val="22"/>
        </w:rPr>
        <w:t xml:space="preserve">(-I) </w:t>
      </w:r>
      <w:r w:rsidRPr="00F93FFA">
        <w:rPr>
          <w:b/>
          <w:caps/>
          <w:color w:val="000000"/>
          <w:sz w:val="22"/>
          <w:szCs w:val="22"/>
        </w:rPr>
        <w:t xml:space="preserve">specialus </w:t>
      </w:r>
      <w:r w:rsidRPr="00F93FFA">
        <w:rPr>
          <w:b/>
          <w:noProof/>
          <w:sz w:val="22"/>
          <w:szCs w:val="22"/>
        </w:rPr>
        <w:t xml:space="preserve">(-ŪS) </w:t>
      </w:r>
      <w:r w:rsidRPr="00F93FFA">
        <w:rPr>
          <w:b/>
          <w:caps/>
          <w:color w:val="000000"/>
          <w:sz w:val="22"/>
          <w:szCs w:val="22"/>
        </w:rPr>
        <w:t xml:space="preserve">Įspėjimas </w:t>
      </w:r>
      <w:r w:rsidRPr="00F93FFA">
        <w:rPr>
          <w:b/>
          <w:noProof/>
          <w:sz w:val="22"/>
          <w:szCs w:val="22"/>
        </w:rPr>
        <w:t>(-AI)</w:t>
      </w:r>
      <w:r w:rsidRPr="00F93FFA">
        <w:rPr>
          <w:b/>
          <w:caps/>
          <w:color w:val="000000"/>
          <w:sz w:val="22"/>
          <w:szCs w:val="22"/>
        </w:rPr>
        <w:t xml:space="preserve"> (jei reikia)</w:t>
      </w:r>
    </w:p>
    <w:p w14:paraId="057A6366" w14:textId="77777777" w:rsidR="003646A0" w:rsidRPr="00F93FFA" w:rsidRDefault="003646A0" w:rsidP="00DE16D0">
      <w:pPr>
        <w:widowControl w:val="0"/>
        <w:ind w:left="567" w:hanging="567"/>
        <w:rPr>
          <w:caps/>
          <w:color w:val="000000"/>
          <w:sz w:val="22"/>
          <w:szCs w:val="22"/>
        </w:rPr>
      </w:pPr>
    </w:p>
    <w:p w14:paraId="4343EC44" w14:textId="77777777" w:rsidR="003646A0" w:rsidRPr="00F93FFA" w:rsidRDefault="003646A0" w:rsidP="00DE16D0">
      <w:pPr>
        <w:widowControl w:val="0"/>
        <w:ind w:left="567" w:hanging="567"/>
        <w:rPr>
          <w:color w:val="000000"/>
          <w:sz w:val="22"/>
          <w:szCs w:val="22"/>
        </w:rPr>
      </w:pPr>
      <w:r w:rsidRPr="00F93FFA">
        <w:rPr>
          <w:color w:val="000000"/>
          <w:sz w:val="22"/>
          <w:szCs w:val="22"/>
        </w:rPr>
        <w:t>Vartoti taip, kaip nurodė gydytojas.</w:t>
      </w:r>
    </w:p>
    <w:p w14:paraId="1FCBB4FF" w14:textId="77777777" w:rsidR="003646A0" w:rsidRPr="00F93FFA" w:rsidRDefault="003646A0" w:rsidP="00DE16D0">
      <w:pPr>
        <w:widowControl w:val="0"/>
        <w:ind w:left="567" w:hanging="567"/>
        <w:rPr>
          <w:caps/>
          <w:color w:val="000000"/>
          <w:sz w:val="22"/>
          <w:szCs w:val="22"/>
        </w:rPr>
      </w:pPr>
    </w:p>
    <w:p w14:paraId="64EB687C" w14:textId="77777777" w:rsidR="003646A0" w:rsidRPr="00F93FFA" w:rsidRDefault="003646A0" w:rsidP="00DE16D0">
      <w:pPr>
        <w:widowControl w:val="0"/>
        <w:ind w:left="567" w:hanging="567"/>
        <w:rPr>
          <w:caps/>
          <w:color w:val="000000"/>
          <w:sz w:val="22"/>
          <w:szCs w:val="22"/>
        </w:rPr>
      </w:pPr>
    </w:p>
    <w:p w14:paraId="361452AF"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8.</w:t>
      </w:r>
      <w:r w:rsidRPr="00F93FFA">
        <w:rPr>
          <w:b/>
          <w:caps/>
          <w:color w:val="000000"/>
          <w:sz w:val="22"/>
          <w:szCs w:val="22"/>
        </w:rPr>
        <w:tab/>
        <w:t>tinkamumo laikas</w:t>
      </w:r>
    </w:p>
    <w:p w14:paraId="44B4E428" w14:textId="77777777" w:rsidR="003646A0" w:rsidRPr="00F93FFA" w:rsidRDefault="003646A0" w:rsidP="00DE16D0">
      <w:pPr>
        <w:widowControl w:val="0"/>
        <w:ind w:left="567" w:hanging="567"/>
        <w:rPr>
          <w:color w:val="000000"/>
          <w:sz w:val="22"/>
          <w:szCs w:val="22"/>
        </w:rPr>
      </w:pPr>
    </w:p>
    <w:p w14:paraId="6AA1B18A" w14:textId="77777777" w:rsidR="003646A0" w:rsidRPr="00F93FFA" w:rsidRDefault="00C669BB" w:rsidP="00DE16D0">
      <w:pPr>
        <w:widowControl w:val="0"/>
        <w:ind w:left="567" w:hanging="567"/>
        <w:rPr>
          <w:color w:val="000000"/>
          <w:sz w:val="22"/>
          <w:szCs w:val="22"/>
        </w:rPr>
      </w:pPr>
      <w:r w:rsidRPr="00F93FFA">
        <w:rPr>
          <w:color w:val="000000"/>
          <w:sz w:val="22"/>
          <w:szCs w:val="22"/>
        </w:rPr>
        <w:t>EXP</w:t>
      </w:r>
    </w:p>
    <w:p w14:paraId="5824E142" w14:textId="77777777" w:rsidR="003646A0" w:rsidRPr="00F93FFA" w:rsidRDefault="003646A0" w:rsidP="00DE16D0">
      <w:pPr>
        <w:widowControl w:val="0"/>
        <w:ind w:left="567" w:hanging="567"/>
        <w:rPr>
          <w:color w:val="000000"/>
          <w:sz w:val="22"/>
          <w:szCs w:val="22"/>
        </w:rPr>
      </w:pPr>
    </w:p>
    <w:p w14:paraId="19E290EC" w14:textId="77777777" w:rsidR="003646A0" w:rsidRPr="00F93FFA" w:rsidRDefault="003646A0" w:rsidP="00DE16D0">
      <w:pPr>
        <w:widowControl w:val="0"/>
        <w:ind w:left="567" w:hanging="567"/>
        <w:rPr>
          <w:color w:val="000000"/>
          <w:sz w:val="22"/>
          <w:szCs w:val="22"/>
        </w:rPr>
      </w:pPr>
    </w:p>
    <w:p w14:paraId="23DE6F73"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9.</w:t>
      </w:r>
      <w:r w:rsidRPr="00F93FFA">
        <w:rPr>
          <w:b/>
          <w:caps/>
          <w:color w:val="000000"/>
          <w:sz w:val="22"/>
          <w:szCs w:val="22"/>
        </w:rPr>
        <w:tab/>
        <w:t>SPECIALIOS laikymo sąlygos</w:t>
      </w:r>
    </w:p>
    <w:p w14:paraId="27664DB8" w14:textId="77777777" w:rsidR="003646A0" w:rsidRPr="00F93FFA" w:rsidRDefault="003646A0" w:rsidP="00D82342">
      <w:pPr>
        <w:keepNext/>
        <w:keepLines/>
        <w:widowControl w:val="0"/>
        <w:ind w:left="567" w:hanging="567"/>
        <w:rPr>
          <w:color w:val="000000"/>
          <w:sz w:val="22"/>
          <w:szCs w:val="22"/>
        </w:rPr>
      </w:pPr>
    </w:p>
    <w:p w14:paraId="1AC05580" w14:textId="53249853" w:rsidR="003646A0" w:rsidRPr="00F93FFA" w:rsidRDefault="003646A0" w:rsidP="00D82342">
      <w:pPr>
        <w:keepNext/>
        <w:keepLines/>
        <w:widowControl w:val="0"/>
        <w:rPr>
          <w:color w:val="000000"/>
          <w:sz w:val="22"/>
          <w:szCs w:val="22"/>
        </w:rPr>
      </w:pPr>
      <w:r w:rsidRPr="00F93FFA">
        <w:rPr>
          <w:color w:val="000000"/>
          <w:sz w:val="22"/>
          <w:szCs w:val="22"/>
        </w:rPr>
        <w:t>Laikyti ne aukštesnėje kaip 30 </w:t>
      </w:r>
      <w:r w:rsidRPr="00F93FFA">
        <w:rPr>
          <w:color w:val="000000"/>
          <w:sz w:val="22"/>
          <w:szCs w:val="22"/>
        </w:rPr>
        <w:sym w:font="Symbol" w:char="F0B0"/>
      </w:r>
      <w:r w:rsidRPr="00F93FFA">
        <w:rPr>
          <w:color w:val="000000"/>
          <w:sz w:val="22"/>
          <w:szCs w:val="22"/>
        </w:rPr>
        <w:t xml:space="preserve">C temperatūroje. Laikyti gamintojo pakuotėje, kad </w:t>
      </w:r>
      <w:r w:rsidR="00770DD2" w:rsidRPr="00F93FFA">
        <w:rPr>
          <w:color w:val="000000"/>
          <w:sz w:val="22"/>
          <w:szCs w:val="22"/>
        </w:rPr>
        <w:t xml:space="preserve">vaistas </w:t>
      </w:r>
      <w:r w:rsidRPr="00F93FFA">
        <w:rPr>
          <w:color w:val="000000"/>
          <w:sz w:val="22"/>
          <w:szCs w:val="22"/>
        </w:rPr>
        <w:t>būtų apsaugotas nuo drėgmės.</w:t>
      </w:r>
    </w:p>
    <w:p w14:paraId="5F9CD82E" w14:textId="77777777" w:rsidR="003646A0" w:rsidRPr="00F93FFA" w:rsidRDefault="003646A0" w:rsidP="00DE16D0">
      <w:pPr>
        <w:widowControl w:val="0"/>
        <w:ind w:left="567" w:hanging="567"/>
        <w:rPr>
          <w:color w:val="000000"/>
          <w:sz w:val="22"/>
          <w:szCs w:val="22"/>
        </w:rPr>
      </w:pPr>
    </w:p>
    <w:p w14:paraId="1F1E3DE5" w14:textId="77777777" w:rsidR="003646A0" w:rsidRPr="00F93FFA" w:rsidRDefault="003646A0" w:rsidP="00D82342">
      <w:pPr>
        <w:keepNext/>
        <w:keepLines/>
        <w:widowControl w:val="0"/>
        <w:ind w:left="567" w:hanging="567"/>
        <w:rPr>
          <w:color w:val="000000"/>
          <w:sz w:val="22"/>
          <w:szCs w:val="22"/>
        </w:rPr>
      </w:pPr>
    </w:p>
    <w:p w14:paraId="66394438"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10.</w:t>
      </w:r>
      <w:r w:rsidRPr="00F93FFA">
        <w:rPr>
          <w:b/>
          <w:caps/>
          <w:color w:val="000000"/>
          <w:sz w:val="22"/>
          <w:szCs w:val="22"/>
        </w:rPr>
        <w:tab/>
        <w:t>SPECIALIOS ATSARGUMO PRIEMONĖS</w:t>
      </w:r>
      <w:r w:rsidRPr="00F93FFA">
        <w:rPr>
          <w:b/>
          <w:caps/>
          <w:noProof/>
          <w:sz w:val="22"/>
          <w:szCs w:val="22"/>
        </w:rPr>
        <w:t xml:space="preserve"> DĖL NESUVARTOTO </w:t>
      </w:r>
      <w:r w:rsidRPr="00F93FFA">
        <w:rPr>
          <w:b/>
          <w:caps/>
          <w:color w:val="000000"/>
          <w:sz w:val="22"/>
          <w:szCs w:val="22"/>
        </w:rPr>
        <w:t>VAISTINIO PREPARATO AR JO ATLIEKŲ TVARKYMO (JEI REIKIA)</w:t>
      </w:r>
    </w:p>
    <w:p w14:paraId="3DFB03DE" w14:textId="77777777" w:rsidR="003646A0" w:rsidRPr="00F93FFA" w:rsidRDefault="003646A0" w:rsidP="00D82342">
      <w:pPr>
        <w:keepNext/>
        <w:keepLines/>
        <w:widowControl w:val="0"/>
        <w:ind w:left="567" w:hanging="567"/>
        <w:rPr>
          <w:caps/>
          <w:color w:val="000000"/>
          <w:sz w:val="22"/>
          <w:szCs w:val="22"/>
        </w:rPr>
      </w:pPr>
    </w:p>
    <w:p w14:paraId="61D02839" w14:textId="77777777" w:rsidR="003646A0" w:rsidRPr="00F93FFA" w:rsidRDefault="003646A0" w:rsidP="00DE16D0">
      <w:pPr>
        <w:widowControl w:val="0"/>
        <w:ind w:left="567" w:hanging="567"/>
        <w:rPr>
          <w:caps/>
          <w:color w:val="000000"/>
          <w:sz w:val="22"/>
          <w:szCs w:val="22"/>
        </w:rPr>
      </w:pPr>
    </w:p>
    <w:p w14:paraId="09A404FA"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11.</w:t>
      </w:r>
      <w:r w:rsidRPr="00F93FFA">
        <w:rPr>
          <w:b/>
          <w:caps/>
          <w:color w:val="000000"/>
          <w:sz w:val="22"/>
          <w:szCs w:val="22"/>
        </w:rPr>
        <w:tab/>
      </w:r>
      <w:r w:rsidR="002C261F" w:rsidRPr="00F93FFA">
        <w:rPr>
          <w:b/>
          <w:caps/>
          <w:color w:val="000000"/>
          <w:sz w:val="22"/>
          <w:szCs w:val="22"/>
          <w:lang w:bidi="lt-LT"/>
        </w:rPr>
        <w:t>REGISTRUOTOJO PAVADINIMAS IR ADRESAS</w:t>
      </w:r>
    </w:p>
    <w:p w14:paraId="745F9E5E" w14:textId="77777777" w:rsidR="003646A0" w:rsidRPr="00F93FFA" w:rsidRDefault="003646A0" w:rsidP="00D82342">
      <w:pPr>
        <w:keepNext/>
        <w:keepLines/>
        <w:widowControl w:val="0"/>
        <w:ind w:left="567" w:hanging="567"/>
        <w:rPr>
          <w:caps/>
          <w:color w:val="000000"/>
          <w:sz w:val="22"/>
          <w:szCs w:val="22"/>
        </w:rPr>
      </w:pPr>
    </w:p>
    <w:p w14:paraId="134B7B28" w14:textId="77777777" w:rsidR="003646A0" w:rsidRPr="00F93FFA" w:rsidRDefault="003646A0" w:rsidP="00D82342">
      <w:pPr>
        <w:pStyle w:val="EndnoteText"/>
        <w:keepNext/>
        <w:keepLines/>
        <w:widowControl w:val="0"/>
        <w:tabs>
          <w:tab w:val="clear" w:pos="567"/>
        </w:tabs>
        <w:rPr>
          <w:color w:val="000000"/>
          <w:szCs w:val="22"/>
          <w:lang w:val="lt-LT"/>
        </w:rPr>
      </w:pPr>
      <w:r w:rsidRPr="00F93FFA">
        <w:rPr>
          <w:color w:val="000000"/>
          <w:szCs w:val="22"/>
          <w:lang w:val="lt-LT"/>
        </w:rPr>
        <w:t>Novartis Europharm Limited</w:t>
      </w:r>
    </w:p>
    <w:p w14:paraId="51C05C83" w14:textId="77777777" w:rsidR="008D67C4" w:rsidRPr="00F93FFA" w:rsidRDefault="008D67C4" w:rsidP="00DE16D0">
      <w:pPr>
        <w:keepNext/>
        <w:widowControl w:val="0"/>
        <w:rPr>
          <w:color w:val="000000"/>
          <w:sz w:val="22"/>
          <w:szCs w:val="22"/>
        </w:rPr>
      </w:pPr>
      <w:r w:rsidRPr="00F93FFA">
        <w:rPr>
          <w:color w:val="000000"/>
          <w:sz w:val="22"/>
          <w:szCs w:val="22"/>
        </w:rPr>
        <w:t>Vista Building</w:t>
      </w:r>
    </w:p>
    <w:p w14:paraId="5BA9E328" w14:textId="77777777" w:rsidR="008D67C4" w:rsidRPr="00F93FFA" w:rsidRDefault="008D67C4" w:rsidP="00DE16D0">
      <w:pPr>
        <w:keepNext/>
        <w:widowControl w:val="0"/>
        <w:rPr>
          <w:color w:val="000000"/>
          <w:sz w:val="22"/>
          <w:szCs w:val="22"/>
        </w:rPr>
      </w:pPr>
      <w:r w:rsidRPr="00F93FFA">
        <w:rPr>
          <w:color w:val="000000"/>
          <w:sz w:val="22"/>
          <w:szCs w:val="22"/>
        </w:rPr>
        <w:t>Elm Park, Merrion Road</w:t>
      </w:r>
    </w:p>
    <w:p w14:paraId="1F7C6002" w14:textId="77777777" w:rsidR="008D67C4" w:rsidRPr="00F93FFA" w:rsidRDefault="008D67C4" w:rsidP="00DE16D0">
      <w:pPr>
        <w:keepNext/>
        <w:widowControl w:val="0"/>
        <w:rPr>
          <w:color w:val="000000"/>
          <w:sz w:val="22"/>
          <w:szCs w:val="22"/>
        </w:rPr>
      </w:pPr>
      <w:r w:rsidRPr="00F93FFA">
        <w:rPr>
          <w:color w:val="000000"/>
          <w:sz w:val="22"/>
          <w:szCs w:val="22"/>
        </w:rPr>
        <w:t>Dublin 4</w:t>
      </w:r>
    </w:p>
    <w:p w14:paraId="017BE47A" w14:textId="77777777" w:rsidR="003646A0" w:rsidRPr="00F93FFA" w:rsidRDefault="008D67C4" w:rsidP="00DE16D0">
      <w:pPr>
        <w:widowControl w:val="0"/>
        <w:rPr>
          <w:color w:val="000000"/>
          <w:sz w:val="22"/>
          <w:szCs w:val="22"/>
        </w:rPr>
      </w:pPr>
      <w:r w:rsidRPr="00F93FFA">
        <w:rPr>
          <w:color w:val="000000"/>
          <w:sz w:val="22"/>
          <w:szCs w:val="22"/>
        </w:rPr>
        <w:t>Airija</w:t>
      </w:r>
    </w:p>
    <w:p w14:paraId="08F8D532" w14:textId="77777777" w:rsidR="003646A0" w:rsidRPr="00F93FFA" w:rsidRDefault="003646A0" w:rsidP="00DE16D0">
      <w:pPr>
        <w:widowControl w:val="0"/>
        <w:ind w:left="567" w:hanging="567"/>
        <w:rPr>
          <w:caps/>
          <w:color w:val="000000"/>
          <w:sz w:val="22"/>
          <w:szCs w:val="22"/>
        </w:rPr>
      </w:pPr>
    </w:p>
    <w:p w14:paraId="4D178D78" w14:textId="77777777" w:rsidR="003646A0" w:rsidRPr="00F93FFA" w:rsidRDefault="003646A0" w:rsidP="00DE16D0">
      <w:pPr>
        <w:widowControl w:val="0"/>
        <w:ind w:left="567" w:hanging="567"/>
        <w:rPr>
          <w:caps/>
          <w:color w:val="000000"/>
          <w:sz w:val="22"/>
          <w:szCs w:val="22"/>
        </w:rPr>
      </w:pPr>
    </w:p>
    <w:p w14:paraId="1B9B23AD"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12.</w:t>
      </w:r>
      <w:r w:rsidRPr="00F93FFA">
        <w:rPr>
          <w:b/>
          <w:caps/>
          <w:color w:val="000000"/>
          <w:sz w:val="22"/>
          <w:szCs w:val="22"/>
        </w:rPr>
        <w:tab/>
      </w:r>
      <w:r w:rsidR="002C261F" w:rsidRPr="00F93FFA">
        <w:rPr>
          <w:b/>
          <w:caps/>
          <w:color w:val="000000"/>
          <w:sz w:val="22"/>
          <w:szCs w:val="22"/>
          <w:lang w:bidi="lt-LT"/>
        </w:rPr>
        <w:t>REGISTRACIJOS PAŽYMĖJIMO NUMERIS (-IAI)</w:t>
      </w:r>
    </w:p>
    <w:p w14:paraId="29B4755F" w14:textId="77777777" w:rsidR="003646A0" w:rsidRPr="00F93FFA" w:rsidRDefault="003646A0" w:rsidP="00DE16D0">
      <w:pPr>
        <w:widowControl w:val="0"/>
        <w:ind w:left="567" w:hanging="567"/>
        <w:rPr>
          <w:color w:val="000000"/>
          <w:sz w:val="22"/>
          <w:szCs w:val="22"/>
        </w:rPr>
      </w:pPr>
    </w:p>
    <w:p w14:paraId="0B0788F8"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rPr>
        <w:t>EU/1/01/198/002</w:t>
      </w:r>
      <w:r w:rsidRPr="00F93FFA">
        <w:rPr>
          <w:color w:val="000000"/>
          <w:sz w:val="22"/>
          <w:szCs w:val="22"/>
        </w:rPr>
        <w:tab/>
      </w:r>
      <w:r w:rsidRPr="00F93FFA">
        <w:rPr>
          <w:color w:val="000000"/>
          <w:sz w:val="22"/>
          <w:szCs w:val="22"/>
          <w:shd w:val="clear" w:color="auto" w:fill="D9D9D9"/>
        </w:rPr>
        <w:t>24 kapsulės</w:t>
      </w:r>
    </w:p>
    <w:p w14:paraId="3B1E4233"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EU/1/01/198/003</w:t>
      </w:r>
      <w:r w:rsidRPr="00F93FFA">
        <w:rPr>
          <w:color w:val="000000"/>
          <w:sz w:val="22"/>
          <w:szCs w:val="22"/>
          <w:shd w:val="clear" w:color="auto" w:fill="D9D9D9"/>
        </w:rPr>
        <w:tab/>
        <w:t>48 kapsulės</w:t>
      </w:r>
    </w:p>
    <w:p w14:paraId="12DE6989"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EU/1/01/198/004</w:t>
      </w:r>
      <w:r w:rsidRPr="00F93FFA">
        <w:rPr>
          <w:color w:val="000000"/>
          <w:sz w:val="22"/>
          <w:szCs w:val="22"/>
          <w:shd w:val="clear" w:color="auto" w:fill="D9D9D9"/>
        </w:rPr>
        <w:tab/>
        <w:t>96 kapsulės</w:t>
      </w:r>
    </w:p>
    <w:p w14:paraId="7983596C"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EU/1/01/198/005</w:t>
      </w:r>
      <w:r w:rsidRPr="00F93FFA">
        <w:rPr>
          <w:color w:val="000000"/>
          <w:sz w:val="22"/>
          <w:szCs w:val="22"/>
          <w:shd w:val="clear" w:color="auto" w:fill="D9D9D9"/>
        </w:rPr>
        <w:tab/>
        <w:t>120 kapsulių</w:t>
      </w:r>
    </w:p>
    <w:p w14:paraId="3F0A8E54"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EU/1/01/198/006</w:t>
      </w:r>
      <w:r w:rsidRPr="00F93FFA">
        <w:rPr>
          <w:color w:val="000000"/>
          <w:sz w:val="22"/>
          <w:szCs w:val="22"/>
          <w:shd w:val="clear" w:color="auto" w:fill="D9D9D9"/>
        </w:rPr>
        <w:tab/>
        <w:t>180 kapsulių</w:t>
      </w:r>
    </w:p>
    <w:p w14:paraId="1302FD5E" w14:textId="77777777" w:rsidR="003646A0" w:rsidRPr="00F93FFA" w:rsidRDefault="003646A0" w:rsidP="00DE16D0">
      <w:pPr>
        <w:widowControl w:val="0"/>
        <w:ind w:left="567" w:hanging="567"/>
        <w:rPr>
          <w:color w:val="000000"/>
          <w:sz w:val="22"/>
          <w:szCs w:val="22"/>
        </w:rPr>
      </w:pPr>
    </w:p>
    <w:p w14:paraId="74BEB23F" w14:textId="77777777" w:rsidR="003646A0" w:rsidRPr="00F93FFA" w:rsidRDefault="003646A0" w:rsidP="00DE16D0">
      <w:pPr>
        <w:widowControl w:val="0"/>
        <w:ind w:left="567" w:hanging="567"/>
        <w:rPr>
          <w:color w:val="000000"/>
          <w:sz w:val="22"/>
          <w:szCs w:val="22"/>
        </w:rPr>
      </w:pPr>
    </w:p>
    <w:p w14:paraId="52C9167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13.</w:t>
      </w:r>
      <w:r w:rsidRPr="00F93FFA">
        <w:rPr>
          <w:b/>
          <w:caps/>
          <w:color w:val="000000"/>
          <w:sz w:val="22"/>
          <w:szCs w:val="22"/>
        </w:rPr>
        <w:tab/>
        <w:t>SERIJOS NUMERIS</w:t>
      </w:r>
    </w:p>
    <w:p w14:paraId="076EDB20" w14:textId="77777777" w:rsidR="003646A0" w:rsidRPr="00F93FFA" w:rsidRDefault="003646A0" w:rsidP="00DE16D0">
      <w:pPr>
        <w:widowControl w:val="0"/>
        <w:ind w:left="567" w:hanging="567"/>
        <w:rPr>
          <w:color w:val="000000"/>
          <w:sz w:val="22"/>
          <w:szCs w:val="22"/>
        </w:rPr>
      </w:pPr>
    </w:p>
    <w:p w14:paraId="42D90795" w14:textId="77777777" w:rsidR="003646A0" w:rsidRPr="00F93FFA" w:rsidRDefault="00C669BB" w:rsidP="00DE16D0">
      <w:pPr>
        <w:widowControl w:val="0"/>
        <w:ind w:left="567" w:hanging="567"/>
        <w:rPr>
          <w:color w:val="000000"/>
          <w:sz w:val="22"/>
          <w:szCs w:val="22"/>
        </w:rPr>
      </w:pPr>
      <w:r w:rsidRPr="00F93FFA">
        <w:rPr>
          <w:color w:val="000000"/>
          <w:sz w:val="22"/>
          <w:szCs w:val="22"/>
        </w:rPr>
        <w:t>Lot</w:t>
      </w:r>
    </w:p>
    <w:p w14:paraId="1B04B85F" w14:textId="77777777" w:rsidR="003646A0" w:rsidRPr="00F93FFA" w:rsidRDefault="003646A0" w:rsidP="00DE16D0">
      <w:pPr>
        <w:widowControl w:val="0"/>
        <w:ind w:left="567" w:hanging="567"/>
        <w:rPr>
          <w:color w:val="000000"/>
          <w:sz w:val="22"/>
          <w:szCs w:val="22"/>
        </w:rPr>
      </w:pPr>
    </w:p>
    <w:p w14:paraId="1F21D4CD" w14:textId="77777777" w:rsidR="003646A0" w:rsidRPr="00F93FFA" w:rsidRDefault="003646A0" w:rsidP="00DE16D0">
      <w:pPr>
        <w:widowControl w:val="0"/>
        <w:ind w:left="567" w:hanging="567"/>
        <w:rPr>
          <w:color w:val="000000"/>
          <w:sz w:val="22"/>
          <w:szCs w:val="22"/>
        </w:rPr>
      </w:pPr>
    </w:p>
    <w:p w14:paraId="6FED9077"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14.</w:t>
      </w:r>
      <w:r w:rsidRPr="00F93FFA">
        <w:rPr>
          <w:b/>
          <w:caps/>
          <w:color w:val="000000"/>
          <w:sz w:val="22"/>
          <w:szCs w:val="22"/>
        </w:rPr>
        <w:tab/>
        <w:t>PARDAVIMO (IŠDAVIMO) tvarka</w:t>
      </w:r>
    </w:p>
    <w:p w14:paraId="07CC16D3" w14:textId="77777777" w:rsidR="003646A0" w:rsidRPr="00F93FFA" w:rsidRDefault="003646A0" w:rsidP="00DE16D0">
      <w:pPr>
        <w:widowControl w:val="0"/>
        <w:ind w:left="567" w:hanging="567"/>
        <w:rPr>
          <w:color w:val="000000"/>
          <w:sz w:val="22"/>
          <w:szCs w:val="22"/>
        </w:rPr>
      </w:pPr>
    </w:p>
    <w:p w14:paraId="3B945E37" w14:textId="77777777" w:rsidR="003646A0" w:rsidRPr="00F93FFA" w:rsidRDefault="003646A0" w:rsidP="00DE16D0">
      <w:pPr>
        <w:widowControl w:val="0"/>
        <w:ind w:left="567" w:hanging="567"/>
        <w:rPr>
          <w:color w:val="000000"/>
          <w:sz w:val="22"/>
          <w:szCs w:val="22"/>
        </w:rPr>
      </w:pPr>
    </w:p>
    <w:p w14:paraId="45EF3B5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15.</w:t>
      </w:r>
      <w:r w:rsidRPr="00F93FFA">
        <w:rPr>
          <w:b/>
          <w:caps/>
          <w:color w:val="000000"/>
          <w:sz w:val="22"/>
          <w:szCs w:val="22"/>
        </w:rPr>
        <w:tab/>
        <w:t>VARTOJIMO INSTRUKCIJA</w:t>
      </w:r>
    </w:p>
    <w:p w14:paraId="05C4973C" w14:textId="77777777" w:rsidR="003646A0" w:rsidRPr="00F93FFA" w:rsidRDefault="003646A0" w:rsidP="00DE16D0">
      <w:pPr>
        <w:widowControl w:val="0"/>
        <w:ind w:left="567" w:hanging="567"/>
        <w:rPr>
          <w:color w:val="000000"/>
          <w:sz w:val="22"/>
          <w:szCs w:val="22"/>
        </w:rPr>
      </w:pPr>
    </w:p>
    <w:p w14:paraId="61EA7A5D" w14:textId="77777777" w:rsidR="003646A0" w:rsidRPr="00F93FFA" w:rsidRDefault="003646A0" w:rsidP="00DE16D0">
      <w:pPr>
        <w:widowControl w:val="0"/>
        <w:ind w:left="567" w:hanging="567"/>
        <w:rPr>
          <w:color w:val="000000"/>
          <w:sz w:val="22"/>
          <w:szCs w:val="22"/>
        </w:rPr>
      </w:pPr>
    </w:p>
    <w:p w14:paraId="7B652A02" w14:textId="77777777" w:rsidR="00D82342" w:rsidRPr="00F93FFA" w:rsidRDefault="00D82342" w:rsidP="00D82342">
      <w:pPr>
        <w:widowControl w:val="0"/>
        <w:pBdr>
          <w:top w:val="single" w:sz="4" w:space="1" w:color="auto"/>
          <w:left w:val="single" w:sz="4" w:space="4" w:color="auto"/>
          <w:bottom w:val="single" w:sz="4" w:space="1" w:color="auto"/>
          <w:right w:val="single" w:sz="4" w:space="4" w:color="auto"/>
        </w:pBdr>
        <w:tabs>
          <w:tab w:val="left" w:pos="142"/>
        </w:tabs>
        <w:ind w:left="567" w:hanging="567"/>
        <w:rPr>
          <w:b/>
          <w:color w:val="000000"/>
          <w:sz w:val="22"/>
          <w:szCs w:val="22"/>
        </w:rPr>
      </w:pPr>
      <w:r w:rsidRPr="00F93FFA">
        <w:rPr>
          <w:b/>
          <w:color w:val="000000"/>
          <w:sz w:val="22"/>
          <w:szCs w:val="22"/>
        </w:rPr>
        <w:t>16.</w:t>
      </w:r>
      <w:r w:rsidRPr="00F93FFA">
        <w:rPr>
          <w:b/>
          <w:color w:val="000000"/>
          <w:sz w:val="22"/>
          <w:szCs w:val="22"/>
        </w:rPr>
        <w:tab/>
        <w:t>INFORMACIJA BRAILIO RAŠTU</w:t>
      </w:r>
    </w:p>
    <w:p w14:paraId="730981F7" w14:textId="77777777" w:rsidR="003646A0" w:rsidRPr="00F93FFA" w:rsidRDefault="003646A0" w:rsidP="00DE16D0">
      <w:pPr>
        <w:widowControl w:val="0"/>
        <w:rPr>
          <w:color w:val="000000"/>
          <w:sz w:val="22"/>
          <w:szCs w:val="22"/>
          <w:u w:val="single"/>
        </w:rPr>
      </w:pPr>
    </w:p>
    <w:p w14:paraId="4ECBC8A8" w14:textId="77777777" w:rsidR="003646A0" w:rsidRPr="00F93FFA" w:rsidRDefault="003646A0" w:rsidP="00DE16D0">
      <w:pPr>
        <w:widowControl w:val="0"/>
        <w:rPr>
          <w:color w:val="000000"/>
          <w:sz w:val="22"/>
          <w:szCs w:val="22"/>
        </w:rPr>
      </w:pPr>
      <w:r w:rsidRPr="00F93FFA">
        <w:rPr>
          <w:color w:val="000000"/>
          <w:sz w:val="22"/>
          <w:szCs w:val="22"/>
        </w:rPr>
        <w:t>Glivec 100 mg</w:t>
      </w:r>
    </w:p>
    <w:p w14:paraId="7ADDAC78" w14:textId="77777777" w:rsidR="002C261F" w:rsidRPr="00F93FFA" w:rsidRDefault="002C261F" w:rsidP="00DE16D0">
      <w:pPr>
        <w:widowControl w:val="0"/>
        <w:rPr>
          <w:noProof/>
          <w:sz w:val="22"/>
          <w:szCs w:val="22"/>
          <w:shd w:val="clear" w:color="auto" w:fill="CCCCCC"/>
          <w:lang w:eastAsia="lt-LT" w:bidi="lt-LT"/>
        </w:rPr>
      </w:pPr>
    </w:p>
    <w:p w14:paraId="252E76D3" w14:textId="77777777" w:rsidR="002C261F" w:rsidRPr="00F93FFA" w:rsidRDefault="002C261F" w:rsidP="00DE16D0">
      <w:pPr>
        <w:widowControl w:val="0"/>
        <w:rPr>
          <w:noProof/>
          <w:sz w:val="22"/>
          <w:szCs w:val="22"/>
          <w:shd w:val="clear" w:color="auto" w:fill="CCCCCC"/>
          <w:lang w:eastAsia="lt-LT" w:bidi="lt-LT"/>
        </w:rPr>
      </w:pPr>
    </w:p>
    <w:p w14:paraId="0291409E" w14:textId="77777777" w:rsidR="002C261F" w:rsidRPr="00F93FFA" w:rsidRDefault="002C261F" w:rsidP="00DE16D0">
      <w:pPr>
        <w:widowControl w:val="0"/>
        <w:pBdr>
          <w:top w:val="single" w:sz="4" w:space="1" w:color="auto"/>
          <w:left w:val="single" w:sz="4" w:space="4" w:color="auto"/>
          <w:bottom w:val="single" w:sz="4" w:space="1" w:color="auto"/>
          <w:right w:val="single" w:sz="4" w:space="4" w:color="auto"/>
        </w:pBdr>
        <w:ind w:left="-3"/>
        <w:outlineLvl w:val="0"/>
        <w:rPr>
          <w:noProof/>
          <w:sz w:val="22"/>
          <w:szCs w:val="20"/>
          <w:lang w:eastAsia="lt-LT" w:bidi="lt-LT"/>
        </w:rPr>
      </w:pPr>
      <w:r w:rsidRPr="00F93FFA">
        <w:rPr>
          <w:b/>
          <w:noProof/>
          <w:sz w:val="22"/>
          <w:szCs w:val="20"/>
          <w:lang w:eastAsia="lt-LT" w:bidi="lt-LT"/>
        </w:rPr>
        <w:t>17.</w:t>
      </w:r>
      <w:r w:rsidRPr="00F93FFA">
        <w:rPr>
          <w:b/>
          <w:noProof/>
          <w:sz w:val="22"/>
          <w:szCs w:val="20"/>
          <w:lang w:eastAsia="lt-LT" w:bidi="lt-LT"/>
        </w:rPr>
        <w:tab/>
        <w:t>UNIKALUS IDENTIFIKATORIUS – 2D BRŪKŠNINIS KODAS</w:t>
      </w:r>
    </w:p>
    <w:p w14:paraId="19689736" w14:textId="77777777" w:rsidR="002C261F" w:rsidRPr="00F93FFA" w:rsidRDefault="002C261F" w:rsidP="00DE16D0">
      <w:pPr>
        <w:widowControl w:val="0"/>
        <w:rPr>
          <w:noProof/>
          <w:sz w:val="22"/>
          <w:szCs w:val="20"/>
          <w:lang w:eastAsia="lt-LT" w:bidi="lt-LT"/>
        </w:rPr>
      </w:pPr>
    </w:p>
    <w:p w14:paraId="5C7DB3BB" w14:textId="77777777" w:rsidR="002C261F" w:rsidRPr="00F93FFA" w:rsidRDefault="002C261F" w:rsidP="00DE16D0">
      <w:pPr>
        <w:widowControl w:val="0"/>
        <w:rPr>
          <w:sz w:val="22"/>
          <w:szCs w:val="20"/>
          <w:shd w:val="pct15" w:color="auto" w:fill="auto"/>
          <w:lang w:eastAsia="lt-LT" w:bidi="lt-LT"/>
        </w:rPr>
      </w:pPr>
      <w:r w:rsidRPr="00F93FFA">
        <w:rPr>
          <w:sz w:val="22"/>
          <w:szCs w:val="20"/>
          <w:shd w:val="pct15" w:color="auto" w:fill="auto"/>
          <w:lang w:eastAsia="lt-LT" w:bidi="lt-LT"/>
        </w:rPr>
        <w:t>2D brūkšninis kodas su nurodytu unikaliu identifikatoriumi.</w:t>
      </w:r>
    </w:p>
    <w:p w14:paraId="5D64F7DB" w14:textId="77777777" w:rsidR="002C261F" w:rsidRPr="00F93FFA" w:rsidRDefault="002C261F" w:rsidP="00DE16D0">
      <w:pPr>
        <w:widowControl w:val="0"/>
        <w:rPr>
          <w:noProof/>
          <w:sz w:val="22"/>
          <w:szCs w:val="22"/>
          <w:shd w:val="clear" w:color="auto" w:fill="CCCCCC"/>
          <w:lang w:eastAsia="lt-LT" w:bidi="lt-LT"/>
        </w:rPr>
      </w:pPr>
    </w:p>
    <w:p w14:paraId="05856E1E" w14:textId="77777777" w:rsidR="002C261F" w:rsidRPr="00F93FFA" w:rsidRDefault="002C261F" w:rsidP="00DE16D0">
      <w:pPr>
        <w:widowControl w:val="0"/>
        <w:rPr>
          <w:noProof/>
          <w:sz w:val="22"/>
          <w:szCs w:val="20"/>
          <w:lang w:eastAsia="lt-LT" w:bidi="lt-LT"/>
        </w:rPr>
      </w:pPr>
    </w:p>
    <w:p w14:paraId="6ADE3B67" w14:textId="77777777" w:rsidR="002C261F" w:rsidRPr="00F93FFA" w:rsidRDefault="002C261F" w:rsidP="00D82342">
      <w:pPr>
        <w:keepNext/>
        <w:widowControl w:val="0"/>
        <w:pBdr>
          <w:top w:val="single" w:sz="4" w:space="1" w:color="auto"/>
          <w:left w:val="single" w:sz="4" w:space="4" w:color="auto"/>
          <w:bottom w:val="single" w:sz="4" w:space="1" w:color="auto"/>
          <w:right w:val="single" w:sz="4" w:space="4" w:color="auto"/>
        </w:pBdr>
        <w:ind w:left="-3"/>
        <w:outlineLvl w:val="0"/>
        <w:rPr>
          <w:i/>
          <w:noProof/>
          <w:sz w:val="22"/>
          <w:szCs w:val="20"/>
          <w:lang w:eastAsia="lt-LT" w:bidi="lt-LT"/>
        </w:rPr>
      </w:pPr>
      <w:r w:rsidRPr="00F93FFA">
        <w:rPr>
          <w:b/>
          <w:noProof/>
          <w:sz w:val="22"/>
          <w:szCs w:val="20"/>
          <w:lang w:eastAsia="lt-LT" w:bidi="lt-LT"/>
        </w:rPr>
        <w:t>18.</w:t>
      </w:r>
      <w:r w:rsidRPr="00F93FFA">
        <w:rPr>
          <w:b/>
          <w:noProof/>
          <w:sz w:val="22"/>
          <w:szCs w:val="20"/>
          <w:lang w:eastAsia="lt-LT" w:bidi="lt-LT"/>
        </w:rPr>
        <w:tab/>
        <w:t>UNIKALUS IDENTIFIKATORIUS – ŽMONĖMS SUPRANTAMI DUOMENYS</w:t>
      </w:r>
    </w:p>
    <w:p w14:paraId="6A99DBB2" w14:textId="77777777" w:rsidR="002C261F" w:rsidRPr="00F93FFA" w:rsidRDefault="002C261F" w:rsidP="00D82342">
      <w:pPr>
        <w:keepNext/>
        <w:widowControl w:val="0"/>
        <w:rPr>
          <w:noProof/>
          <w:sz w:val="22"/>
          <w:szCs w:val="20"/>
          <w:lang w:eastAsia="lt-LT" w:bidi="lt-LT"/>
        </w:rPr>
      </w:pPr>
    </w:p>
    <w:p w14:paraId="2B8E307B" w14:textId="77777777" w:rsidR="002C261F" w:rsidRPr="00F93FFA" w:rsidRDefault="002C261F" w:rsidP="00D82342">
      <w:pPr>
        <w:keepNext/>
        <w:widowControl w:val="0"/>
        <w:rPr>
          <w:sz w:val="22"/>
          <w:szCs w:val="22"/>
          <w:lang w:eastAsia="lt-LT" w:bidi="lt-LT"/>
        </w:rPr>
      </w:pPr>
      <w:r w:rsidRPr="00F93FFA">
        <w:rPr>
          <w:sz w:val="22"/>
          <w:szCs w:val="20"/>
          <w:lang w:eastAsia="lt-LT" w:bidi="lt-LT"/>
        </w:rPr>
        <w:t>PC:</w:t>
      </w:r>
    </w:p>
    <w:p w14:paraId="08E698FB" w14:textId="77777777" w:rsidR="002C261F" w:rsidRPr="00F93FFA" w:rsidRDefault="002C261F" w:rsidP="00D82342">
      <w:pPr>
        <w:keepNext/>
        <w:widowControl w:val="0"/>
        <w:rPr>
          <w:sz w:val="22"/>
          <w:szCs w:val="22"/>
          <w:lang w:eastAsia="lt-LT" w:bidi="lt-LT"/>
        </w:rPr>
      </w:pPr>
      <w:r w:rsidRPr="00F93FFA">
        <w:rPr>
          <w:sz w:val="22"/>
          <w:szCs w:val="20"/>
          <w:lang w:eastAsia="lt-LT" w:bidi="lt-LT"/>
        </w:rPr>
        <w:t>SN:</w:t>
      </w:r>
    </w:p>
    <w:p w14:paraId="118794CD" w14:textId="77777777" w:rsidR="00157E9E" w:rsidRPr="00F93FFA" w:rsidRDefault="002C261F" w:rsidP="00DE16D0">
      <w:pPr>
        <w:widowControl w:val="0"/>
        <w:ind w:left="567" w:hanging="567"/>
        <w:rPr>
          <w:rFonts w:eastAsia="SimSun" w:cs="Tahoma"/>
          <w:lang w:eastAsia="lt-LT" w:bidi="lt-LT"/>
        </w:rPr>
      </w:pPr>
      <w:r w:rsidRPr="00F93FFA">
        <w:rPr>
          <w:rFonts w:eastAsia="SimSun" w:cs="Tahoma"/>
          <w:lang w:eastAsia="lt-LT" w:bidi="lt-LT"/>
        </w:rPr>
        <w:t>NN:</w:t>
      </w:r>
    </w:p>
    <w:p w14:paraId="1964381E"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34C9A0DB" w14:textId="77777777" w:rsidR="00D82342" w:rsidRPr="00F93FFA" w:rsidRDefault="00D82342" w:rsidP="00D82342">
      <w:pPr>
        <w:widowControl w:val="0"/>
        <w:ind w:left="567" w:hanging="567"/>
        <w:rPr>
          <w:caps/>
          <w:color w:val="000000"/>
          <w:sz w:val="22"/>
          <w:szCs w:val="22"/>
        </w:rPr>
      </w:pPr>
    </w:p>
    <w:p w14:paraId="362CAFC0"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rPr>
          <w:b/>
          <w:caps/>
          <w:color w:val="000000"/>
          <w:sz w:val="22"/>
          <w:szCs w:val="22"/>
        </w:rPr>
      </w:pPr>
      <w:r w:rsidRPr="00F93FFA">
        <w:rPr>
          <w:b/>
          <w:caps/>
          <w:color w:val="000000"/>
          <w:sz w:val="22"/>
          <w:szCs w:val="22"/>
        </w:rPr>
        <w:t>MINIMALI INFORMACIJA ANT LIZDINIŲ PLOKŠTELIŲ ARBA DVISLUOKSNIŲ JUOSTELIŲ</w:t>
      </w:r>
    </w:p>
    <w:p w14:paraId="6B5F297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aps/>
          <w:color w:val="000000"/>
          <w:sz w:val="22"/>
          <w:szCs w:val="22"/>
        </w:rPr>
      </w:pPr>
    </w:p>
    <w:p w14:paraId="3CC5EC4E"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lizdinės plokštelės</w:t>
      </w:r>
    </w:p>
    <w:p w14:paraId="100749C6" w14:textId="77777777" w:rsidR="003646A0" w:rsidRPr="00F93FFA" w:rsidRDefault="003646A0" w:rsidP="00DE16D0">
      <w:pPr>
        <w:widowControl w:val="0"/>
        <w:ind w:left="567" w:hanging="567"/>
        <w:rPr>
          <w:caps/>
          <w:color w:val="000000"/>
          <w:sz w:val="22"/>
          <w:szCs w:val="22"/>
        </w:rPr>
      </w:pPr>
    </w:p>
    <w:p w14:paraId="02A5F7D1" w14:textId="77777777" w:rsidR="003646A0" w:rsidRPr="00F93FFA" w:rsidRDefault="003646A0" w:rsidP="00DE16D0">
      <w:pPr>
        <w:widowControl w:val="0"/>
        <w:ind w:left="567" w:hanging="567"/>
        <w:rPr>
          <w:caps/>
          <w:color w:val="000000"/>
          <w:sz w:val="22"/>
          <w:szCs w:val="22"/>
        </w:rPr>
      </w:pPr>
    </w:p>
    <w:p w14:paraId="3420B9F5"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668ACC36" w14:textId="77777777" w:rsidR="003646A0" w:rsidRPr="00F93FFA" w:rsidRDefault="003646A0" w:rsidP="00DE16D0">
      <w:pPr>
        <w:widowControl w:val="0"/>
        <w:ind w:left="567" w:hanging="567"/>
        <w:rPr>
          <w:color w:val="000000"/>
          <w:sz w:val="22"/>
          <w:szCs w:val="22"/>
        </w:rPr>
      </w:pPr>
    </w:p>
    <w:p w14:paraId="75C92D26" w14:textId="77777777" w:rsidR="003646A0" w:rsidRPr="00F93FFA" w:rsidRDefault="003646A0" w:rsidP="00DE16D0">
      <w:pPr>
        <w:widowControl w:val="0"/>
        <w:rPr>
          <w:color w:val="000000"/>
          <w:sz w:val="22"/>
          <w:szCs w:val="22"/>
        </w:rPr>
      </w:pPr>
      <w:r w:rsidRPr="00F93FFA">
        <w:rPr>
          <w:color w:val="000000"/>
          <w:sz w:val="22"/>
          <w:szCs w:val="22"/>
        </w:rPr>
        <w:t>Glivec 100 mg kapsulės</w:t>
      </w:r>
    </w:p>
    <w:p w14:paraId="41D5FC79" w14:textId="3DF490AE"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2C261F" w:rsidRPr="005205BF">
        <w:rPr>
          <w:i/>
          <w:color w:val="000000"/>
          <w:sz w:val="22"/>
          <w:szCs w:val="22"/>
        </w:rPr>
        <w:t>um</w:t>
      </w:r>
    </w:p>
    <w:p w14:paraId="49437690" w14:textId="77777777" w:rsidR="003646A0" w:rsidRPr="00F93FFA" w:rsidRDefault="003646A0" w:rsidP="00DE16D0">
      <w:pPr>
        <w:widowControl w:val="0"/>
        <w:ind w:left="567" w:hanging="567"/>
        <w:rPr>
          <w:color w:val="000000"/>
          <w:sz w:val="22"/>
          <w:szCs w:val="22"/>
        </w:rPr>
      </w:pPr>
    </w:p>
    <w:p w14:paraId="3C284C87" w14:textId="77777777" w:rsidR="003646A0" w:rsidRPr="00F93FFA" w:rsidRDefault="003646A0" w:rsidP="00DE16D0">
      <w:pPr>
        <w:widowControl w:val="0"/>
        <w:ind w:left="567" w:hanging="567"/>
        <w:rPr>
          <w:color w:val="000000"/>
          <w:sz w:val="22"/>
          <w:szCs w:val="22"/>
        </w:rPr>
      </w:pPr>
    </w:p>
    <w:p w14:paraId="710CA53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2.</w:t>
      </w:r>
      <w:r w:rsidRPr="00F93FFA">
        <w:rPr>
          <w:b/>
          <w:color w:val="000000"/>
          <w:sz w:val="22"/>
          <w:szCs w:val="22"/>
        </w:rPr>
        <w:tab/>
      </w:r>
      <w:r w:rsidR="002C261F" w:rsidRPr="00F93FFA">
        <w:rPr>
          <w:b/>
          <w:caps/>
          <w:color w:val="000000"/>
          <w:sz w:val="22"/>
          <w:szCs w:val="22"/>
          <w:lang w:bidi="lt-LT"/>
        </w:rPr>
        <w:t>REGISTRUOTOJO PAVADINIMAS</w:t>
      </w:r>
    </w:p>
    <w:p w14:paraId="0D2A33F4" w14:textId="77777777" w:rsidR="003646A0" w:rsidRPr="00F93FFA" w:rsidRDefault="003646A0" w:rsidP="00DE16D0">
      <w:pPr>
        <w:widowControl w:val="0"/>
        <w:ind w:left="567" w:hanging="567"/>
        <w:rPr>
          <w:color w:val="000000"/>
          <w:sz w:val="22"/>
          <w:szCs w:val="22"/>
        </w:rPr>
      </w:pPr>
    </w:p>
    <w:p w14:paraId="2717C187" w14:textId="77777777" w:rsidR="003646A0" w:rsidRPr="00F93FFA" w:rsidRDefault="003646A0" w:rsidP="00DE16D0">
      <w:pPr>
        <w:widowControl w:val="0"/>
        <w:ind w:left="567" w:hanging="567"/>
        <w:rPr>
          <w:color w:val="000000"/>
          <w:sz w:val="22"/>
          <w:szCs w:val="22"/>
        </w:rPr>
      </w:pPr>
      <w:r w:rsidRPr="00F93FFA">
        <w:rPr>
          <w:color w:val="000000"/>
          <w:sz w:val="22"/>
          <w:szCs w:val="22"/>
        </w:rPr>
        <w:t>Novartis Europharm Limited</w:t>
      </w:r>
    </w:p>
    <w:p w14:paraId="5568201F" w14:textId="77777777" w:rsidR="003646A0" w:rsidRPr="00F93FFA" w:rsidRDefault="003646A0" w:rsidP="00DE16D0">
      <w:pPr>
        <w:widowControl w:val="0"/>
        <w:ind w:left="567" w:hanging="567"/>
        <w:rPr>
          <w:color w:val="000000"/>
          <w:sz w:val="22"/>
          <w:szCs w:val="22"/>
        </w:rPr>
      </w:pPr>
    </w:p>
    <w:p w14:paraId="16A53B6D" w14:textId="77777777" w:rsidR="003646A0" w:rsidRPr="00F93FFA" w:rsidRDefault="003646A0" w:rsidP="00DE16D0">
      <w:pPr>
        <w:widowControl w:val="0"/>
        <w:ind w:left="567" w:hanging="567"/>
        <w:rPr>
          <w:color w:val="000000"/>
          <w:sz w:val="22"/>
          <w:szCs w:val="22"/>
        </w:rPr>
      </w:pPr>
    </w:p>
    <w:p w14:paraId="5BE5893B"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3.</w:t>
      </w:r>
      <w:r w:rsidRPr="00F93FFA">
        <w:rPr>
          <w:b/>
          <w:color w:val="000000"/>
          <w:sz w:val="22"/>
          <w:szCs w:val="22"/>
        </w:rPr>
        <w:tab/>
      </w:r>
      <w:r w:rsidRPr="00F93FFA">
        <w:rPr>
          <w:b/>
          <w:caps/>
          <w:color w:val="000000"/>
          <w:sz w:val="22"/>
          <w:szCs w:val="22"/>
        </w:rPr>
        <w:t>tinkamumo laikas</w:t>
      </w:r>
    </w:p>
    <w:p w14:paraId="0FCE84F6" w14:textId="77777777" w:rsidR="003646A0" w:rsidRPr="00F93FFA" w:rsidRDefault="003646A0" w:rsidP="00DE16D0">
      <w:pPr>
        <w:widowControl w:val="0"/>
        <w:ind w:left="567" w:hanging="567"/>
        <w:rPr>
          <w:color w:val="000000"/>
          <w:sz w:val="22"/>
          <w:szCs w:val="22"/>
        </w:rPr>
      </w:pPr>
    </w:p>
    <w:p w14:paraId="00CF93C2" w14:textId="77777777" w:rsidR="003646A0" w:rsidRPr="00F93FFA" w:rsidRDefault="003646A0" w:rsidP="00DE16D0">
      <w:pPr>
        <w:widowControl w:val="0"/>
        <w:ind w:left="567" w:hanging="567"/>
        <w:rPr>
          <w:color w:val="000000"/>
          <w:sz w:val="22"/>
          <w:szCs w:val="22"/>
        </w:rPr>
      </w:pPr>
      <w:r w:rsidRPr="00F93FFA">
        <w:rPr>
          <w:color w:val="000000"/>
          <w:sz w:val="22"/>
          <w:szCs w:val="22"/>
        </w:rPr>
        <w:t>EXP</w:t>
      </w:r>
    </w:p>
    <w:p w14:paraId="36642A68" w14:textId="77777777" w:rsidR="003646A0" w:rsidRPr="00F93FFA" w:rsidRDefault="003646A0" w:rsidP="00DE16D0">
      <w:pPr>
        <w:widowControl w:val="0"/>
        <w:ind w:left="567" w:hanging="567"/>
        <w:rPr>
          <w:color w:val="000000"/>
          <w:sz w:val="22"/>
          <w:szCs w:val="22"/>
        </w:rPr>
      </w:pPr>
    </w:p>
    <w:p w14:paraId="3BBBA2B6" w14:textId="77777777" w:rsidR="003646A0" w:rsidRPr="00F93FFA" w:rsidRDefault="003646A0" w:rsidP="00DE16D0">
      <w:pPr>
        <w:widowControl w:val="0"/>
        <w:ind w:left="567" w:hanging="567"/>
        <w:rPr>
          <w:color w:val="000000"/>
          <w:sz w:val="22"/>
          <w:szCs w:val="22"/>
        </w:rPr>
      </w:pPr>
    </w:p>
    <w:p w14:paraId="285DF7A3"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serijos numeris</w:t>
      </w:r>
    </w:p>
    <w:p w14:paraId="37F1E1B0" w14:textId="77777777" w:rsidR="003646A0" w:rsidRPr="00F93FFA" w:rsidRDefault="003646A0" w:rsidP="00DE16D0">
      <w:pPr>
        <w:widowControl w:val="0"/>
        <w:ind w:left="567" w:hanging="567"/>
        <w:rPr>
          <w:color w:val="000000"/>
          <w:sz w:val="22"/>
          <w:szCs w:val="22"/>
        </w:rPr>
      </w:pPr>
    </w:p>
    <w:p w14:paraId="556BDCA0" w14:textId="77777777" w:rsidR="003646A0" w:rsidRPr="00F93FFA" w:rsidRDefault="003646A0" w:rsidP="00DE16D0">
      <w:pPr>
        <w:widowControl w:val="0"/>
        <w:ind w:left="567" w:hanging="567"/>
        <w:rPr>
          <w:color w:val="000000"/>
          <w:sz w:val="22"/>
          <w:szCs w:val="22"/>
        </w:rPr>
      </w:pPr>
      <w:r w:rsidRPr="00F93FFA">
        <w:rPr>
          <w:color w:val="000000"/>
          <w:sz w:val="22"/>
          <w:szCs w:val="22"/>
        </w:rPr>
        <w:t>Lot</w:t>
      </w:r>
    </w:p>
    <w:p w14:paraId="25FBCF1A" w14:textId="77777777" w:rsidR="003646A0" w:rsidRPr="00F93FFA" w:rsidRDefault="003646A0" w:rsidP="00DE16D0">
      <w:pPr>
        <w:widowControl w:val="0"/>
        <w:ind w:left="567" w:hanging="567"/>
        <w:rPr>
          <w:color w:val="000000"/>
          <w:sz w:val="22"/>
          <w:szCs w:val="22"/>
        </w:rPr>
      </w:pPr>
    </w:p>
    <w:p w14:paraId="4844DE47" w14:textId="77777777" w:rsidR="003646A0" w:rsidRPr="00F93FFA" w:rsidRDefault="003646A0" w:rsidP="00DE16D0">
      <w:pPr>
        <w:widowControl w:val="0"/>
        <w:ind w:left="567" w:hanging="567"/>
        <w:rPr>
          <w:color w:val="000000"/>
          <w:sz w:val="22"/>
          <w:szCs w:val="22"/>
        </w:rPr>
      </w:pPr>
    </w:p>
    <w:p w14:paraId="15102EB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5.</w:t>
      </w:r>
      <w:r w:rsidRPr="00F93FFA">
        <w:rPr>
          <w:b/>
          <w:caps/>
          <w:color w:val="000000"/>
          <w:sz w:val="22"/>
          <w:szCs w:val="22"/>
        </w:rPr>
        <w:tab/>
        <w:t>KITA</w:t>
      </w:r>
    </w:p>
    <w:p w14:paraId="28DD3C63" w14:textId="77777777" w:rsidR="003646A0" w:rsidRPr="00F93FFA" w:rsidRDefault="003646A0" w:rsidP="00DE16D0">
      <w:pPr>
        <w:widowControl w:val="0"/>
        <w:ind w:left="567" w:hanging="567"/>
        <w:rPr>
          <w:color w:val="000000"/>
          <w:sz w:val="22"/>
          <w:szCs w:val="22"/>
        </w:rPr>
      </w:pPr>
    </w:p>
    <w:p w14:paraId="4A6258E3"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39F8DBC6" w14:textId="77777777" w:rsidR="00D82342" w:rsidRPr="00F93FFA" w:rsidRDefault="00D82342" w:rsidP="00D82342">
      <w:pPr>
        <w:keepNext/>
        <w:keepLines/>
        <w:widowControl w:val="0"/>
        <w:ind w:left="567" w:hanging="567"/>
        <w:rPr>
          <w:color w:val="000000"/>
          <w:sz w:val="22"/>
          <w:szCs w:val="22"/>
        </w:rPr>
      </w:pPr>
    </w:p>
    <w:p w14:paraId="1B14169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INFORMACIJA ANT IŠORINĖS PAKUOTĖS</w:t>
      </w:r>
    </w:p>
    <w:p w14:paraId="6CB2982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olor w:val="000000"/>
          <w:sz w:val="22"/>
          <w:szCs w:val="22"/>
        </w:rPr>
      </w:pPr>
    </w:p>
    <w:p w14:paraId="1A8339EE"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kartoninė dėžutė</w:t>
      </w:r>
    </w:p>
    <w:p w14:paraId="37521064" w14:textId="77777777" w:rsidR="003646A0" w:rsidRPr="00F93FFA" w:rsidRDefault="003646A0" w:rsidP="00DE16D0">
      <w:pPr>
        <w:widowControl w:val="0"/>
        <w:ind w:left="567" w:hanging="567"/>
        <w:rPr>
          <w:color w:val="000000"/>
          <w:sz w:val="22"/>
          <w:szCs w:val="22"/>
        </w:rPr>
      </w:pPr>
    </w:p>
    <w:p w14:paraId="624B9741" w14:textId="77777777" w:rsidR="003646A0" w:rsidRPr="00F93FFA" w:rsidRDefault="003646A0" w:rsidP="00DE16D0">
      <w:pPr>
        <w:widowControl w:val="0"/>
        <w:ind w:left="567" w:hanging="567"/>
        <w:rPr>
          <w:color w:val="000000"/>
          <w:sz w:val="22"/>
          <w:szCs w:val="22"/>
        </w:rPr>
      </w:pPr>
    </w:p>
    <w:p w14:paraId="08F68B08"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75407364" w14:textId="77777777" w:rsidR="003646A0" w:rsidRPr="00F93FFA" w:rsidRDefault="003646A0" w:rsidP="00DE16D0">
      <w:pPr>
        <w:widowControl w:val="0"/>
        <w:ind w:left="567" w:hanging="567"/>
        <w:rPr>
          <w:color w:val="000000"/>
          <w:sz w:val="22"/>
          <w:szCs w:val="22"/>
        </w:rPr>
      </w:pPr>
    </w:p>
    <w:p w14:paraId="4497BA17" w14:textId="77777777" w:rsidR="003646A0" w:rsidRPr="00F93FFA" w:rsidRDefault="003646A0" w:rsidP="00DE16D0">
      <w:pPr>
        <w:widowControl w:val="0"/>
        <w:ind w:left="567" w:hanging="567"/>
        <w:rPr>
          <w:color w:val="000000"/>
          <w:sz w:val="22"/>
          <w:szCs w:val="22"/>
        </w:rPr>
      </w:pPr>
      <w:r w:rsidRPr="00F93FFA">
        <w:rPr>
          <w:color w:val="000000"/>
          <w:sz w:val="22"/>
          <w:szCs w:val="22"/>
        </w:rPr>
        <w:t>Glivec 100 mg plėvele dengtos tabletės</w:t>
      </w:r>
    </w:p>
    <w:p w14:paraId="0BCADA74" w14:textId="6A5F2598"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2C261F" w:rsidRPr="005205BF">
        <w:rPr>
          <w:i/>
          <w:color w:val="000000"/>
          <w:sz w:val="22"/>
          <w:szCs w:val="22"/>
        </w:rPr>
        <w:t>um</w:t>
      </w:r>
    </w:p>
    <w:p w14:paraId="002B3C4E" w14:textId="77777777" w:rsidR="003646A0" w:rsidRPr="00F93FFA" w:rsidRDefault="003646A0" w:rsidP="00DE16D0">
      <w:pPr>
        <w:widowControl w:val="0"/>
        <w:ind w:left="567" w:hanging="567"/>
        <w:rPr>
          <w:color w:val="000000"/>
          <w:sz w:val="22"/>
          <w:szCs w:val="22"/>
        </w:rPr>
      </w:pPr>
    </w:p>
    <w:p w14:paraId="15B53D9A" w14:textId="77777777" w:rsidR="003646A0" w:rsidRPr="00F93FFA" w:rsidRDefault="003646A0" w:rsidP="00DE16D0">
      <w:pPr>
        <w:widowControl w:val="0"/>
        <w:ind w:left="567" w:hanging="567"/>
        <w:rPr>
          <w:color w:val="000000"/>
          <w:sz w:val="22"/>
          <w:szCs w:val="22"/>
        </w:rPr>
      </w:pPr>
    </w:p>
    <w:p w14:paraId="6508F870"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2.</w:t>
      </w:r>
      <w:r w:rsidRPr="00F93FFA">
        <w:rPr>
          <w:b/>
          <w:caps/>
          <w:color w:val="000000"/>
          <w:sz w:val="22"/>
          <w:szCs w:val="22"/>
        </w:rPr>
        <w:tab/>
        <w:t xml:space="preserve">veikliOJI </w:t>
      </w:r>
      <w:r w:rsidRPr="00F93FFA">
        <w:rPr>
          <w:b/>
          <w:noProof/>
          <w:sz w:val="22"/>
          <w:szCs w:val="22"/>
        </w:rPr>
        <w:t xml:space="preserve">(-IOS) </w:t>
      </w:r>
      <w:r w:rsidRPr="00F93FFA">
        <w:rPr>
          <w:b/>
          <w:caps/>
          <w:color w:val="000000"/>
          <w:sz w:val="22"/>
          <w:szCs w:val="22"/>
        </w:rPr>
        <w:t xml:space="preserve">medžiagA </w:t>
      </w:r>
      <w:r w:rsidRPr="00F93FFA">
        <w:rPr>
          <w:b/>
          <w:noProof/>
          <w:sz w:val="22"/>
          <w:szCs w:val="22"/>
        </w:rPr>
        <w:t xml:space="preserve">(-OS) </w:t>
      </w:r>
      <w:r w:rsidRPr="00F93FFA">
        <w:rPr>
          <w:b/>
          <w:caps/>
          <w:color w:val="000000"/>
          <w:sz w:val="22"/>
          <w:szCs w:val="22"/>
        </w:rPr>
        <w:t xml:space="preserve">ir JOS (-ų) kiekis </w:t>
      </w:r>
      <w:r w:rsidRPr="00F93FFA">
        <w:rPr>
          <w:b/>
          <w:noProof/>
          <w:sz w:val="22"/>
          <w:szCs w:val="22"/>
        </w:rPr>
        <w:t>(-IAI)</w:t>
      </w:r>
    </w:p>
    <w:p w14:paraId="242FD170" w14:textId="77777777" w:rsidR="003646A0" w:rsidRPr="00F93FFA" w:rsidRDefault="003646A0" w:rsidP="00DE16D0">
      <w:pPr>
        <w:widowControl w:val="0"/>
        <w:ind w:left="567" w:hanging="567"/>
        <w:rPr>
          <w:caps/>
          <w:color w:val="000000"/>
          <w:sz w:val="22"/>
          <w:szCs w:val="22"/>
        </w:rPr>
      </w:pPr>
    </w:p>
    <w:p w14:paraId="59827F31" w14:textId="0DAAC0E7" w:rsidR="003646A0" w:rsidRPr="00F93FFA" w:rsidRDefault="006846B3" w:rsidP="00DE16D0">
      <w:pPr>
        <w:widowControl w:val="0"/>
        <w:ind w:left="567" w:hanging="567"/>
        <w:rPr>
          <w:color w:val="000000"/>
          <w:sz w:val="22"/>
          <w:szCs w:val="22"/>
        </w:rPr>
      </w:pPr>
      <w:r w:rsidRPr="00F93FFA">
        <w:rPr>
          <w:color w:val="000000"/>
          <w:sz w:val="22"/>
          <w:szCs w:val="22"/>
        </w:rPr>
        <w:t xml:space="preserve">Kiekvienoje </w:t>
      </w:r>
      <w:r w:rsidR="003646A0" w:rsidRPr="00F93FFA">
        <w:rPr>
          <w:color w:val="000000"/>
          <w:sz w:val="22"/>
          <w:szCs w:val="22"/>
        </w:rPr>
        <w:t>plėvele dengtoje tabletėje yra 100 mg imatinibo (mesilato pavidalu).</w:t>
      </w:r>
    </w:p>
    <w:p w14:paraId="7E565BE8" w14:textId="77777777" w:rsidR="003646A0" w:rsidRPr="00F93FFA" w:rsidRDefault="003646A0" w:rsidP="00DE16D0">
      <w:pPr>
        <w:widowControl w:val="0"/>
        <w:ind w:left="567" w:hanging="567"/>
        <w:rPr>
          <w:caps/>
          <w:color w:val="000000"/>
          <w:sz w:val="22"/>
          <w:szCs w:val="22"/>
        </w:rPr>
      </w:pPr>
    </w:p>
    <w:p w14:paraId="5210BCB4" w14:textId="77777777" w:rsidR="003646A0" w:rsidRPr="00F93FFA" w:rsidRDefault="003646A0" w:rsidP="00DE16D0">
      <w:pPr>
        <w:widowControl w:val="0"/>
        <w:ind w:left="567" w:hanging="567"/>
        <w:rPr>
          <w:caps/>
          <w:color w:val="000000"/>
          <w:sz w:val="22"/>
          <w:szCs w:val="22"/>
        </w:rPr>
      </w:pPr>
    </w:p>
    <w:p w14:paraId="6724351B"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3.</w:t>
      </w:r>
      <w:r w:rsidRPr="00F93FFA">
        <w:rPr>
          <w:b/>
          <w:caps/>
          <w:color w:val="000000"/>
          <w:sz w:val="22"/>
          <w:szCs w:val="22"/>
        </w:rPr>
        <w:tab/>
        <w:t>pagalbinių medžiagų sąrašas</w:t>
      </w:r>
    </w:p>
    <w:p w14:paraId="73164657" w14:textId="77777777" w:rsidR="003646A0" w:rsidRPr="00F93FFA" w:rsidRDefault="003646A0" w:rsidP="00DE16D0">
      <w:pPr>
        <w:widowControl w:val="0"/>
        <w:ind w:left="567" w:hanging="567"/>
        <w:rPr>
          <w:caps/>
          <w:color w:val="000000"/>
          <w:sz w:val="22"/>
          <w:szCs w:val="22"/>
        </w:rPr>
      </w:pPr>
    </w:p>
    <w:p w14:paraId="38956946" w14:textId="77777777" w:rsidR="003646A0" w:rsidRPr="00F93FFA" w:rsidRDefault="003646A0" w:rsidP="00DE16D0">
      <w:pPr>
        <w:widowControl w:val="0"/>
        <w:ind w:left="567" w:hanging="567"/>
        <w:rPr>
          <w:caps/>
          <w:color w:val="000000"/>
          <w:sz w:val="22"/>
          <w:szCs w:val="22"/>
        </w:rPr>
      </w:pPr>
    </w:p>
    <w:p w14:paraId="56F46B0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FARMACINĖ forma ir KIEKIS PAKUOTĖJE</w:t>
      </w:r>
    </w:p>
    <w:p w14:paraId="79BB127B" w14:textId="77777777" w:rsidR="003646A0" w:rsidRPr="00F93FFA" w:rsidRDefault="003646A0" w:rsidP="00DE16D0">
      <w:pPr>
        <w:widowControl w:val="0"/>
        <w:ind w:left="567" w:hanging="567"/>
        <w:rPr>
          <w:caps/>
          <w:color w:val="000000"/>
          <w:sz w:val="22"/>
          <w:szCs w:val="22"/>
        </w:rPr>
      </w:pPr>
    </w:p>
    <w:p w14:paraId="18C0ED33" w14:textId="77777777" w:rsidR="003646A0" w:rsidRPr="00F93FFA" w:rsidRDefault="003646A0" w:rsidP="00DE16D0">
      <w:pPr>
        <w:widowControl w:val="0"/>
        <w:ind w:left="567" w:hanging="567"/>
        <w:rPr>
          <w:color w:val="000000"/>
          <w:sz w:val="22"/>
          <w:szCs w:val="22"/>
        </w:rPr>
      </w:pPr>
      <w:r w:rsidRPr="00F93FFA">
        <w:rPr>
          <w:color w:val="000000"/>
          <w:sz w:val="22"/>
          <w:szCs w:val="22"/>
        </w:rPr>
        <w:t>20 plėvele dengtų tablečių</w:t>
      </w:r>
    </w:p>
    <w:p w14:paraId="3C588263"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60 plėvele dengtų tablečių</w:t>
      </w:r>
    </w:p>
    <w:p w14:paraId="2A8EE708"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120 plėvele dengtų tablečių</w:t>
      </w:r>
    </w:p>
    <w:p w14:paraId="4741FA4B"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180 plėvele dengtų tablečių</w:t>
      </w:r>
    </w:p>
    <w:p w14:paraId="492BE7A9" w14:textId="77777777" w:rsidR="003646A0" w:rsidRPr="00F93FFA" w:rsidRDefault="003646A0" w:rsidP="00DE16D0">
      <w:pPr>
        <w:widowControl w:val="0"/>
        <w:ind w:left="567" w:hanging="567"/>
        <w:rPr>
          <w:caps/>
          <w:color w:val="000000"/>
          <w:sz w:val="22"/>
          <w:szCs w:val="22"/>
        </w:rPr>
      </w:pPr>
    </w:p>
    <w:p w14:paraId="3463251F" w14:textId="77777777" w:rsidR="003646A0" w:rsidRPr="00F93FFA" w:rsidRDefault="003646A0" w:rsidP="00DE16D0">
      <w:pPr>
        <w:widowControl w:val="0"/>
        <w:ind w:left="567" w:hanging="567"/>
        <w:rPr>
          <w:caps/>
          <w:color w:val="000000"/>
          <w:sz w:val="22"/>
          <w:szCs w:val="22"/>
        </w:rPr>
      </w:pPr>
    </w:p>
    <w:p w14:paraId="5A93F13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5.</w:t>
      </w:r>
      <w:r w:rsidRPr="00F93FFA">
        <w:rPr>
          <w:b/>
          <w:caps/>
          <w:color w:val="000000"/>
          <w:sz w:val="22"/>
          <w:szCs w:val="22"/>
        </w:rPr>
        <w:tab/>
        <w:t xml:space="preserve">vartojimo METODAS IR būdas </w:t>
      </w:r>
      <w:r w:rsidRPr="00F93FFA">
        <w:rPr>
          <w:b/>
          <w:noProof/>
          <w:sz w:val="22"/>
          <w:szCs w:val="22"/>
        </w:rPr>
        <w:t>(-AI)</w:t>
      </w:r>
    </w:p>
    <w:p w14:paraId="789A052D" w14:textId="77777777" w:rsidR="003646A0" w:rsidRPr="00F93FFA" w:rsidRDefault="003646A0" w:rsidP="00DE16D0">
      <w:pPr>
        <w:widowControl w:val="0"/>
        <w:ind w:left="567" w:hanging="567"/>
        <w:rPr>
          <w:caps/>
          <w:color w:val="000000"/>
          <w:sz w:val="22"/>
          <w:szCs w:val="22"/>
        </w:rPr>
      </w:pPr>
    </w:p>
    <w:p w14:paraId="47C577A6" w14:textId="77777777" w:rsidR="003646A0" w:rsidRPr="00F93FFA" w:rsidRDefault="003646A0" w:rsidP="00DE16D0">
      <w:pPr>
        <w:widowControl w:val="0"/>
        <w:ind w:left="567" w:hanging="567"/>
        <w:rPr>
          <w:color w:val="000000"/>
          <w:sz w:val="22"/>
          <w:szCs w:val="22"/>
        </w:rPr>
      </w:pPr>
      <w:r w:rsidRPr="00F93FFA">
        <w:rPr>
          <w:color w:val="000000"/>
          <w:sz w:val="22"/>
          <w:szCs w:val="22"/>
        </w:rPr>
        <w:t>Vartoti per burną. Prieš vartojimą perskaitykite pakuotės lapelį.</w:t>
      </w:r>
    </w:p>
    <w:p w14:paraId="7D8BEF25" w14:textId="77777777" w:rsidR="003646A0" w:rsidRPr="00F93FFA" w:rsidRDefault="003646A0" w:rsidP="00DE16D0">
      <w:pPr>
        <w:widowControl w:val="0"/>
        <w:ind w:left="567" w:hanging="567"/>
        <w:rPr>
          <w:caps/>
          <w:color w:val="000000"/>
          <w:sz w:val="22"/>
          <w:szCs w:val="22"/>
        </w:rPr>
      </w:pPr>
    </w:p>
    <w:p w14:paraId="7C626875" w14:textId="77777777" w:rsidR="003646A0" w:rsidRPr="00F93FFA" w:rsidRDefault="003646A0" w:rsidP="00DE16D0">
      <w:pPr>
        <w:widowControl w:val="0"/>
        <w:ind w:left="567" w:hanging="567"/>
        <w:rPr>
          <w:caps/>
          <w:color w:val="000000"/>
          <w:sz w:val="22"/>
          <w:szCs w:val="22"/>
        </w:rPr>
      </w:pPr>
    </w:p>
    <w:p w14:paraId="664E40D2"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40" w:hanging="540"/>
        <w:rPr>
          <w:b/>
          <w:caps/>
          <w:color w:val="000000"/>
          <w:sz w:val="22"/>
          <w:szCs w:val="22"/>
        </w:rPr>
      </w:pPr>
      <w:r w:rsidRPr="00F93FFA">
        <w:rPr>
          <w:b/>
          <w:caps/>
          <w:color w:val="000000"/>
          <w:sz w:val="22"/>
          <w:szCs w:val="22"/>
        </w:rPr>
        <w:t>6.</w:t>
      </w:r>
      <w:r w:rsidRPr="00F93FFA">
        <w:rPr>
          <w:b/>
          <w:caps/>
          <w:color w:val="000000"/>
          <w:sz w:val="22"/>
          <w:szCs w:val="22"/>
        </w:rPr>
        <w:tab/>
        <w:t>SPECIALUS Įspėjimas</w:t>
      </w:r>
      <w:r w:rsidRPr="00F93FFA">
        <w:rPr>
          <w:color w:val="000000"/>
          <w:sz w:val="22"/>
          <w:szCs w:val="22"/>
        </w:rPr>
        <w:t xml:space="preserve">, </w:t>
      </w:r>
      <w:r w:rsidRPr="00F93FFA">
        <w:rPr>
          <w:b/>
          <w:bCs/>
          <w:color w:val="000000"/>
          <w:sz w:val="22"/>
          <w:szCs w:val="22"/>
        </w:rPr>
        <w:t xml:space="preserve">KAD VAISTINĮ PREPARATĄ BŪTINA LAIKYTI </w:t>
      </w:r>
      <w:r w:rsidRPr="00F93FFA">
        <w:rPr>
          <w:b/>
          <w:caps/>
          <w:color w:val="000000"/>
          <w:sz w:val="22"/>
          <w:szCs w:val="22"/>
        </w:rPr>
        <w:t>vaikams nepastebimoje ir nepasiekiamoje vietoje</w:t>
      </w:r>
    </w:p>
    <w:p w14:paraId="63199CEA" w14:textId="77777777" w:rsidR="003646A0" w:rsidRPr="00F93FFA" w:rsidRDefault="003646A0" w:rsidP="00DE16D0">
      <w:pPr>
        <w:widowControl w:val="0"/>
        <w:ind w:left="567" w:hanging="567"/>
        <w:rPr>
          <w:color w:val="000000"/>
          <w:sz w:val="22"/>
          <w:szCs w:val="22"/>
        </w:rPr>
      </w:pPr>
    </w:p>
    <w:p w14:paraId="68A5BB09" w14:textId="77777777" w:rsidR="003646A0" w:rsidRPr="00F93FFA" w:rsidRDefault="003646A0" w:rsidP="00DE16D0">
      <w:pPr>
        <w:widowControl w:val="0"/>
        <w:ind w:left="567" w:hanging="567"/>
        <w:rPr>
          <w:color w:val="000000"/>
          <w:sz w:val="22"/>
          <w:szCs w:val="22"/>
        </w:rPr>
      </w:pPr>
      <w:r w:rsidRPr="00F93FFA">
        <w:rPr>
          <w:color w:val="000000"/>
          <w:sz w:val="22"/>
          <w:szCs w:val="22"/>
        </w:rPr>
        <w:t>Laikyti vaikams nepastebimoje ir nepasiekiamoje vietoje.</w:t>
      </w:r>
    </w:p>
    <w:p w14:paraId="3905360A" w14:textId="77777777" w:rsidR="003646A0" w:rsidRPr="00F93FFA" w:rsidRDefault="003646A0" w:rsidP="00DE16D0">
      <w:pPr>
        <w:widowControl w:val="0"/>
        <w:ind w:left="567" w:hanging="567"/>
        <w:rPr>
          <w:color w:val="000000"/>
          <w:sz w:val="22"/>
          <w:szCs w:val="22"/>
        </w:rPr>
      </w:pPr>
    </w:p>
    <w:p w14:paraId="17F6FB72" w14:textId="77777777" w:rsidR="003646A0" w:rsidRPr="00F93FFA" w:rsidRDefault="003646A0" w:rsidP="00DE16D0">
      <w:pPr>
        <w:widowControl w:val="0"/>
        <w:ind w:left="567" w:hanging="567"/>
        <w:rPr>
          <w:color w:val="000000"/>
          <w:sz w:val="22"/>
          <w:szCs w:val="22"/>
        </w:rPr>
      </w:pPr>
    </w:p>
    <w:p w14:paraId="791907C5"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7.</w:t>
      </w:r>
      <w:r w:rsidRPr="00F93FFA">
        <w:rPr>
          <w:b/>
          <w:caps/>
          <w:color w:val="000000"/>
          <w:sz w:val="22"/>
          <w:szCs w:val="22"/>
        </w:rPr>
        <w:tab/>
        <w:t xml:space="preserve">kitas </w:t>
      </w:r>
      <w:r w:rsidRPr="00F93FFA">
        <w:rPr>
          <w:b/>
          <w:noProof/>
          <w:sz w:val="22"/>
          <w:szCs w:val="22"/>
        </w:rPr>
        <w:t xml:space="preserve">(-I) </w:t>
      </w:r>
      <w:r w:rsidRPr="00F93FFA">
        <w:rPr>
          <w:b/>
          <w:caps/>
          <w:color w:val="000000"/>
          <w:sz w:val="22"/>
          <w:szCs w:val="22"/>
        </w:rPr>
        <w:t xml:space="preserve">specialus </w:t>
      </w:r>
      <w:r w:rsidRPr="00F93FFA">
        <w:rPr>
          <w:b/>
          <w:noProof/>
          <w:sz w:val="22"/>
          <w:szCs w:val="22"/>
        </w:rPr>
        <w:t xml:space="preserve">(-ŪS) </w:t>
      </w:r>
      <w:r w:rsidRPr="00F93FFA">
        <w:rPr>
          <w:b/>
          <w:caps/>
          <w:color w:val="000000"/>
          <w:sz w:val="22"/>
          <w:szCs w:val="22"/>
        </w:rPr>
        <w:t xml:space="preserve">Įspėjimas </w:t>
      </w:r>
      <w:r w:rsidRPr="00F93FFA">
        <w:rPr>
          <w:b/>
          <w:noProof/>
          <w:sz w:val="22"/>
          <w:szCs w:val="22"/>
        </w:rPr>
        <w:t>(-AI)</w:t>
      </w:r>
      <w:r w:rsidRPr="00F93FFA">
        <w:rPr>
          <w:b/>
          <w:caps/>
          <w:color w:val="000000"/>
          <w:sz w:val="22"/>
          <w:szCs w:val="22"/>
        </w:rPr>
        <w:t xml:space="preserve"> (jei reikia)</w:t>
      </w:r>
    </w:p>
    <w:p w14:paraId="504C1C15" w14:textId="77777777" w:rsidR="003646A0" w:rsidRPr="00F93FFA" w:rsidRDefault="003646A0" w:rsidP="00DE16D0">
      <w:pPr>
        <w:widowControl w:val="0"/>
        <w:ind w:left="567" w:hanging="567"/>
        <w:rPr>
          <w:caps/>
          <w:color w:val="000000"/>
          <w:sz w:val="22"/>
          <w:szCs w:val="22"/>
        </w:rPr>
      </w:pPr>
    </w:p>
    <w:p w14:paraId="12DE33DD" w14:textId="77777777" w:rsidR="003646A0" w:rsidRPr="00F93FFA" w:rsidRDefault="003646A0" w:rsidP="00DE16D0">
      <w:pPr>
        <w:widowControl w:val="0"/>
        <w:ind w:left="567" w:hanging="567"/>
        <w:rPr>
          <w:color w:val="000000"/>
          <w:sz w:val="22"/>
          <w:szCs w:val="22"/>
        </w:rPr>
      </w:pPr>
      <w:r w:rsidRPr="00F93FFA">
        <w:rPr>
          <w:color w:val="000000"/>
          <w:sz w:val="22"/>
          <w:szCs w:val="22"/>
        </w:rPr>
        <w:t>Vartoti taip, kaip nurodė gydytojas.</w:t>
      </w:r>
    </w:p>
    <w:p w14:paraId="71785DC7" w14:textId="77777777" w:rsidR="003646A0" w:rsidRPr="00F93FFA" w:rsidRDefault="003646A0" w:rsidP="00DE16D0">
      <w:pPr>
        <w:widowControl w:val="0"/>
        <w:ind w:left="567" w:hanging="567"/>
        <w:rPr>
          <w:caps/>
          <w:color w:val="000000"/>
          <w:sz w:val="22"/>
          <w:szCs w:val="22"/>
        </w:rPr>
      </w:pPr>
    </w:p>
    <w:p w14:paraId="31B299D9" w14:textId="77777777" w:rsidR="003646A0" w:rsidRPr="00F93FFA" w:rsidRDefault="003646A0" w:rsidP="00DE16D0">
      <w:pPr>
        <w:widowControl w:val="0"/>
        <w:ind w:left="567" w:hanging="567"/>
        <w:rPr>
          <w:caps/>
          <w:color w:val="000000"/>
          <w:sz w:val="22"/>
          <w:szCs w:val="22"/>
        </w:rPr>
      </w:pPr>
    </w:p>
    <w:p w14:paraId="2BC4EBBB"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8.</w:t>
      </w:r>
      <w:r w:rsidRPr="00F93FFA">
        <w:rPr>
          <w:b/>
          <w:caps/>
          <w:color w:val="000000"/>
          <w:sz w:val="22"/>
          <w:szCs w:val="22"/>
        </w:rPr>
        <w:tab/>
        <w:t>tinkamumo laikas</w:t>
      </w:r>
    </w:p>
    <w:p w14:paraId="3C942CDE" w14:textId="77777777" w:rsidR="003646A0" w:rsidRPr="00F93FFA" w:rsidRDefault="003646A0" w:rsidP="00DE16D0">
      <w:pPr>
        <w:widowControl w:val="0"/>
        <w:ind w:left="567" w:hanging="567"/>
        <w:rPr>
          <w:color w:val="000000"/>
          <w:sz w:val="22"/>
          <w:szCs w:val="22"/>
        </w:rPr>
      </w:pPr>
    </w:p>
    <w:p w14:paraId="1B8A0283" w14:textId="77777777" w:rsidR="003646A0" w:rsidRPr="00F93FFA" w:rsidRDefault="00C669BB" w:rsidP="00DE16D0">
      <w:pPr>
        <w:widowControl w:val="0"/>
        <w:ind w:left="567" w:hanging="567"/>
        <w:rPr>
          <w:color w:val="000000"/>
          <w:sz w:val="22"/>
          <w:szCs w:val="22"/>
        </w:rPr>
      </w:pPr>
      <w:r w:rsidRPr="00F93FFA">
        <w:rPr>
          <w:color w:val="000000"/>
          <w:sz w:val="22"/>
          <w:szCs w:val="22"/>
        </w:rPr>
        <w:t>EXP</w:t>
      </w:r>
    </w:p>
    <w:p w14:paraId="188F2878" w14:textId="77777777" w:rsidR="006A77E6" w:rsidRPr="00F93FFA" w:rsidRDefault="006A77E6" w:rsidP="00DE16D0">
      <w:pPr>
        <w:widowControl w:val="0"/>
        <w:ind w:left="567" w:hanging="567"/>
        <w:rPr>
          <w:color w:val="000000"/>
          <w:sz w:val="22"/>
          <w:szCs w:val="22"/>
        </w:rPr>
      </w:pPr>
    </w:p>
    <w:p w14:paraId="47104502" w14:textId="77777777" w:rsidR="003646A0" w:rsidRPr="00F93FFA" w:rsidRDefault="003646A0" w:rsidP="00DE16D0">
      <w:pPr>
        <w:widowControl w:val="0"/>
        <w:ind w:left="567" w:hanging="567"/>
        <w:rPr>
          <w:color w:val="000000"/>
          <w:sz w:val="22"/>
          <w:szCs w:val="22"/>
        </w:rPr>
      </w:pPr>
    </w:p>
    <w:p w14:paraId="56342728"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9.</w:t>
      </w:r>
      <w:r w:rsidRPr="00F93FFA">
        <w:rPr>
          <w:b/>
          <w:caps/>
          <w:color w:val="000000"/>
          <w:sz w:val="22"/>
          <w:szCs w:val="22"/>
        </w:rPr>
        <w:tab/>
        <w:t>SPECIALIOS laikymo sąlygos</w:t>
      </w:r>
    </w:p>
    <w:p w14:paraId="29CF03AC" w14:textId="77777777" w:rsidR="003646A0" w:rsidRPr="00F93FFA" w:rsidRDefault="003646A0" w:rsidP="00D82342">
      <w:pPr>
        <w:keepNext/>
        <w:keepLines/>
        <w:widowControl w:val="0"/>
        <w:ind w:left="567" w:hanging="567"/>
        <w:rPr>
          <w:color w:val="000000"/>
          <w:sz w:val="22"/>
          <w:szCs w:val="22"/>
        </w:rPr>
      </w:pPr>
    </w:p>
    <w:p w14:paraId="05CCA4AC" w14:textId="5F3235DF" w:rsidR="003646A0" w:rsidRPr="00F93FFA" w:rsidRDefault="003646A0" w:rsidP="00D82342">
      <w:pPr>
        <w:keepNext/>
        <w:keepLines/>
        <w:widowControl w:val="0"/>
        <w:rPr>
          <w:color w:val="000000"/>
          <w:sz w:val="22"/>
          <w:szCs w:val="22"/>
        </w:rPr>
      </w:pPr>
      <w:r w:rsidRPr="00F93FFA">
        <w:rPr>
          <w:color w:val="000000"/>
          <w:sz w:val="22"/>
          <w:szCs w:val="22"/>
        </w:rPr>
        <w:t>Laikyti ne aukštesnėje kaip 30 </w:t>
      </w:r>
      <w:r w:rsidRPr="00F93FFA">
        <w:rPr>
          <w:color w:val="000000"/>
          <w:sz w:val="22"/>
          <w:szCs w:val="22"/>
        </w:rPr>
        <w:sym w:font="Symbol" w:char="F0B0"/>
      </w:r>
      <w:r w:rsidRPr="00F93FFA">
        <w:rPr>
          <w:color w:val="000000"/>
          <w:sz w:val="22"/>
          <w:szCs w:val="22"/>
        </w:rPr>
        <w:t xml:space="preserve">C temperatūroje. Laikyti gamintojo pakuotėje, kad </w:t>
      </w:r>
      <w:r w:rsidR="00770DD2" w:rsidRPr="00F93FFA">
        <w:rPr>
          <w:color w:val="000000"/>
          <w:sz w:val="22"/>
          <w:szCs w:val="22"/>
        </w:rPr>
        <w:t xml:space="preserve">vaistas </w:t>
      </w:r>
      <w:r w:rsidRPr="00F93FFA">
        <w:rPr>
          <w:color w:val="000000"/>
          <w:sz w:val="22"/>
          <w:szCs w:val="22"/>
        </w:rPr>
        <w:t>būtų apsaugotas nuo drėgmės.</w:t>
      </w:r>
    </w:p>
    <w:p w14:paraId="16D5FD07" w14:textId="77777777" w:rsidR="003646A0" w:rsidRPr="00F93FFA" w:rsidRDefault="003646A0" w:rsidP="00DE16D0">
      <w:pPr>
        <w:widowControl w:val="0"/>
        <w:ind w:left="567" w:hanging="567"/>
        <w:rPr>
          <w:color w:val="000000"/>
          <w:sz w:val="22"/>
          <w:szCs w:val="22"/>
        </w:rPr>
      </w:pPr>
    </w:p>
    <w:p w14:paraId="2A58C545" w14:textId="77777777" w:rsidR="003646A0" w:rsidRPr="00F93FFA" w:rsidRDefault="003646A0" w:rsidP="00DE16D0">
      <w:pPr>
        <w:widowControl w:val="0"/>
        <w:ind w:left="567" w:hanging="567"/>
        <w:rPr>
          <w:color w:val="000000"/>
          <w:sz w:val="22"/>
          <w:szCs w:val="22"/>
        </w:rPr>
      </w:pPr>
    </w:p>
    <w:p w14:paraId="2A94A5BC"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lastRenderedPageBreak/>
        <w:t>10.</w:t>
      </w:r>
      <w:r w:rsidRPr="00F93FFA">
        <w:rPr>
          <w:b/>
          <w:caps/>
          <w:color w:val="000000"/>
          <w:sz w:val="22"/>
          <w:szCs w:val="22"/>
        </w:rPr>
        <w:tab/>
        <w:t>SPECIALIOS ATSARGUMO PRIEMONĖS</w:t>
      </w:r>
      <w:r w:rsidRPr="00F93FFA">
        <w:rPr>
          <w:b/>
          <w:caps/>
          <w:noProof/>
          <w:sz w:val="22"/>
          <w:szCs w:val="22"/>
        </w:rPr>
        <w:t xml:space="preserve"> DĖL NESUVARTOTO </w:t>
      </w:r>
      <w:r w:rsidRPr="00F93FFA">
        <w:rPr>
          <w:b/>
          <w:caps/>
          <w:color w:val="000000"/>
          <w:sz w:val="22"/>
          <w:szCs w:val="22"/>
        </w:rPr>
        <w:t>VAISTINIO PREPARATO AR JO ATLIEKŲ TVARKYMO (JEI REIKIA)</w:t>
      </w:r>
    </w:p>
    <w:p w14:paraId="23A6E395" w14:textId="77777777" w:rsidR="003646A0" w:rsidRPr="00F93FFA" w:rsidRDefault="003646A0" w:rsidP="00D82342">
      <w:pPr>
        <w:keepNext/>
        <w:keepLines/>
        <w:widowControl w:val="0"/>
        <w:ind w:left="567" w:hanging="567"/>
        <w:rPr>
          <w:caps/>
          <w:color w:val="000000"/>
          <w:sz w:val="22"/>
          <w:szCs w:val="22"/>
        </w:rPr>
      </w:pPr>
    </w:p>
    <w:p w14:paraId="54758D24" w14:textId="77777777" w:rsidR="003646A0" w:rsidRPr="00F93FFA" w:rsidRDefault="003646A0" w:rsidP="00DE16D0">
      <w:pPr>
        <w:widowControl w:val="0"/>
        <w:ind w:left="567" w:hanging="567"/>
        <w:rPr>
          <w:caps/>
          <w:color w:val="000000"/>
          <w:sz w:val="22"/>
          <w:szCs w:val="22"/>
        </w:rPr>
      </w:pPr>
    </w:p>
    <w:p w14:paraId="3CB478E4"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11.</w:t>
      </w:r>
      <w:r w:rsidRPr="00F93FFA">
        <w:rPr>
          <w:b/>
          <w:caps/>
          <w:color w:val="000000"/>
          <w:sz w:val="22"/>
          <w:szCs w:val="22"/>
        </w:rPr>
        <w:tab/>
      </w:r>
      <w:r w:rsidR="00AE7200" w:rsidRPr="00F93FFA">
        <w:rPr>
          <w:b/>
          <w:caps/>
          <w:color w:val="000000"/>
          <w:sz w:val="22"/>
          <w:szCs w:val="22"/>
          <w:lang w:bidi="lt-LT"/>
        </w:rPr>
        <w:t>REGISTRUOTOJO PAVADINIMAS IR ADRESAS</w:t>
      </w:r>
    </w:p>
    <w:p w14:paraId="728EA25C" w14:textId="77777777" w:rsidR="003646A0" w:rsidRPr="00F93FFA" w:rsidRDefault="003646A0" w:rsidP="00D82342">
      <w:pPr>
        <w:keepNext/>
        <w:keepLines/>
        <w:widowControl w:val="0"/>
        <w:ind w:left="567" w:hanging="567"/>
        <w:rPr>
          <w:caps/>
          <w:color w:val="000000"/>
          <w:sz w:val="22"/>
          <w:szCs w:val="22"/>
        </w:rPr>
      </w:pPr>
    </w:p>
    <w:p w14:paraId="64F793F6" w14:textId="77777777" w:rsidR="003646A0" w:rsidRPr="00F93FFA" w:rsidRDefault="003646A0" w:rsidP="00D82342">
      <w:pPr>
        <w:pStyle w:val="EndnoteText"/>
        <w:keepNext/>
        <w:keepLines/>
        <w:widowControl w:val="0"/>
        <w:tabs>
          <w:tab w:val="clear" w:pos="567"/>
        </w:tabs>
        <w:rPr>
          <w:color w:val="000000"/>
          <w:szCs w:val="22"/>
          <w:lang w:val="lt-LT"/>
        </w:rPr>
      </w:pPr>
      <w:r w:rsidRPr="00F93FFA">
        <w:rPr>
          <w:color w:val="000000"/>
          <w:szCs w:val="22"/>
          <w:lang w:val="lt-LT"/>
        </w:rPr>
        <w:t>Novartis Europharm Limited</w:t>
      </w:r>
    </w:p>
    <w:p w14:paraId="08F43DFB" w14:textId="77777777" w:rsidR="008D67C4" w:rsidRPr="00F93FFA" w:rsidRDefault="008D67C4" w:rsidP="00DE16D0">
      <w:pPr>
        <w:keepNext/>
        <w:widowControl w:val="0"/>
        <w:rPr>
          <w:color w:val="000000"/>
          <w:sz w:val="22"/>
          <w:szCs w:val="22"/>
        </w:rPr>
      </w:pPr>
      <w:r w:rsidRPr="00F93FFA">
        <w:rPr>
          <w:color w:val="000000"/>
          <w:sz w:val="22"/>
          <w:szCs w:val="22"/>
        </w:rPr>
        <w:t>Vista Building</w:t>
      </w:r>
    </w:p>
    <w:p w14:paraId="1CFA7218" w14:textId="77777777" w:rsidR="008D67C4" w:rsidRPr="00F93FFA" w:rsidRDefault="008D67C4" w:rsidP="00DE16D0">
      <w:pPr>
        <w:keepNext/>
        <w:widowControl w:val="0"/>
        <w:rPr>
          <w:color w:val="000000"/>
          <w:sz w:val="22"/>
          <w:szCs w:val="22"/>
        </w:rPr>
      </w:pPr>
      <w:r w:rsidRPr="00F93FFA">
        <w:rPr>
          <w:color w:val="000000"/>
          <w:sz w:val="22"/>
          <w:szCs w:val="22"/>
        </w:rPr>
        <w:t>Elm Park, Merrion Road</w:t>
      </w:r>
    </w:p>
    <w:p w14:paraId="4EF7C721" w14:textId="77777777" w:rsidR="008D67C4" w:rsidRPr="00F93FFA" w:rsidRDefault="008D67C4" w:rsidP="00DE16D0">
      <w:pPr>
        <w:keepNext/>
        <w:widowControl w:val="0"/>
        <w:rPr>
          <w:color w:val="000000"/>
          <w:sz w:val="22"/>
          <w:szCs w:val="22"/>
        </w:rPr>
      </w:pPr>
      <w:r w:rsidRPr="00F93FFA">
        <w:rPr>
          <w:color w:val="000000"/>
          <w:sz w:val="22"/>
          <w:szCs w:val="22"/>
        </w:rPr>
        <w:t>Dublin 4</w:t>
      </w:r>
    </w:p>
    <w:p w14:paraId="129F109D" w14:textId="77777777" w:rsidR="003646A0" w:rsidRPr="00F93FFA" w:rsidRDefault="008D67C4" w:rsidP="00DE16D0">
      <w:pPr>
        <w:widowControl w:val="0"/>
        <w:rPr>
          <w:color w:val="000000"/>
          <w:sz w:val="22"/>
          <w:szCs w:val="22"/>
        </w:rPr>
      </w:pPr>
      <w:r w:rsidRPr="00F93FFA">
        <w:rPr>
          <w:color w:val="000000"/>
          <w:sz w:val="22"/>
          <w:szCs w:val="22"/>
        </w:rPr>
        <w:t>Airija</w:t>
      </w:r>
    </w:p>
    <w:p w14:paraId="7B4CFF6B" w14:textId="77777777" w:rsidR="003646A0" w:rsidRPr="00F93FFA" w:rsidRDefault="003646A0" w:rsidP="00DE16D0">
      <w:pPr>
        <w:widowControl w:val="0"/>
        <w:ind w:left="567" w:hanging="567"/>
        <w:rPr>
          <w:caps/>
          <w:color w:val="000000"/>
          <w:sz w:val="22"/>
          <w:szCs w:val="22"/>
        </w:rPr>
      </w:pPr>
    </w:p>
    <w:p w14:paraId="53EFA867" w14:textId="77777777" w:rsidR="003646A0" w:rsidRPr="00F93FFA" w:rsidRDefault="003646A0" w:rsidP="00DE16D0">
      <w:pPr>
        <w:widowControl w:val="0"/>
        <w:ind w:left="567" w:hanging="567"/>
        <w:rPr>
          <w:caps/>
          <w:color w:val="000000"/>
          <w:sz w:val="22"/>
          <w:szCs w:val="22"/>
        </w:rPr>
      </w:pPr>
    </w:p>
    <w:p w14:paraId="2C1C4D10"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12.</w:t>
      </w:r>
      <w:r w:rsidRPr="00F93FFA">
        <w:rPr>
          <w:b/>
          <w:caps/>
          <w:color w:val="000000"/>
          <w:sz w:val="22"/>
          <w:szCs w:val="22"/>
        </w:rPr>
        <w:tab/>
      </w:r>
      <w:r w:rsidR="00AE7200" w:rsidRPr="00F93FFA">
        <w:rPr>
          <w:b/>
          <w:caps/>
          <w:color w:val="000000"/>
          <w:sz w:val="22"/>
          <w:szCs w:val="22"/>
          <w:lang w:bidi="lt-LT"/>
        </w:rPr>
        <w:t>REGISTRACIJOS PAŽYMĖJIMO NUMERIS (-IAI)</w:t>
      </w:r>
    </w:p>
    <w:p w14:paraId="54C529E4" w14:textId="77777777" w:rsidR="003646A0" w:rsidRPr="00F93FFA" w:rsidRDefault="003646A0" w:rsidP="00DE16D0">
      <w:pPr>
        <w:widowControl w:val="0"/>
        <w:ind w:left="567" w:hanging="567"/>
        <w:rPr>
          <w:color w:val="000000"/>
          <w:sz w:val="22"/>
          <w:szCs w:val="22"/>
        </w:rPr>
      </w:pPr>
    </w:p>
    <w:p w14:paraId="2AE4E9D2" w14:textId="77777777" w:rsidR="003646A0" w:rsidRPr="00F93FFA" w:rsidRDefault="003646A0" w:rsidP="00D82342">
      <w:pPr>
        <w:widowControl w:val="0"/>
        <w:ind w:left="2268" w:hanging="2268"/>
        <w:rPr>
          <w:color w:val="000000"/>
          <w:sz w:val="22"/>
          <w:szCs w:val="22"/>
          <w:shd w:val="clear" w:color="auto" w:fill="D9D9D9"/>
        </w:rPr>
      </w:pPr>
      <w:r w:rsidRPr="00F93FFA">
        <w:rPr>
          <w:color w:val="000000"/>
          <w:sz w:val="22"/>
          <w:szCs w:val="22"/>
        </w:rPr>
        <w:t>EU/1/01/198/007</w:t>
      </w:r>
      <w:r w:rsidRPr="00F93FFA">
        <w:rPr>
          <w:color w:val="000000"/>
          <w:sz w:val="22"/>
          <w:szCs w:val="22"/>
        </w:rPr>
        <w:tab/>
      </w:r>
      <w:r w:rsidRPr="00F93FFA">
        <w:rPr>
          <w:color w:val="000000"/>
          <w:sz w:val="22"/>
          <w:szCs w:val="22"/>
          <w:shd w:val="clear" w:color="auto" w:fill="D9D9D9"/>
        </w:rPr>
        <w:t>20 tablečių</w:t>
      </w:r>
      <w:r w:rsidR="00F64FDC" w:rsidRPr="00F93FFA">
        <w:rPr>
          <w:color w:val="000000"/>
          <w:sz w:val="22"/>
          <w:szCs w:val="22"/>
          <w:shd w:val="pct15" w:color="auto" w:fill="auto"/>
        </w:rPr>
        <w:t xml:space="preserve"> (PVC/aliuminio lizdinės plokštelės)</w:t>
      </w:r>
    </w:p>
    <w:p w14:paraId="2AEAD689" w14:textId="77777777" w:rsidR="003646A0" w:rsidRPr="00F93FFA" w:rsidRDefault="003646A0" w:rsidP="00D82342">
      <w:pPr>
        <w:widowControl w:val="0"/>
        <w:ind w:left="2268" w:hanging="2268"/>
        <w:rPr>
          <w:color w:val="000000"/>
          <w:sz w:val="22"/>
          <w:szCs w:val="22"/>
          <w:shd w:val="clear" w:color="auto" w:fill="D9D9D9"/>
        </w:rPr>
      </w:pPr>
      <w:r w:rsidRPr="00F93FFA">
        <w:rPr>
          <w:color w:val="000000"/>
          <w:sz w:val="22"/>
          <w:szCs w:val="22"/>
          <w:shd w:val="clear" w:color="auto" w:fill="D9D9D9"/>
        </w:rPr>
        <w:t>EU/1/01/198/008</w:t>
      </w:r>
      <w:r w:rsidRPr="00F93FFA">
        <w:rPr>
          <w:color w:val="000000"/>
          <w:sz w:val="22"/>
          <w:szCs w:val="22"/>
          <w:shd w:val="clear" w:color="auto" w:fill="D9D9D9"/>
        </w:rPr>
        <w:tab/>
        <w:t>60 tablečių</w:t>
      </w:r>
      <w:r w:rsidR="00F64FDC" w:rsidRPr="00F93FFA">
        <w:rPr>
          <w:color w:val="000000"/>
          <w:sz w:val="22"/>
          <w:szCs w:val="22"/>
          <w:shd w:val="pct15" w:color="auto" w:fill="auto"/>
        </w:rPr>
        <w:t xml:space="preserve"> (PVC/aliuminio lizdinės plokštelės)</w:t>
      </w:r>
    </w:p>
    <w:p w14:paraId="0E3516EC" w14:textId="77777777" w:rsidR="003646A0" w:rsidRPr="00F93FFA" w:rsidRDefault="003646A0" w:rsidP="00D82342">
      <w:pPr>
        <w:widowControl w:val="0"/>
        <w:ind w:left="2268" w:hanging="2268"/>
        <w:rPr>
          <w:color w:val="000000"/>
          <w:sz w:val="22"/>
          <w:szCs w:val="22"/>
          <w:shd w:val="clear" w:color="auto" w:fill="D9D9D9"/>
        </w:rPr>
      </w:pPr>
      <w:r w:rsidRPr="00F93FFA">
        <w:rPr>
          <w:color w:val="000000"/>
          <w:sz w:val="22"/>
          <w:szCs w:val="22"/>
          <w:shd w:val="clear" w:color="auto" w:fill="D9D9D9"/>
        </w:rPr>
        <w:t>EU/1/01/198/011</w:t>
      </w:r>
      <w:r w:rsidRPr="00F93FFA">
        <w:rPr>
          <w:color w:val="000000"/>
          <w:sz w:val="22"/>
          <w:szCs w:val="22"/>
          <w:shd w:val="clear" w:color="auto" w:fill="D9D9D9"/>
        </w:rPr>
        <w:tab/>
        <w:t>120 tablečių</w:t>
      </w:r>
      <w:r w:rsidR="00F64FDC" w:rsidRPr="00F93FFA">
        <w:rPr>
          <w:color w:val="000000"/>
          <w:sz w:val="22"/>
          <w:szCs w:val="22"/>
          <w:shd w:val="pct15" w:color="auto" w:fill="auto"/>
        </w:rPr>
        <w:t xml:space="preserve"> (PVC/aliuminio lizdinės plokštelės)</w:t>
      </w:r>
    </w:p>
    <w:p w14:paraId="25BD0459" w14:textId="77777777" w:rsidR="003646A0" w:rsidRPr="00F93FFA" w:rsidRDefault="003646A0" w:rsidP="00D82342">
      <w:pPr>
        <w:widowControl w:val="0"/>
        <w:ind w:left="2268" w:hanging="2268"/>
        <w:rPr>
          <w:color w:val="000000"/>
          <w:sz w:val="22"/>
          <w:szCs w:val="22"/>
          <w:shd w:val="clear" w:color="auto" w:fill="D9D9D9"/>
        </w:rPr>
      </w:pPr>
      <w:r w:rsidRPr="00F93FFA">
        <w:rPr>
          <w:color w:val="000000"/>
          <w:sz w:val="22"/>
          <w:szCs w:val="22"/>
          <w:shd w:val="clear" w:color="auto" w:fill="D9D9D9"/>
        </w:rPr>
        <w:t>EU/1/01/198/012</w:t>
      </w:r>
      <w:r w:rsidRPr="00F93FFA">
        <w:rPr>
          <w:color w:val="000000"/>
          <w:sz w:val="22"/>
          <w:szCs w:val="22"/>
          <w:shd w:val="clear" w:color="auto" w:fill="D9D9D9"/>
        </w:rPr>
        <w:tab/>
        <w:t>180 tablečių</w:t>
      </w:r>
      <w:r w:rsidR="00F64FDC" w:rsidRPr="00F93FFA">
        <w:rPr>
          <w:color w:val="000000"/>
          <w:sz w:val="22"/>
          <w:szCs w:val="22"/>
          <w:shd w:val="pct15" w:color="auto" w:fill="auto"/>
        </w:rPr>
        <w:t xml:space="preserve"> (PVC/aliuminio lizdinės plokštelės)</w:t>
      </w:r>
    </w:p>
    <w:p w14:paraId="5F5C8F0A" w14:textId="77777777" w:rsidR="00F64FDC" w:rsidRPr="00F93FFA" w:rsidRDefault="00F64FDC" w:rsidP="00D82342">
      <w:pPr>
        <w:widowControl w:val="0"/>
        <w:ind w:left="2268" w:hanging="2268"/>
        <w:rPr>
          <w:color w:val="000000"/>
          <w:sz w:val="22"/>
          <w:szCs w:val="22"/>
          <w:shd w:val="pct15" w:color="auto" w:fill="auto"/>
        </w:rPr>
      </w:pPr>
      <w:r w:rsidRPr="00F93FFA">
        <w:rPr>
          <w:color w:val="000000"/>
          <w:sz w:val="22"/>
          <w:szCs w:val="22"/>
          <w:shd w:val="pct15" w:color="auto" w:fill="auto"/>
        </w:rPr>
        <w:t>EU/1/01/198/01</w:t>
      </w:r>
      <w:r w:rsidR="00646295" w:rsidRPr="00F93FFA">
        <w:rPr>
          <w:color w:val="000000"/>
          <w:sz w:val="22"/>
          <w:szCs w:val="22"/>
          <w:shd w:val="pct15" w:color="auto" w:fill="auto"/>
        </w:rPr>
        <w:t>4</w:t>
      </w:r>
      <w:r w:rsidRPr="00F93FFA">
        <w:rPr>
          <w:color w:val="000000"/>
          <w:sz w:val="22"/>
          <w:szCs w:val="22"/>
          <w:shd w:val="pct15" w:color="auto" w:fill="auto"/>
        </w:rPr>
        <w:tab/>
      </w:r>
      <w:r w:rsidR="00646295" w:rsidRPr="00F93FFA">
        <w:rPr>
          <w:color w:val="000000"/>
          <w:sz w:val="22"/>
          <w:szCs w:val="22"/>
          <w:shd w:val="pct15" w:color="auto" w:fill="auto"/>
        </w:rPr>
        <w:t>6</w:t>
      </w:r>
      <w:r w:rsidRPr="00F93FFA">
        <w:rPr>
          <w:color w:val="000000"/>
          <w:sz w:val="22"/>
          <w:szCs w:val="22"/>
          <w:shd w:val="pct15" w:color="auto" w:fill="auto"/>
        </w:rPr>
        <w:t>0 tablečių (PVDC/aliuminio lizdinės plokštelės)</w:t>
      </w:r>
    </w:p>
    <w:p w14:paraId="7CE8621F" w14:textId="77777777" w:rsidR="00F64FDC" w:rsidRPr="00F93FFA" w:rsidRDefault="00F64FDC" w:rsidP="00D82342">
      <w:pPr>
        <w:widowControl w:val="0"/>
        <w:ind w:left="2268" w:hanging="2268"/>
        <w:rPr>
          <w:color w:val="000000"/>
          <w:sz w:val="22"/>
          <w:szCs w:val="22"/>
          <w:shd w:val="pct15" w:color="auto" w:fill="auto"/>
        </w:rPr>
      </w:pPr>
      <w:r w:rsidRPr="00F93FFA">
        <w:rPr>
          <w:color w:val="000000"/>
          <w:sz w:val="22"/>
          <w:szCs w:val="22"/>
          <w:shd w:val="pct15" w:color="auto" w:fill="auto"/>
        </w:rPr>
        <w:t>EU/1/01/198/01</w:t>
      </w:r>
      <w:r w:rsidR="00646295" w:rsidRPr="00F93FFA">
        <w:rPr>
          <w:color w:val="000000"/>
          <w:sz w:val="22"/>
          <w:szCs w:val="22"/>
          <w:shd w:val="pct15" w:color="auto" w:fill="auto"/>
        </w:rPr>
        <w:t>5</w:t>
      </w:r>
      <w:r w:rsidRPr="00F93FFA">
        <w:rPr>
          <w:color w:val="000000"/>
          <w:sz w:val="22"/>
          <w:szCs w:val="22"/>
          <w:shd w:val="pct15" w:color="auto" w:fill="auto"/>
        </w:rPr>
        <w:tab/>
        <w:t>1</w:t>
      </w:r>
      <w:r w:rsidR="00646295" w:rsidRPr="00F93FFA">
        <w:rPr>
          <w:color w:val="000000"/>
          <w:sz w:val="22"/>
          <w:szCs w:val="22"/>
          <w:shd w:val="pct15" w:color="auto" w:fill="auto"/>
        </w:rPr>
        <w:t>2</w:t>
      </w:r>
      <w:r w:rsidRPr="00F93FFA">
        <w:rPr>
          <w:color w:val="000000"/>
          <w:sz w:val="22"/>
          <w:szCs w:val="22"/>
          <w:shd w:val="pct15" w:color="auto" w:fill="auto"/>
        </w:rPr>
        <w:t>0 tablečių (PVDC/aliuminio lizdinės plokštelės)</w:t>
      </w:r>
    </w:p>
    <w:p w14:paraId="7A094A40" w14:textId="77777777" w:rsidR="0079178F" w:rsidRPr="00F93FFA" w:rsidRDefault="0079178F" w:rsidP="00D82342">
      <w:pPr>
        <w:widowControl w:val="0"/>
        <w:ind w:left="2268" w:hanging="2268"/>
        <w:rPr>
          <w:color w:val="000000"/>
          <w:sz w:val="22"/>
          <w:szCs w:val="22"/>
          <w:shd w:val="clear" w:color="auto" w:fill="D9D9D9"/>
        </w:rPr>
      </w:pPr>
      <w:r w:rsidRPr="00F93FFA">
        <w:rPr>
          <w:color w:val="000000"/>
          <w:sz w:val="22"/>
          <w:szCs w:val="22"/>
          <w:shd w:val="clear" w:color="auto" w:fill="D9D9D9"/>
        </w:rPr>
        <w:t>EU/1/01/198/01</w:t>
      </w:r>
      <w:r w:rsidR="00646295" w:rsidRPr="00F93FFA">
        <w:rPr>
          <w:color w:val="000000"/>
          <w:sz w:val="22"/>
          <w:szCs w:val="22"/>
          <w:shd w:val="clear" w:color="auto" w:fill="D9D9D9"/>
        </w:rPr>
        <w:t>6</w:t>
      </w:r>
      <w:r w:rsidRPr="00F93FFA">
        <w:rPr>
          <w:color w:val="000000"/>
          <w:sz w:val="22"/>
          <w:szCs w:val="22"/>
          <w:shd w:val="clear" w:color="auto" w:fill="D9D9D9"/>
        </w:rPr>
        <w:tab/>
      </w:r>
      <w:r w:rsidR="00646295" w:rsidRPr="00F93FFA">
        <w:rPr>
          <w:color w:val="000000"/>
          <w:sz w:val="22"/>
          <w:szCs w:val="22"/>
          <w:shd w:val="clear" w:color="auto" w:fill="D9D9D9"/>
        </w:rPr>
        <w:t>18</w:t>
      </w:r>
      <w:r w:rsidRPr="00F93FFA">
        <w:rPr>
          <w:color w:val="000000"/>
          <w:sz w:val="22"/>
          <w:szCs w:val="22"/>
          <w:shd w:val="clear" w:color="auto" w:fill="D9D9D9"/>
        </w:rPr>
        <w:t>0 tablečių</w:t>
      </w:r>
      <w:r w:rsidRPr="00F93FFA">
        <w:rPr>
          <w:color w:val="000000"/>
          <w:sz w:val="22"/>
          <w:szCs w:val="22"/>
          <w:shd w:val="pct15" w:color="auto" w:fill="auto"/>
        </w:rPr>
        <w:t xml:space="preserve"> (PVDC/aliuminio lizdinės plokštelės)</w:t>
      </w:r>
    </w:p>
    <w:p w14:paraId="5172775B" w14:textId="77777777" w:rsidR="003646A0" w:rsidRPr="00F93FFA" w:rsidRDefault="003646A0" w:rsidP="00DE16D0">
      <w:pPr>
        <w:widowControl w:val="0"/>
        <w:ind w:left="567" w:hanging="567"/>
        <w:rPr>
          <w:color w:val="000000"/>
          <w:sz w:val="22"/>
          <w:szCs w:val="22"/>
        </w:rPr>
      </w:pPr>
    </w:p>
    <w:p w14:paraId="2F59AC83" w14:textId="77777777" w:rsidR="003646A0" w:rsidRPr="00F93FFA" w:rsidRDefault="003646A0" w:rsidP="00DE16D0">
      <w:pPr>
        <w:widowControl w:val="0"/>
        <w:ind w:left="567" w:hanging="567"/>
        <w:rPr>
          <w:color w:val="000000"/>
          <w:sz w:val="22"/>
          <w:szCs w:val="22"/>
        </w:rPr>
      </w:pPr>
    </w:p>
    <w:p w14:paraId="1E3BD7E3"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13.</w:t>
      </w:r>
      <w:r w:rsidRPr="00F93FFA">
        <w:rPr>
          <w:b/>
          <w:caps/>
          <w:color w:val="000000"/>
          <w:sz w:val="22"/>
          <w:szCs w:val="22"/>
        </w:rPr>
        <w:tab/>
        <w:t>SERIJOS NUMERIS</w:t>
      </w:r>
    </w:p>
    <w:p w14:paraId="78D5DF13" w14:textId="77777777" w:rsidR="003646A0" w:rsidRPr="00F93FFA" w:rsidRDefault="003646A0" w:rsidP="00DE16D0">
      <w:pPr>
        <w:widowControl w:val="0"/>
        <w:ind w:left="567" w:hanging="567"/>
        <w:rPr>
          <w:color w:val="000000"/>
          <w:sz w:val="22"/>
          <w:szCs w:val="22"/>
        </w:rPr>
      </w:pPr>
    </w:p>
    <w:p w14:paraId="3FDBE446" w14:textId="77777777" w:rsidR="003646A0" w:rsidRPr="00F93FFA" w:rsidRDefault="00C669BB" w:rsidP="00DE16D0">
      <w:pPr>
        <w:widowControl w:val="0"/>
        <w:ind w:left="567" w:hanging="567"/>
        <w:rPr>
          <w:color w:val="000000"/>
          <w:sz w:val="22"/>
          <w:szCs w:val="22"/>
        </w:rPr>
      </w:pPr>
      <w:r w:rsidRPr="00F93FFA">
        <w:rPr>
          <w:color w:val="000000"/>
          <w:sz w:val="22"/>
          <w:szCs w:val="22"/>
        </w:rPr>
        <w:t>Lot</w:t>
      </w:r>
    </w:p>
    <w:p w14:paraId="71D11B62" w14:textId="77777777" w:rsidR="003646A0" w:rsidRPr="00F93FFA" w:rsidRDefault="003646A0" w:rsidP="00DE16D0">
      <w:pPr>
        <w:widowControl w:val="0"/>
        <w:ind w:left="567" w:hanging="567"/>
        <w:rPr>
          <w:color w:val="000000"/>
          <w:sz w:val="22"/>
          <w:szCs w:val="22"/>
        </w:rPr>
      </w:pPr>
    </w:p>
    <w:p w14:paraId="7E146327" w14:textId="77777777" w:rsidR="003646A0" w:rsidRPr="00F93FFA" w:rsidRDefault="003646A0" w:rsidP="00DE16D0">
      <w:pPr>
        <w:widowControl w:val="0"/>
        <w:ind w:left="567" w:hanging="567"/>
        <w:rPr>
          <w:color w:val="000000"/>
          <w:sz w:val="22"/>
          <w:szCs w:val="22"/>
        </w:rPr>
      </w:pPr>
    </w:p>
    <w:p w14:paraId="6F2CC660"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14.</w:t>
      </w:r>
      <w:r w:rsidRPr="00F93FFA">
        <w:rPr>
          <w:b/>
          <w:caps/>
          <w:color w:val="000000"/>
          <w:sz w:val="22"/>
          <w:szCs w:val="22"/>
        </w:rPr>
        <w:tab/>
        <w:t>PARDAVIMO (IŠDAVIMO) tvarka</w:t>
      </w:r>
    </w:p>
    <w:p w14:paraId="23C350C8" w14:textId="77777777" w:rsidR="003646A0" w:rsidRPr="00F93FFA" w:rsidRDefault="003646A0" w:rsidP="00DE16D0">
      <w:pPr>
        <w:widowControl w:val="0"/>
        <w:ind w:left="567" w:hanging="567"/>
        <w:rPr>
          <w:color w:val="000000"/>
          <w:sz w:val="22"/>
          <w:szCs w:val="22"/>
        </w:rPr>
      </w:pPr>
    </w:p>
    <w:p w14:paraId="16FEBE88" w14:textId="77777777" w:rsidR="003646A0" w:rsidRPr="00F93FFA" w:rsidRDefault="003646A0" w:rsidP="00DE16D0">
      <w:pPr>
        <w:widowControl w:val="0"/>
        <w:ind w:left="567" w:hanging="567"/>
        <w:rPr>
          <w:color w:val="000000"/>
          <w:sz w:val="22"/>
          <w:szCs w:val="22"/>
        </w:rPr>
      </w:pPr>
    </w:p>
    <w:p w14:paraId="45E031E3"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15.</w:t>
      </w:r>
      <w:r w:rsidRPr="00F93FFA">
        <w:rPr>
          <w:b/>
          <w:caps/>
          <w:color w:val="000000"/>
          <w:sz w:val="22"/>
          <w:szCs w:val="22"/>
        </w:rPr>
        <w:tab/>
        <w:t>VARTOJIMO INSTRUKCIJA</w:t>
      </w:r>
    </w:p>
    <w:p w14:paraId="44E69A12" w14:textId="77777777" w:rsidR="003646A0" w:rsidRPr="00F93FFA" w:rsidRDefault="003646A0" w:rsidP="00DE16D0">
      <w:pPr>
        <w:widowControl w:val="0"/>
        <w:ind w:left="567" w:hanging="567"/>
        <w:rPr>
          <w:color w:val="000000"/>
          <w:sz w:val="22"/>
          <w:szCs w:val="22"/>
        </w:rPr>
      </w:pPr>
    </w:p>
    <w:p w14:paraId="5DB17EC0" w14:textId="77777777" w:rsidR="003646A0" w:rsidRPr="00F93FFA" w:rsidRDefault="003646A0" w:rsidP="00DE16D0">
      <w:pPr>
        <w:widowControl w:val="0"/>
        <w:ind w:left="567" w:hanging="567"/>
        <w:rPr>
          <w:color w:val="000000"/>
          <w:sz w:val="22"/>
          <w:szCs w:val="22"/>
        </w:rPr>
      </w:pPr>
    </w:p>
    <w:p w14:paraId="7D588043" w14:textId="77777777" w:rsidR="00D82342" w:rsidRPr="00F93FFA" w:rsidRDefault="00D82342" w:rsidP="00D82342">
      <w:pPr>
        <w:widowControl w:val="0"/>
        <w:pBdr>
          <w:top w:val="single" w:sz="4" w:space="1" w:color="auto"/>
          <w:left w:val="single" w:sz="4" w:space="4" w:color="auto"/>
          <w:bottom w:val="single" w:sz="4" w:space="1" w:color="auto"/>
          <w:right w:val="single" w:sz="4" w:space="4" w:color="auto"/>
        </w:pBdr>
        <w:tabs>
          <w:tab w:val="left" w:pos="142"/>
        </w:tabs>
        <w:ind w:left="567" w:hanging="567"/>
        <w:rPr>
          <w:b/>
          <w:color w:val="000000"/>
          <w:sz w:val="22"/>
          <w:szCs w:val="22"/>
        </w:rPr>
      </w:pPr>
      <w:r w:rsidRPr="00F93FFA">
        <w:rPr>
          <w:b/>
          <w:color w:val="000000"/>
          <w:sz w:val="22"/>
          <w:szCs w:val="22"/>
        </w:rPr>
        <w:t>16.</w:t>
      </w:r>
      <w:r w:rsidRPr="00F93FFA">
        <w:rPr>
          <w:b/>
          <w:color w:val="000000"/>
          <w:sz w:val="22"/>
          <w:szCs w:val="22"/>
        </w:rPr>
        <w:tab/>
        <w:t>INFORMACIJA BRAILIO RAŠTU</w:t>
      </w:r>
    </w:p>
    <w:p w14:paraId="473D757D" w14:textId="77777777" w:rsidR="003646A0" w:rsidRPr="00F93FFA" w:rsidRDefault="003646A0" w:rsidP="00DE16D0">
      <w:pPr>
        <w:widowControl w:val="0"/>
        <w:rPr>
          <w:color w:val="000000"/>
          <w:sz w:val="22"/>
          <w:szCs w:val="22"/>
          <w:u w:val="single"/>
        </w:rPr>
      </w:pPr>
    </w:p>
    <w:p w14:paraId="1BD10CA9" w14:textId="77777777" w:rsidR="003646A0" w:rsidRPr="00F93FFA" w:rsidRDefault="003646A0" w:rsidP="00DE16D0">
      <w:pPr>
        <w:widowControl w:val="0"/>
        <w:rPr>
          <w:color w:val="000000"/>
          <w:sz w:val="22"/>
          <w:szCs w:val="22"/>
        </w:rPr>
      </w:pPr>
      <w:r w:rsidRPr="00F93FFA">
        <w:rPr>
          <w:color w:val="000000"/>
          <w:sz w:val="22"/>
          <w:szCs w:val="22"/>
        </w:rPr>
        <w:t>Glivec 100 mg</w:t>
      </w:r>
    </w:p>
    <w:p w14:paraId="3DDF777A" w14:textId="77777777" w:rsidR="002C261F" w:rsidRPr="00F93FFA" w:rsidRDefault="002C261F" w:rsidP="00DE16D0">
      <w:pPr>
        <w:widowControl w:val="0"/>
        <w:rPr>
          <w:noProof/>
          <w:sz w:val="22"/>
          <w:szCs w:val="22"/>
          <w:shd w:val="clear" w:color="auto" w:fill="CCCCCC"/>
          <w:lang w:eastAsia="lt-LT" w:bidi="lt-LT"/>
        </w:rPr>
      </w:pPr>
    </w:p>
    <w:p w14:paraId="40F7531F" w14:textId="77777777" w:rsidR="002C261F" w:rsidRPr="00F93FFA" w:rsidRDefault="002C261F" w:rsidP="00DE16D0">
      <w:pPr>
        <w:widowControl w:val="0"/>
        <w:rPr>
          <w:noProof/>
          <w:sz w:val="22"/>
          <w:szCs w:val="22"/>
          <w:shd w:val="clear" w:color="auto" w:fill="CCCCCC"/>
          <w:lang w:eastAsia="lt-LT" w:bidi="lt-LT"/>
        </w:rPr>
      </w:pPr>
    </w:p>
    <w:p w14:paraId="6B3C90E5" w14:textId="77777777" w:rsidR="002C261F" w:rsidRPr="00F93FFA" w:rsidRDefault="002C261F" w:rsidP="00DE16D0">
      <w:pPr>
        <w:widowControl w:val="0"/>
        <w:pBdr>
          <w:top w:val="single" w:sz="4" w:space="1" w:color="auto"/>
          <w:left w:val="single" w:sz="4" w:space="4" w:color="auto"/>
          <w:bottom w:val="single" w:sz="4" w:space="1" w:color="auto"/>
          <w:right w:val="single" w:sz="4" w:space="4" w:color="auto"/>
        </w:pBdr>
        <w:ind w:left="-3"/>
        <w:outlineLvl w:val="0"/>
        <w:rPr>
          <w:noProof/>
          <w:sz w:val="22"/>
          <w:szCs w:val="20"/>
          <w:lang w:eastAsia="lt-LT" w:bidi="lt-LT"/>
        </w:rPr>
      </w:pPr>
      <w:r w:rsidRPr="00F93FFA">
        <w:rPr>
          <w:b/>
          <w:noProof/>
          <w:sz w:val="22"/>
          <w:szCs w:val="20"/>
          <w:lang w:eastAsia="lt-LT" w:bidi="lt-LT"/>
        </w:rPr>
        <w:t>17.</w:t>
      </w:r>
      <w:r w:rsidRPr="00F93FFA">
        <w:rPr>
          <w:b/>
          <w:noProof/>
          <w:sz w:val="22"/>
          <w:szCs w:val="20"/>
          <w:lang w:eastAsia="lt-LT" w:bidi="lt-LT"/>
        </w:rPr>
        <w:tab/>
        <w:t>UNIKALUS IDENTIFIKATORIUS – 2D BRŪKŠNINIS KODAS</w:t>
      </w:r>
    </w:p>
    <w:p w14:paraId="0D8F89B8" w14:textId="77777777" w:rsidR="002C261F" w:rsidRPr="00F93FFA" w:rsidRDefault="002C261F" w:rsidP="00DE16D0">
      <w:pPr>
        <w:widowControl w:val="0"/>
        <w:rPr>
          <w:noProof/>
          <w:sz w:val="22"/>
          <w:szCs w:val="20"/>
          <w:lang w:eastAsia="lt-LT" w:bidi="lt-LT"/>
        </w:rPr>
      </w:pPr>
    </w:p>
    <w:p w14:paraId="56A31A4E" w14:textId="77777777" w:rsidR="002C261F" w:rsidRPr="00F93FFA" w:rsidRDefault="002C261F" w:rsidP="00DE16D0">
      <w:pPr>
        <w:widowControl w:val="0"/>
        <w:rPr>
          <w:sz w:val="22"/>
          <w:szCs w:val="20"/>
          <w:shd w:val="pct15" w:color="auto" w:fill="auto"/>
          <w:lang w:eastAsia="lt-LT" w:bidi="lt-LT"/>
        </w:rPr>
      </w:pPr>
      <w:r w:rsidRPr="00F93FFA">
        <w:rPr>
          <w:sz w:val="22"/>
          <w:szCs w:val="20"/>
          <w:shd w:val="pct15" w:color="auto" w:fill="auto"/>
          <w:lang w:eastAsia="lt-LT" w:bidi="lt-LT"/>
        </w:rPr>
        <w:t>2D brūkšninis kodas su nurodytu unikaliu identifikatoriumi.</w:t>
      </w:r>
    </w:p>
    <w:p w14:paraId="4A350098" w14:textId="77777777" w:rsidR="002C261F" w:rsidRPr="00F93FFA" w:rsidRDefault="002C261F" w:rsidP="00DE16D0">
      <w:pPr>
        <w:widowControl w:val="0"/>
        <w:rPr>
          <w:noProof/>
          <w:sz w:val="22"/>
          <w:szCs w:val="22"/>
          <w:shd w:val="clear" w:color="auto" w:fill="CCCCCC"/>
          <w:lang w:eastAsia="lt-LT" w:bidi="lt-LT"/>
        </w:rPr>
      </w:pPr>
    </w:p>
    <w:p w14:paraId="6E64B463" w14:textId="77777777" w:rsidR="002C261F" w:rsidRPr="00F93FFA" w:rsidRDefault="002C261F" w:rsidP="00DE16D0">
      <w:pPr>
        <w:widowControl w:val="0"/>
        <w:rPr>
          <w:noProof/>
          <w:sz w:val="22"/>
          <w:szCs w:val="20"/>
          <w:lang w:eastAsia="lt-LT" w:bidi="lt-LT"/>
        </w:rPr>
      </w:pPr>
    </w:p>
    <w:p w14:paraId="28692CC2" w14:textId="77777777" w:rsidR="002C261F" w:rsidRPr="00F93FFA" w:rsidRDefault="002C261F" w:rsidP="00D82342">
      <w:pPr>
        <w:keepNext/>
        <w:widowControl w:val="0"/>
        <w:pBdr>
          <w:top w:val="single" w:sz="4" w:space="1" w:color="auto"/>
          <w:left w:val="single" w:sz="4" w:space="4" w:color="auto"/>
          <w:bottom w:val="single" w:sz="4" w:space="1" w:color="auto"/>
          <w:right w:val="single" w:sz="4" w:space="4" w:color="auto"/>
        </w:pBdr>
        <w:ind w:left="-3"/>
        <w:outlineLvl w:val="0"/>
        <w:rPr>
          <w:i/>
          <w:noProof/>
          <w:sz w:val="22"/>
          <w:szCs w:val="20"/>
          <w:lang w:eastAsia="lt-LT" w:bidi="lt-LT"/>
        </w:rPr>
      </w:pPr>
      <w:r w:rsidRPr="00F93FFA">
        <w:rPr>
          <w:b/>
          <w:noProof/>
          <w:sz w:val="22"/>
          <w:szCs w:val="20"/>
          <w:lang w:eastAsia="lt-LT" w:bidi="lt-LT"/>
        </w:rPr>
        <w:t>18.</w:t>
      </w:r>
      <w:r w:rsidRPr="00F93FFA">
        <w:rPr>
          <w:b/>
          <w:noProof/>
          <w:sz w:val="22"/>
          <w:szCs w:val="20"/>
          <w:lang w:eastAsia="lt-LT" w:bidi="lt-LT"/>
        </w:rPr>
        <w:tab/>
        <w:t>UNIKALUS IDENTIFIKATORIUS – ŽMONĖMS SUPRANTAMI DUOMENYS</w:t>
      </w:r>
    </w:p>
    <w:p w14:paraId="65E6CC71" w14:textId="77777777" w:rsidR="002C261F" w:rsidRPr="00F93FFA" w:rsidRDefault="002C261F" w:rsidP="00D82342">
      <w:pPr>
        <w:keepNext/>
        <w:widowControl w:val="0"/>
        <w:rPr>
          <w:noProof/>
          <w:sz w:val="22"/>
          <w:szCs w:val="20"/>
          <w:lang w:eastAsia="lt-LT" w:bidi="lt-LT"/>
        </w:rPr>
      </w:pPr>
    </w:p>
    <w:p w14:paraId="623DED35" w14:textId="77777777" w:rsidR="002C261F" w:rsidRPr="00F93FFA" w:rsidRDefault="002C261F" w:rsidP="00D82342">
      <w:pPr>
        <w:keepNext/>
        <w:widowControl w:val="0"/>
        <w:rPr>
          <w:sz w:val="22"/>
          <w:szCs w:val="22"/>
          <w:lang w:eastAsia="lt-LT" w:bidi="lt-LT"/>
        </w:rPr>
      </w:pPr>
      <w:r w:rsidRPr="00F93FFA">
        <w:rPr>
          <w:sz w:val="22"/>
          <w:szCs w:val="20"/>
          <w:lang w:eastAsia="lt-LT" w:bidi="lt-LT"/>
        </w:rPr>
        <w:t>PC:</w:t>
      </w:r>
    </w:p>
    <w:p w14:paraId="7CC1E224" w14:textId="77777777" w:rsidR="002C261F" w:rsidRPr="00F93FFA" w:rsidRDefault="002C261F" w:rsidP="00D82342">
      <w:pPr>
        <w:keepNext/>
        <w:widowControl w:val="0"/>
        <w:rPr>
          <w:sz w:val="22"/>
          <w:szCs w:val="22"/>
          <w:lang w:eastAsia="lt-LT" w:bidi="lt-LT"/>
        </w:rPr>
      </w:pPr>
      <w:r w:rsidRPr="00F93FFA">
        <w:rPr>
          <w:sz w:val="22"/>
          <w:szCs w:val="20"/>
          <w:lang w:eastAsia="lt-LT" w:bidi="lt-LT"/>
        </w:rPr>
        <w:t>SN:</w:t>
      </w:r>
    </w:p>
    <w:p w14:paraId="350D81C1" w14:textId="77777777" w:rsidR="00157E9E" w:rsidRPr="00F93FFA" w:rsidRDefault="002C261F" w:rsidP="00DE16D0">
      <w:pPr>
        <w:widowControl w:val="0"/>
        <w:ind w:left="567" w:hanging="567"/>
        <w:rPr>
          <w:rFonts w:eastAsia="SimSun" w:cs="Tahoma"/>
          <w:lang w:eastAsia="lt-LT" w:bidi="lt-LT"/>
        </w:rPr>
      </w:pPr>
      <w:r w:rsidRPr="00F93FFA">
        <w:rPr>
          <w:rFonts w:eastAsia="SimSun" w:cs="Tahoma"/>
          <w:lang w:eastAsia="lt-LT" w:bidi="lt-LT"/>
        </w:rPr>
        <w:t>NN:</w:t>
      </w:r>
    </w:p>
    <w:p w14:paraId="62379A8F"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0A314ACD" w14:textId="77777777" w:rsidR="00D82342" w:rsidRPr="00F93FFA" w:rsidRDefault="00D82342" w:rsidP="00D82342">
      <w:pPr>
        <w:widowControl w:val="0"/>
        <w:ind w:left="567" w:hanging="567"/>
        <w:rPr>
          <w:caps/>
          <w:color w:val="000000"/>
          <w:sz w:val="22"/>
          <w:szCs w:val="22"/>
        </w:rPr>
      </w:pPr>
    </w:p>
    <w:p w14:paraId="200F4EB3"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rPr>
          <w:b/>
          <w:caps/>
          <w:color w:val="000000"/>
          <w:sz w:val="22"/>
          <w:szCs w:val="22"/>
        </w:rPr>
      </w:pPr>
      <w:r w:rsidRPr="00F93FFA">
        <w:rPr>
          <w:b/>
          <w:caps/>
          <w:color w:val="000000"/>
          <w:sz w:val="22"/>
          <w:szCs w:val="22"/>
        </w:rPr>
        <w:t>MINIMALI INFORMACIJA ANT LIZDINIŲ plokštelių ARBA dvisluoksnių juostelių</w:t>
      </w:r>
    </w:p>
    <w:p w14:paraId="064AF3A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aps/>
          <w:color w:val="000000"/>
          <w:sz w:val="22"/>
          <w:szCs w:val="22"/>
        </w:rPr>
      </w:pPr>
    </w:p>
    <w:p w14:paraId="04724A94"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lizdinės plokštelės</w:t>
      </w:r>
    </w:p>
    <w:p w14:paraId="2FA3BB60" w14:textId="77777777" w:rsidR="003646A0" w:rsidRPr="00F93FFA" w:rsidRDefault="003646A0" w:rsidP="00DE16D0">
      <w:pPr>
        <w:widowControl w:val="0"/>
        <w:ind w:left="567" w:hanging="567"/>
        <w:rPr>
          <w:caps/>
          <w:color w:val="000000"/>
          <w:sz w:val="22"/>
          <w:szCs w:val="22"/>
        </w:rPr>
      </w:pPr>
    </w:p>
    <w:p w14:paraId="375820C6" w14:textId="77777777" w:rsidR="003646A0" w:rsidRPr="00F93FFA" w:rsidRDefault="003646A0" w:rsidP="00DE16D0">
      <w:pPr>
        <w:widowControl w:val="0"/>
        <w:ind w:left="567" w:hanging="567"/>
        <w:rPr>
          <w:caps/>
          <w:color w:val="000000"/>
          <w:sz w:val="22"/>
          <w:szCs w:val="22"/>
        </w:rPr>
      </w:pPr>
    </w:p>
    <w:p w14:paraId="4AEE300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2EB59686" w14:textId="77777777" w:rsidR="003646A0" w:rsidRPr="00F93FFA" w:rsidRDefault="003646A0" w:rsidP="00DE16D0">
      <w:pPr>
        <w:widowControl w:val="0"/>
        <w:ind w:left="567" w:hanging="567"/>
        <w:rPr>
          <w:color w:val="000000"/>
          <w:sz w:val="22"/>
          <w:szCs w:val="22"/>
        </w:rPr>
      </w:pPr>
    </w:p>
    <w:p w14:paraId="075C5093" w14:textId="77777777" w:rsidR="003646A0" w:rsidRPr="00F93FFA" w:rsidRDefault="003646A0" w:rsidP="00DE16D0">
      <w:pPr>
        <w:widowControl w:val="0"/>
        <w:ind w:left="567" w:hanging="567"/>
        <w:rPr>
          <w:color w:val="000000"/>
          <w:sz w:val="22"/>
          <w:szCs w:val="22"/>
        </w:rPr>
      </w:pPr>
      <w:r w:rsidRPr="00F93FFA">
        <w:rPr>
          <w:caps/>
          <w:color w:val="000000"/>
          <w:sz w:val="22"/>
          <w:szCs w:val="22"/>
        </w:rPr>
        <w:t>G</w:t>
      </w:r>
      <w:r w:rsidRPr="00F93FFA">
        <w:rPr>
          <w:color w:val="000000"/>
          <w:sz w:val="22"/>
          <w:szCs w:val="22"/>
        </w:rPr>
        <w:t>livec 100 mg tabletės</w:t>
      </w:r>
    </w:p>
    <w:p w14:paraId="7B8BCC39" w14:textId="24499D4E"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2C261F" w:rsidRPr="005205BF">
        <w:rPr>
          <w:i/>
          <w:color w:val="000000"/>
          <w:sz w:val="22"/>
          <w:szCs w:val="22"/>
        </w:rPr>
        <w:t>um</w:t>
      </w:r>
    </w:p>
    <w:p w14:paraId="3D26A915" w14:textId="77777777" w:rsidR="003646A0" w:rsidRPr="00F93FFA" w:rsidRDefault="003646A0" w:rsidP="00DE16D0">
      <w:pPr>
        <w:widowControl w:val="0"/>
        <w:ind w:left="567" w:hanging="567"/>
        <w:rPr>
          <w:color w:val="000000"/>
          <w:sz w:val="22"/>
          <w:szCs w:val="22"/>
        </w:rPr>
      </w:pPr>
    </w:p>
    <w:p w14:paraId="0F316692" w14:textId="77777777" w:rsidR="003646A0" w:rsidRPr="00F93FFA" w:rsidRDefault="003646A0" w:rsidP="00DE16D0">
      <w:pPr>
        <w:widowControl w:val="0"/>
        <w:ind w:left="567" w:hanging="567"/>
        <w:rPr>
          <w:color w:val="000000"/>
          <w:sz w:val="22"/>
          <w:szCs w:val="22"/>
        </w:rPr>
      </w:pPr>
    </w:p>
    <w:p w14:paraId="75389DA4"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2.</w:t>
      </w:r>
      <w:r w:rsidRPr="00F93FFA">
        <w:rPr>
          <w:b/>
          <w:color w:val="000000"/>
          <w:sz w:val="22"/>
          <w:szCs w:val="22"/>
        </w:rPr>
        <w:tab/>
      </w:r>
      <w:r w:rsidR="002C261F" w:rsidRPr="00F93FFA">
        <w:rPr>
          <w:b/>
          <w:caps/>
          <w:color w:val="000000"/>
          <w:sz w:val="22"/>
          <w:szCs w:val="22"/>
          <w:lang w:bidi="lt-LT"/>
        </w:rPr>
        <w:t>REGISTRUOTOJO PAVADINIMAS</w:t>
      </w:r>
    </w:p>
    <w:p w14:paraId="18049C09" w14:textId="77777777" w:rsidR="003646A0" w:rsidRPr="00F93FFA" w:rsidRDefault="003646A0" w:rsidP="00DE16D0">
      <w:pPr>
        <w:widowControl w:val="0"/>
        <w:ind w:left="567" w:hanging="567"/>
        <w:rPr>
          <w:color w:val="000000"/>
          <w:sz w:val="22"/>
          <w:szCs w:val="22"/>
        </w:rPr>
      </w:pPr>
    </w:p>
    <w:p w14:paraId="03E2B7B3" w14:textId="77777777" w:rsidR="003646A0" w:rsidRPr="00F93FFA" w:rsidRDefault="003646A0" w:rsidP="00DE16D0">
      <w:pPr>
        <w:widowControl w:val="0"/>
        <w:ind w:left="567" w:hanging="567"/>
        <w:rPr>
          <w:color w:val="000000"/>
          <w:sz w:val="22"/>
          <w:szCs w:val="22"/>
        </w:rPr>
      </w:pPr>
      <w:r w:rsidRPr="00F93FFA">
        <w:rPr>
          <w:color w:val="000000"/>
          <w:sz w:val="22"/>
          <w:szCs w:val="22"/>
        </w:rPr>
        <w:t>Novartis Europharm Limited</w:t>
      </w:r>
    </w:p>
    <w:p w14:paraId="2BAE0ADF" w14:textId="77777777" w:rsidR="003646A0" w:rsidRPr="00F93FFA" w:rsidRDefault="003646A0" w:rsidP="00DE16D0">
      <w:pPr>
        <w:widowControl w:val="0"/>
        <w:ind w:left="567" w:hanging="567"/>
        <w:rPr>
          <w:color w:val="000000"/>
          <w:sz w:val="22"/>
          <w:szCs w:val="22"/>
        </w:rPr>
      </w:pPr>
    </w:p>
    <w:p w14:paraId="4EE3D35E" w14:textId="77777777" w:rsidR="003646A0" w:rsidRPr="00F93FFA" w:rsidRDefault="003646A0" w:rsidP="00DE16D0">
      <w:pPr>
        <w:widowControl w:val="0"/>
        <w:ind w:left="567" w:hanging="567"/>
        <w:rPr>
          <w:color w:val="000000"/>
          <w:sz w:val="22"/>
          <w:szCs w:val="22"/>
        </w:rPr>
      </w:pPr>
    </w:p>
    <w:p w14:paraId="1530AC7F"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3.</w:t>
      </w:r>
      <w:r w:rsidRPr="00F93FFA">
        <w:rPr>
          <w:b/>
          <w:color w:val="000000"/>
          <w:sz w:val="22"/>
          <w:szCs w:val="22"/>
        </w:rPr>
        <w:tab/>
      </w:r>
      <w:r w:rsidRPr="00F93FFA">
        <w:rPr>
          <w:b/>
          <w:caps/>
          <w:color w:val="000000"/>
          <w:sz w:val="22"/>
          <w:szCs w:val="22"/>
        </w:rPr>
        <w:t>tinkamumo laikas</w:t>
      </w:r>
    </w:p>
    <w:p w14:paraId="07563478" w14:textId="77777777" w:rsidR="003646A0" w:rsidRPr="00F93FFA" w:rsidRDefault="003646A0" w:rsidP="00DE16D0">
      <w:pPr>
        <w:widowControl w:val="0"/>
        <w:ind w:left="567" w:hanging="567"/>
        <w:rPr>
          <w:color w:val="000000"/>
          <w:sz w:val="22"/>
          <w:szCs w:val="22"/>
        </w:rPr>
      </w:pPr>
    </w:p>
    <w:p w14:paraId="11279924" w14:textId="77777777" w:rsidR="003646A0" w:rsidRPr="00F93FFA" w:rsidRDefault="003646A0" w:rsidP="00DE16D0">
      <w:pPr>
        <w:widowControl w:val="0"/>
        <w:ind w:left="567" w:hanging="567"/>
        <w:rPr>
          <w:color w:val="000000"/>
          <w:sz w:val="22"/>
          <w:szCs w:val="22"/>
        </w:rPr>
      </w:pPr>
      <w:r w:rsidRPr="00F93FFA">
        <w:rPr>
          <w:color w:val="000000"/>
          <w:sz w:val="22"/>
          <w:szCs w:val="22"/>
        </w:rPr>
        <w:t>EXP</w:t>
      </w:r>
    </w:p>
    <w:p w14:paraId="372AC0BD" w14:textId="77777777" w:rsidR="003646A0" w:rsidRPr="00F93FFA" w:rsidRDefault="003646A0" w:rsidP="00DE16D0">
      <w:pPr>
        <w:widowControl w:val="0"/>
        <w:ind w:left="567" w:hanging="567"/>
        <w:rPr>
          <w:color w:val="000000"/>
          <w:sz w:val="22"/>
          <w:szCs w:val="22"/>
        </w:rPr>
      </w:pPr>
    </w:p>
    <w:p w14:paraId="7E30D126" w14:textId="77777777" w:rsidR="003646A0" w:rsidRPr="00F93FFA" w:rsidRDefault="003646A0" w:rsidP="00DE16D0">
      <w:pPr>
        <w:widowControl w:val="0"/>
        <w:ind w:left="567" w:hanging="567"/>
        <w:rPr>
          <w:color w:val="000000"/>
          <w:sz w:val="22"/>
          <w:szCs w:val="22"/>
        </w:rPr>
      </w:pPr>
    </w:p>
    <w:p w14:paraId="31D48B6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serijos numeris</w:t>
      </w:r>
    </w:p>
    <w:p w14:paraId="41F3C35B" w14:textId="77777777" w:rsidR="003646A0" w:rsidRPr="00F93FFA" w:rsidRDefault="003646A0" w:rsidP="00DE16D0">
      <w:pPr>
        <w:widowControl w:val="0"/>
        <w:ind w:left="567" w:hanging="567"/>
        <w:rPr>
          <w:color w:val="000000"/>
          <w:sz w:val="22"/>
          <w:szCs w:val="22"/>
        </w:rPr>
      </w:pPr>
    </w:p>
    <w:p w14:paraId="3F9A5FF6" w14:textId="77777777" w:rsidR="003646A0" w:rsidRPr="00F93FFA" w:rsidRDefault="003646A0" w:rsidP="00DE16D0">
      <w:pPr>
        <w:widowControl w:val="0"/>
        <w:ind w:left="567" w:hanging="567"/>
        <w:rPr>
          <w:color w:val="000000"/>
          <w:sz w:val="22"/>
          <w:szCs w:val="22"/>
        </w:rPr>
      </w:pPr>
      <w:r w:rsidRPr="00F93FFA">
        <w:rPr>
          <w:color w:val="000000"/>
          <w:sz w:val="22"/>
          <w:szCs w:val="22"/>
        </w:rPr>
        <w:t>Lot</w:t>
      </w:r>
    </w:p>
    <w:p w14:paraId="20603B68" w14:textId="77777777" w:rsidR="003646A0" w:rsidRPr="00F93FFA" w:rsidRDefault="003646A0" w:rsidP="00DE16D0">
      <w:pPr>
        <w:widowControl w:val="0"/>
        <w:ind w:left="567" w:hanging="567"/>
        <w:rPr>
          <w:color w:val="000000"/>
          <w:sz w:val="22"/>
          <w:szCs w:val="22"/>
        </w:rPr>
      </w:pPr>
    </w:p>
    <w:p w14:paraId="26D3D2DC" w14:textId="77777777" w:rsidR="003646A0" w:rsidRPr="00F93FFA" w:rsidRDefault="003646A0" w:rsidP="00DE16D0">
      <w:pPr>
        <w:widowControl w:val="0"/>
        <w:ind w:left="567" w:hanging="567"/>
        <w:rPr>
          <w:color w:val="000000"/>
          <w:sz w:val="22"/>
          <w:szCs w:val="22"/>
        </w:rPr>
      </w:pPr>
    </w:p>
    <w:p w14:paraId="274CFFBD"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5.</w:t>
      </w:r>
      <w:r w:rsidRPr="00F93FFA">
        <w:rPr>
          <w:b/>
          <w:caps/>
          <w:color w:val="000000"/>
          <w:sz w:val="22"/>
          <w:szCs w:val="22"/>
        </w:rPr>
        <w:tab/>
        <w:t>KITA</w:t>
      </w:r>
    </w:p>
    <w:p w14:paraId="4FFBC9E1" w14:textId="77777777" w:rsidR="003646A0" w:rsidRPr="00F93FFA" w:rsidRDefault="003646A0" w:rsidP="00DE16D0">
      <w:pPr>
        <w:widowControl w:val="0"/>
        <w:ind w:left="567" w:hanging="567"/>
        <w:rPr>
          <w:color w:val="000000"/>
          <w:sz w:val="22"/>
          <w:szCs w:val="22"/>
        </w:rPr>
      </w:pPr>
    </w:p>
    <w:p w14:paraId="097C9CE0"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0C9AF294" w14:textId="77777777" w:rsidR="00D82342" w:rsidRPr="00F93FFA" w:rsidRDefault="00D82342" w:rsidP="00D82342">
      <w:pPr>
        <w:widowControl w:val="0"/>
        <w:ind w:left="567" w:hanging="567"/>
        <w:rPr>
          <w:color w:val="000000"/>
          <w:sz w:val="22"/>
          <w:szCs w:val="22"/>
        </w:rPr>
      </w:pPr>
    </w:p>
    <w:p w14:paraId="2F58C9E5"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INFORMACIJA ANT IŠORINĖS PAKUOTĖS</w:t>
      </w:r>
    </w:p>
    <w:p w14:paraId="7C461D85"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olor w:val="000000"/>
          <w:sz w:val="22"/>
          <w:szCs w:val="22"/>
        </w:rPr>
      </w:pPr>
    </w:p>
    <w:p w14:paraId="28E77486"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kartoninė dėžutė</w:t>
      </w:r>
    </w:p>
    <w:p w14:paraId="526E003C" w14:textId="77777777" w:rsidR="003646A0" w:rsidRPr="00F93FFA" w:rsidRDefault="003646A0" w:rsidP="00DE16D0">
      <w:pPr>
        <w:widowControl w:val="0"/>
        <w:ind w:left="567" w:hanging="567"/>
        <w:rPr>
          <w:color w:val="000000"/>
          <w:sz w:val="22"/>
          <w:szCs w:val="22"/>
        </w:rPr>
      </w:pPr>
    </w:p>
    <w:p w14:paraId="610BE98B" w14:textId="77777777" w:rsidR="003646A0" w:rsidRPr="00F93FFA" w:rsidRDefault="003646A0" w:rsidP="00DE16D0">
      <w:pPr>
        <w:widowControl w:val="0"/>
        <w:ind w:left="567" w:hanging="567"/>
        <w:rPr>
          <w:color w:val="000000"/>
          <w:sz w:val="22"/>
          <w:szCs w:val="22"/>
        </w:rPr>
      </w:pPr>
    </w:p>
    <w:p w14:paraId="210B5AFB"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4BAE0EB9" w14:textId="77777777" w:rsidR="003646A0" w:rsidRPr="00F93FFA" w:rsidRDefault="003646A0" w:rsidP="00DE16D0">
      <w:pPr>
        <w:widowControl w:val="0"/>
        <w:ind w:left="567" w:hanging="567"/>
        <w:rPr>
          <w:color w:val="000000"/>
          <w:sz w:val="22"/>
          <w:szCs w:val="22"/>
        </w:rPr>
      </w:pPr>
    </w:p>
    <w:p w14:paraId="6F77AA3E" w14:textId="77777777" w:rsidR="003646A0" w:rsidRPr="00F93FFA" w:rsidRDefault="003646A0" w:rsidP="00DE16D0">
      <w:pPr>
        <w:widowControl w:val="0"/>
        <w:ind w:left="567" w:hanging="567"/>
        <w:rPr>
          <w:color w:val="000000"/>
          <w:sz w:val="22"/>
          <w:szCs w:val="22"/>
        </w:rPr>
      </w:pPr>
      <w:r w:rsidRPr="00F93FFA">
        <w:rPr>
          <w:color w:val="000000"/>
          <w:sz w:val="22"/>
          <w:szCs w:val="22"/>
        </w:rPr>
        <w:t>Glivec 400 mg plėvele dengtos tabletės</w:t>
      </w:r>
    </w:p>
    <w:p w14:paraId="5CCB00F6" w14:textId="37248564"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2C261F" w:rsidRPr="005205BF">
        <w:rPr>
          <w:i/>
          <w:color w:val="000000"/>
          <w:sz w:val="22"/>
          <w:szCs w:val="22"/>
        </w:rPr>
        <w:t>um</w:t>
      </w:r>
    </w:p>
    <w:p w14:paraId="72F0C1B2" w14:textId="77777777" w:rsidR="003646A0" w:rsidRPr="00F93FFA" w:rsidRDefault="003646A0" w:rsidP="00DE16D0">
      <w:pPr>
        <w:widowControl w:val="0"/>
        <w:ind w:left="567" w:hanging="567"/>
        <w:rPr>
          <w:color w:val="000000"/>
          <w:sz w:val="22"/>
          <w:szCs w:val="22"/>
        </w:rPr>
      </w:pPr>
    </w:p>
    <w:p w14:paraId="1943ABD3" w14:textId="77777777" w:rsidR="003646A0" w:rsidRPr="00F93FFA" w:rsidRDefault="003646A0" w:rsidP="00DE16D0">
      <w:pPr>
        <w:widowControl w:val="0"/>
        <w:ind w:left="567" w:hanging="567"/>
        <w:rPr>
          <w:color w:val="000000"/>
          <w:sz w:val="22"/>
          <w:szCs w:val="22"/>
        </w:rPr>
      </w:pPr>
    </w:p>
    <w:p w14:paraId="54236F54"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2.</w:t>
      </w:r>
      <w:r w:rsidRPr="00F93FFA">
        <w:rPr>
          <w:b/>
          <w:caps/>
          <w:color w:val="000000"/>
          <w:sz w:val="22"/>
          <w:szCs w:val="22"/>
        </w:rPr>
        <w:tab/>
        <w:t xml:space="preserve">veikliOJI </w:t>
      </w:r>
      <w:r w:rsidRPr="00F93FFA">
        <w:rPr>
          <w:b/>
          <w:noProof/>
          <w:sz w:val="22"/>
          <w:szCs w:val="22"/>
        </w:rPr>
        <w:t xml:space="preserve">(-IOS) </w:t>
      </w:r>
      <w:r w:rsidRPr="00F93FFA">
        <w:rPr>
          <w:b/>
          <w:caps/>
          <w:color w:val="000000"/>
          <w:sz w:val="22"/>
          <w:szCs w:val="22"/>
        </w:rPr>
        <w:t xml:space="preserve">medžiagA </w:t>
      </w:r>
      <w:r w:rsidRPr="00F93FFA">
        <w:rPr>
          <w:b/>
          <w:noProof/>
          <w:sz w:val="22"/>
          <w:szCs w:val="22"/>
        </w:rPr>
        <w:t xml:space="preserve">(-OS) </w:t>
      </w:r>
      <w:r w:rsidRPr="00F93FFA">
        <w:rPr>
          <w:b/>
          <w:caps/>
          <w:color w:val="000000"/>
          <w:sz w:val="22"/>
          <w:szCs w:val="22"/>
        </w:rPr>
        <w:t xml:space="preserve">ir JOS (-Ų) kiekis </w:t>
      </w:r>
      <w:r w:rsidRPr="00F93FFA">
        <w:rPr>
          <w:b/>
          <w:noProof/>
          <w:sz w:val="22"/>
          <w:szCs w:val="22"/>
        </w:rPr>
        <w:t>(-IAI)</w:t>
      </w:r>
    </w:p>
    <w:p w14:paraId="6E72D3C3" w14:textId="77777777" w:rsidR="003646A0" w:rsidRPr="00F93FFA" w:rsidRDefault="003646A0" w:rsidP="00DE16D0">
      <w:pPr>
        <w:widowControl w:val="0"/>
        <w:ind w:left="567" w:hanging="567"/>
        <w:rPr>
          <w:caps/>
          <w:color w:val="000000"/>
          <w:sz w:val="22"/>
          <w:szCs w:val="22"/>
        </w:rPr>
      </w:pPr>
    </w:p>
    <w:p w14:paraId="4632CF68" w14:textId="7D6884FD" w:rsidR="003646A0" w:rsidRPr="00F93FFA" w:rsidRDefault="006846B3" w:rsidP="00DE16D0">
      <w:pPr>
        <w:widowControl w:val="0"/>
        <w:ind w:left="567" w:hanging="567"/>
        <w:rPr>
          <w:color w:val="000000"/>
          <w:sz w:val="22"/>
          <w:szCs w:val="22"/>
        </w:rPr>
      </w:pPr>
      <w:r w:rsidRPr="00F93FFA">
        <w:rPr>
          <w:color w:val="000000"/>
          <w:sz w:val="22"/>
          <w:szCs w:val="22"/>
        </w:rPr>
        <w:t xml:space="preserve">Kiekvienoje </w:t>
      </w:r>
      <w:r w:rsidR="003646A0" w:rsidRPr="00F93FFA">
        <w:rPr>
          <w:color w:val="000000"/>
          <w:sz w:val="22"/>
          <w:szCs w:val="22"/>
        </w:rPr>
        <w:t>plėvele dengtoje tabletėje yra 400 mg imatinibo (mesilato pavidalu).</w:t>
      </w:r>
    </w:p>
    <w:p w14:paraId="264BB475" w14:textId="77777777" w:rsidR="003646A0" w:rsidRPr="00F93FFA" w:rsidRDefault="003646A0" w:rsidP="00DE16D0">
      <w:pPr>
        <w:widowControl w:val="0"/>
        <w:ind w:left="567" w:hanging="567"/>
        <w:rPr>
          <w:caps/>
          <w:color w:val="000000"/>
          <w:sz w:val="22"/>
          <w:szCs w:val="22"/>
        </w:rPr>
      </w:pPr>
    </w:p>
    <w:p w14:paraId="4156A0A7" w14:textId="77777777" w:rsidR="003646A0" w:rsidRPr="00F93FFA" w:rsidRDefault="003646A0" w:rsidP="00DE16D0">
      <w:pPr>
        <w:widowControl w:val="0"/>
        <w:ind w:left="567" w:hanging="567"/>
        <w:rPr>
          <w:caps/>
          <w:color w:val="000000"/>
          <w:sz w:val="22"/>
          <w:szCs w:val="22"/>
        </w:rPr>
      </w:pPr>
    </w:p>
    <w:p w14:paraId="335E10B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3.</w:t>
      </w:r>
      <w:r w:rsidRPr="00F93FFA">
        <w:rPr>
          <w:b/>
          <w:caps/>
          <w:color w:val="000000"/>
          <w:sz w:val="22"/>
          <w:szCs w:val="22"/>
        </w:rPr>
        <w:tab/>
        <w:t>pagalbinių medžiagų sąrašas</w:t>
      </w:r>
    </w:p>
    <w:p w14:paraId="3AB330F7" w14:textId="77777777" w:rsidR="003646A0" w:rsidRPr="00F93FFA" w:rsidRDefault="003646A0" w:rsidP="00DE16D0">
      <w:pPr>
        <w:widowControl w:val="0"/>
        <w:ind w:left="567" w:hanging="567"/>
        <w:rPr>
          <w:caps/>
          <w:color w:val="000000"/>
          <w:sz w:val="22"/>
          <w:szCs w:val="22"/>
        </w:rPr>
      </w:pPr>
    </w:p>
    <w:p w14:paraId="076A4555" w14:textId="77777777" w:rsidR="003646A0" w:rsidRPr="00F93FFA" w:rsidRDefault="003646A0" w:rsidP="00DE16D0">
      <w:pPr>
        <w:widowControl w:val="0"/>
        <w:ind w:left="567" w:hanging="567"/>
        <w:rPr>
          <w:caps/>
          <w:color w:val="000000"/>
          <w:sz w:val="22"/>
          <w:szCs w:val="22"/>
        </w:rPr>
      </w:pPr>
    </w:p>
    <w:p w14:paraId="12F279F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FARMACINĖ forma ir KIEKIS PAKUOTĖJE</w:t>
      </w:r>
    </w:p>
    <w:p w14:paraId="7B3CBE88" w14:textId="77777777" w:rsidR="003646A0" w:rsidRPr="00F93FFA" w:rsidRDefault="003646A0" w:rsidP="00DE16D0">
      <w:pPr>
        <w:widowControl w:val="0"/>
        <w:ind w:left="567" w:hanging="567"/>
        <w:rPr>
          <w:caps/>
          <w:color w:val="000000"/>
          <w:sz w:val="22"/>
          <w:szCs w:val="22"/>
        </w:rPr>
      </w:pPr>
    </w:p>
    <w:p w14:paraId="64665925" w14:textId="77777777" w:rsidR="003646A0" w:rsidRPr="00F93FFA" w:rsidRDefault="003646A0" w:rsidP="00DE16D0">
      <w:pPr>
        <w:widowControl w:val="0"/>
        <w:ind w:left="567" w:hanging="567"/>
        <w:rPr>
          <w:color w:val="000000"/>
          <w:sz w:val="22"/>
          <w:szCs w:val="22"/>
        </w:rPr>
      </w:pPr>
      <w:r w:rsidRPr="00F93FFA">
        <w:rPr>
          <w:color w:val="000000"/>
          <w:sz w:val="22"/>
          <w:szCs w:val="22"/>
        </w:rPr>
        <w:t>10 plėvele dengtų tablečių</w:t>
      </w:r>
    </w:p>
    <w:p w14:paraId="4576D674"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30 plėvele dengtų tablečių</w:t>
      </w:r>
    </w:p>
    <w:p w14:paraId="7B0DFD33" w14:textId="77777777" w:rsidR="003646A0" w:rsidRPr="00F93FFA" w:rsidRDefault="003646A0" w:rsidP="00DE16D0">
      <w:pPr>
        <w:widowControl w:val="0"/>
        <w:ind w:left="567" w:hanging="567"/>
        <w:rPr>
          <w:color w:val="000000"/>
          <w:sz w:val="22"/>
          <w:szCs w:val="22"/>
          <w:shd w:val="clear" w:color="auto" w:fill="D9D9D9"/>
        </w:rPr>
      </w:pPr>
      <w:r w:rsidRPr="00F93FFA">
        <w:rPr>
          <w:color w:val="000000"/>
          <w:sz w:val="22"/>
          <w:szCs w:val="22"/>
          <w:shd w:val="clear" w:color="auto" w:fill="D9D9D9"/>
        </w:rPr>
        <w:t>90 plėvele dengtų tablečių</w:t>
      </w:r>
    </w:p>
    <w:p w14:paraId="62B77E4B" w14:textId="77777777" w:rsidR="003646A0" w:rsidRPr="00F93FFA" w:rsidRDefault="003646A0" w:rsidP="00DE16D0">
      <w:pPr>
        <w:widowControl w:val="0"/>
        <w:ind w:left="567" w:hanging="567"/>
        <w:rPr>
          <w:caps/>
          <w:color w:val="000000"/>
          <w:sz w:val="22"/>
          <w:szCs w:val="22"/>
        </w:rPr>
      </w:pPr>
    </w:p>
    <w:p w14:paraId="3474EB53" w14:textId="77777777" w:rsidR="003646A0" w:rsidRPr="00F93FFA" w:rsidRDefault="003646A0" w:rsidP="00DE16D0">
      <w:pPr>
        <w:widowControl w:val="0"/>
        <w:ind w:left="567" w:hanging="567"/>
        <w:rPr>
          <w:caps/>
          <w:color w:val="000000"/>
          <w:sz w:val="22"/>
          <w:szCs w:val="22"/>
        </w:rPr>
      </w:pPr>
    </w:p>
    <w:p w14:paraId="04748E1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5.</w:t>
      </w:r>
      <w:r w:rsidRPr="00F93FFA">
        <w:rPr>
          <w:b/>
          <w:caps/>
          <w:color w:val="000000"/>
          <w:sz w:val="22"/>
          <w:szCs w:val="22"/>
        </w:rPr>
        <w:tab/>
        <w:t xml:space="preserve">vartojimo METODAS IR būdas </w:t>
      </w:r>
      <w:r w:rsidRPr="00F93FFA">
        <w:rPr>
          <w:b/>
          <w:noProof/>
          <w:sz w:val="22"/>
          <w:szCs w:val="22"/>
        </w:rPr>
        <w:t>(-AI)</w:t>
      </w:r>
    </w:p>
    <w:p w14:paraId="067BF861" w14:textId="77777777" w:rsidR="003646A0" w:rsidRPr="00F93FFA" w:rsidRDefault="003646A0" w:rsidP="00DE16D0">
      <w:pPr>
        <w:widowControl w:val="0"/>
        <w:ind w:left="567" w:hanging="567"/>
        <w:rPr>
          <w:caps/>
          <w:color w:val="000000"/>
          <w:sz w:val="22"/>
          <w:szCs w:val="22"/>
        </w:rPr>
      </w:pPr>
    </w:p>
    <w:p w14:paraId="5CF4438E" w14:textId="77777777" w:rsidR="003646A0" w:rsidRPr="00F93FFA" w:rsidRDefault="003646A0" w:rsidP="00DE16D0">
      <w:pPr>
        <w:widowControl w:val="0"/>
        <w:ind w:left="567" w:hanging="567"/>
        <w:rPr>
          <w:color w:val="000000"/>
          <w:sz w:val="22"/>
          <w:szCs w:val="22"/>
        </w:rPr>
      </w:pPr>
      <w:r w:rsidRPr="00F93FFA">
        <w:rPr>
          <w:color w:val="000000"/>
          <w:sz w:val="22"/>
          <w:szCs w:val="22"/>
        </w:rPr>
        <w:t>Vartoti per burną. Prieš vartojimą perskaitykite pakuotės lapelį.</w:t>
      </w:r>
    </w:p>
    <w:p w14:paraId="21D07FC5" w14:textId="77777777" w:rsidR="003646A0" w:rsidRPr="00F93FFA" w:rsidRDefault="003646A0" w:rsidP="00DE16D0">
      <w:pPr>
        <w:widowControl w:val="0"/>
        <w:ind w:left="567" w:hanging="567"/>
        <w:rPr>
          <w:caps/>
          <w:color w:val="000000"/>
          <w:sz w:val="22"/>
          <w:szCs w:val="22"/>
        </w:rPr>
      </w:pPr>
    </w:p>
    <w:p w14:paraId="56C27298" w14:textId="77777777" w:rsidR="003646A0" w:rsidRPr="00F93FFA" w:rsidRDefault="003646A0" w:rsidP="00DE16D0">
      <w:pPr>
        <w:widowControl w:val="0"/>
        <w:ind w:left="567" w:hanging="567"/>
        <w:rPr>
          <w:caps/>
          <w:color w:val="000000"/>
          <w:sz w:val="22"/>
          <w:szCs w:val="22"/>
        </w:rPr>
      </w:pPr>
    </w:p>
    <w:p w14:paraId="7CB31CBD"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olor w:val="000000"/>
          <w:sz w:val="22"/>
          <w:szCs w:val="22"/>
        </w:rPr>
      </w:pPr>
      <w:r w:rsidRPr="00F93FFA">
        <w:rPr>
          <w:b/>
          <w:caps/>
          <w:color w:val="000000"/>
          <w:sz w:val="22"/>
          <w:szCs w:val="22"/>
        </w:rPr>
        <w:t>6.</w:t>
      </w:r>
      <w:r w:rsidRPr="00F93FFA">
        <w:rPr>
          <w:b/>
          <w:caps/>
          <w:color w:val="000000"/>
          <w:sz w:val="22"/>
          <w:szCs w:val="22"/>
        </w:rPr>
        <w:tab/>
        <w:t>SPECIALUS Įspėjimas</w:t>
      </w:r>
      <w:r w:rsidRPr="00F93FFA">
        <w:rPr>
          <w:color w:val="000000"/>
          <w:sz w:val="22"/>
          <w:szCs w:val="22"/>
        </w:rPr>
        <w:t xml:space="preserve">, </w:t>
      </w:r>
      <w:r w:rsidRPr="00F93FFA">
        <w:rPr>
          <w:b/>
          <w:bCs/>
          <w:color w:val="000000"/>
          <w:sz w:val="22"/>
          <w:szCs w:val="22"/>
        </w:rPr>
        <w:t xml:space="preserve">KAD VAISTINĮ PREPARATĄ BŪTINA LAIKYTI </w:t>
      </w:r>
      <w:r w:rsidRPr="00F93FFA">
        <w:rPr>
          <w:b/>
          <w:caps/>
          <w:color w:val="000000"/>
          <w:sz w:val="22"/>
          <w:szCs w:val="22"/>
        </w:rPr>
        <w:t>vaikams nepastebimoje ir nepasiekiamoje vietoje</w:t>
      </w:r>
    </w:p>
    <w:p w14:paraId="7E627199" w14:textId="77777777" w:rsidR="003646A0" w:rsidRPr="00F93FFA" w:rsidRDefault="003646A0" w:rsidP="00DE16D0">
      <w:pPr>
        <w:widowControl w:val="0"/>
        <w:ind w:left="567" w:hanging="567"/>
        <w:rPr>
          <w:color w:val="000000"/>
          <w:sz w:val="22"/>
          <w:szCs w:val="22"/>
        </w:rPr>
      </w:pPr>
    </w:p>
    <w:p w14:paraId="21ACED00" w14:textId="77777777" w:rsidR="003646A0" w:rsidRPr="00F93FFA" w:rsidRDefault="003646A0" w:rsidP="00DE16D0">
      <w:pPr>
        <w:widowControl w:val="0"/>
        <w:ind w:left="567" w:hanging="567"/>
        <w:rPr>
          <w:color w:val="000000"/>
          <w:sz w:val="22"/>
          <w:szCs w:val="22"/>
        </w:rPr>
      </w:pPr>
      <w:r w:rsidRPr="00F93FFA">
        <w:rPr>
          <w:color w:val="000000"/>
          <w:sz w:val="22"/>
          <w:szCs w:val="22"/>
        </w:rPr>
        <w:t>Laikyti vaikams nepastebimoje ir nepasiekiamoje vietoje.</w:t>
      </w:r>
    </w:p>
    <w:p w14:paraId="020CDA91" w14:textId="77777777" w:rsidR="003646A0" w:rsidRPr="00F93FFA" w:rsidRDefault="003646A0" w:rsidP="00DE16D0">
      <w:pPr>
        <w:widowControl w:val="0"/>
        <w:ind w:left="567" w:hanging="567"/>
        <w:rPr>
          <w:color w:val="000000"/>
          <w:sz w:val="22"/>
          <w:szCs w:val="22"/>
        </w:rPr>
      </w:pPr>
    </w:p>
    <w:p w14:paraId="42299DAE" w14:textId="77777777" w:rsidR="003646A0" w:rsidRPr="00F93FFA" w:rsidRDefault="003646A0" w:rsidP="00DE16D0">
      <w:pPr>
        <w:widowControl w:val="0"/>
        <w:ind w:left="567" w:hanging="567"/>
        <w:rPr>
          <w:color w:val="000000"/>
          <w:sz w:val="22"/>
          <w:szCs w:val="22"/>
        </w:rPr>
      </w:pPr>
    </w:p>
    <w:p w14:paraId="5192EE1C"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7.</w:t>
      </w:r>
      <w:r w:rsidRPr="00F93FFA">
        <w:rPr>
          <w:b/>
          <w:caps/>
          <w:color w:val="000000"/>
          <w:sz w:val="22"/>
          <w:szCs w:val="22"/>
        </w:rPr>
        <w:tab/>
        <w:t xml:space="preserve">kitas </w:t>
      </w:r>
      <w:r w:rsidRPr="00F93FFA">
        <w:rPr>
          <w:b/>
          <w:noProof/>
          <w:sz w:val="22"/>
          <w:szCs w:val="22"/>
        </w:rPr>
        <w:t xml:space="preserve">(-I) </w:t>
      </w:r>
      <w:r w:rsidRPr="00F93FFA">
        <w:rPr>
          <w:b/>
          <w:caps/>
          <w:color w:val="000000"/>
          <w:sz w:val="22"/>
          <w:szCs w:val="22"/>
        </w:rPr>
        <w:t xml:space="preserve">specialus </w:t>
      </w:r>
      <w:r w:rsidRPr="00F93FFA">
        <w:rPr>
          <w:b/>
          <w:noProof/>
          <w:sz w:val="22"/>
          <w:szCs w:val="22"/>
        </w:rPr>
        <w:t xml:space="preserve">(-ŪS) </w:t>
      </w:r>
      <w:r w:rsidRPr="00F93FFA">
        <w:rPr>
          <w:b/>
          <w:caps/>
          <w:color w:val="000000"/>
          <w:sz w:val="22"/>
          <w:szCs w:val="22"/>
        </w:rPr>
        <w:t xml:space="preserve">Įspėjimas </w:t>
      </w:r>
      <w:r w:rsidRPr="00F93FFA">
        <w:rPr>
          <w:b/>
          <w:noProof/>
          <w:sz w:val="22"/>
          <w:szCs w:val="22"/>
        </w:rPr>
        <w:t>(-AI)</w:t>
      </w:r>
      <w:r w:rsidRPr="00F93FFA">
        <w:rPr>
          <w:b/>
          <w:caps/>
          <w:color w:val="000000"/>
          <w:sz w:val="22"/>
          <w:szCs w:val="22"/>
        </w:rPr>
        <w:t xml:space="preserve"> (jei reikia)</w:t>
      </w:r>
    </w:p>
    <w:p w14:paraId="0CC5871C" w14:textId="77777777" w:rsidR="003646A0" w:rsidRPr="00F93FFA" w:rsidRDefault="003646A0" w:rsidP="00DE16D0">
      <w:pPr>
        <w:widowControl w:val="0"/>
        <w:ind w:left="567" w:hanging="567"/>
        <w:rPr>
          <w:caps/>
          <w:color w:val="000000"/>
          <w:sz w:val="22"/>
          <w:szCs w:val="22"/>
        </w:rPr>
      </w:pPr>
    </w:p>
    <w:p w14:paraId="10DCF5F9" w14:textId="77777777" w:rsidR="003646A0" w:rsidRPr="00F93FFA" w:rsidRDefault="003646A0" w:rsidP="00DE16D0">
      <w:pPr>
        <w:widowControl w:val="0"/>
        <w:ind w:left="567" w:hanging="567"/>
        <w:rPr>
          <w:color w:val="000000"/>
          <w:sz w:val="22"/>
          <w:szCs w:val="22"/>
        </w:rPr>
      </w:pPr>
      <w:r w:rsidRPr="00F93FFA">
        <w:rPr>
          <w:color w:val="000000"/>
          <w:sz w:val="22"/>
          <w:szCs w:val="22"/>
        </w:rPr>
        <w:t>Vartoti taip, kaip nurodė gydytojas.</w:t>
      </w:r>
    </w:p>
    <w:p w14:paraId="07D4F8CC" w14:textId="77777777" w:rsidR="003646A0" w:rsidRPr="00F93FFA" w:rsidRDefault="003646A0" w:rsidP="00DE16D0">
      <w:pPr>
        <w:widowControl w:val="0"/>
        <w:ind w:left="567" w:hanging="567"/>
        <w:rPr>
          <w:caps/>
          <w:color w:val="000000"/>
          <w:sz w:val="22"/>
          <w:szCs w:val="22"/>
        </w:rPr>
      </w:pPr>
    </w:p>
    <w:p w14:paraId="10596B73" w14:textId="77777777" w:rsidR="003646A0" w:rsidRPr="00F93FFA" w:rsidRDefault="003646A0" w:rsidP="00DE16D0">
      <w:pPr>
        <w:widowControl w:val="0"/>
        <w:ind w:left="567" w:hanging="567"/>
        <w:rPr>
          <w:caps/>
          <w:color w:val="000000"/>
          <w:sz w:val="22"/>
          <w:szCs w:val="22"/>
        </w:rPr>
      </w:pPr>
    </w:p>
    <w:p w14:paraId="517BDD3D"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8.</w:t>
      </w:r>
      <w:r w:rsidRPr="00F93FFA">
        <w:rPr>
          <w:b/>
          <w:caps/>
          <w:color w:val="000000"/>
          <w:sz w:val="22"/>
          <w:szCs w:val="22"/>
        </w:rPr>
        <w:tab/>
        <w:t>tinkamumo laikas</w:t>
      </w:r>
    </w:p>
    <w:p w14:paraId="17E34B6C" w14:textId="77777777" w:rsidR="003646A0" w:rsidRPr="00F93FFA" w:rsidRDefault="003646A0" w:rsidP="00DE16D0">
      <w:pPr>
        <w:widowControl w:val="0"/>
        <w:ind w:left="567" w:hanging="567"/>
        <w:rPr>
          <w:color w:val="000000"/>
          <w:sz w:val="22"/>
          <w:szCs w:val="22"/>
        </w:rPr>
      </w:pPr>
    </w:p>
    <w:p w14:paraId="05D1350C" w14:textId="77777777" w:rsidR="003646A0" w:rsidRPr="00F93FFA" w:rsidRDefault="00C669BB" w:rsidP="00DE16D0">
      <w:pPr>
        <w:widowControl w:val="0"/>
        <w:ind w:left="567" w:hanging="567"/>
        <w:rPr>
          <w:color w:val="000000"/>
          <w:sz w:val="22"/>
          <w:szCs w:val="22"/>
        </w:rPr>
      </w:pPr>
      <w:r w:rsidRPr="00F93FFA">
        <w:rPr>
          <w:color w:val="000000"/>
          <w:sz w:val="22"/>
          <w:szCs w:val="22"/>
        </w:rPr>
        <w:t>EXP</w:t>
      </w:r>
    </w:p>
    <w:p w14:paraId="45ECB36C" w14:textId="77777777" w:rsidR="003646A0" w:rsidRPr="00F93FFA" w:rsidRDefault="003646A0" w:rsidP="00DE16D0">
      <w:pPr>
        <w:widowControl w:val="0"/>
        <w:ind w:left="567" w:hanging="567"/>
        <w:rPr>
          <w:color w:val="000000"/>
          <w:sz w:val="22"/>
          <w:szCs w:val="22"/>
        </w:rPr>
      </w:pPr>
    </w:p>
    <w:p w14:paraId="24AC1A91" w14:textId="77777777" w:rsidR="003646A0" w:rsidRPr="00F93FFA" w:rsidRDefault="003646A0" w:rsidP="00DE16D0">
      <w:pPr>
        <w:widowControl w:val="0"/>
        <w:ind w:left="567" w:hanging="567"/>
        <w:rPr>
          <w:color w:val="000000"/>
          <w:sz w:val="22"/>
          <w:szCs w:val="22"/>
        </w:rPr>
      </w:pPr>
    </w:p>
    <w:p w14:paraId="7983E877"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9.</w:t>
      </w:r>
      <w:r w:rsidRPr="00F93FFA">
        <w:rPr>
          <w:b/>
          <w:caps/>
          <w:color w:val="000000"/>
          <w:sz w:val="22"/>
          <w:szCs w:val="22"/>
        </w:rPr>
        <w:tab/>
        <w:t>SPECIALIOS laikymo sąlygos</w:t>
      </w:r>
    </w:p>
    <w:p w14:paraId="547A1B7C" w14:textId="77777777" w:rsidR="003646A0" w:rsidRPr="00F93FFA" w:rsidRDefault="003646A0" w:rsidP="00D82342">
      <w:pPr>
        <w:keepNext/>
        <w:keepLines/>
        <w:widowControl w:val="0"/>
        <w:ind w:left="567" w:hanging="567"/>
        <w:rPr>
          <w:color w:val="000000"/>
          <w:sz w:val="22"/>
          <w:szCs w:val="22"/>
        </w:rPr>
      </w:pPr>
    </w:p>
    <w:p w14:paraId="6B7D406E" w14:textId="0F1E0ED2" w:rsidR="003646A0" w:rsidRPr="00F93FFA" w:rsidRDefault="003646A0" w:rsidP="00D82342">
      <w:pPr>
        <w:keepNext/>
        <w:keepLines/>
        <w:widowControl w:val="0"/>
        <w:rPr>
          <w:color w:val="000000"/>
          <w:sz w:val="22"/>
          <w:szCs w:val="22"/>
        </w:rPr>
      </w:pPr>
      <w:r w:rsidRPr="00F93FFA">
        <w:rPr>
          <w:color w:val="000000"/>
          <w:sz w:val="22"/>
          <w:szCs w:val="22"/>
        </w:rPr>
        <w:t>Laikyti ne aukštesnėje kaip 30 </w:t>
      </w:r>
      <w:r w:rsidRPr="00F93FFA">
        <w:rPr>
          <w:color w:val="000000"/>
          <w:sz w:val="22"/>
          <w:szCs w:val="22"/>
        </w:rPr>
        <w:sym w:font="Symbol" w:char="F0B0"/>
      </w:r>
      <w:r w:rsidRPr="00F93FFA">
        <w:rPr>
          <w:color w:val="000000"/>
          <w:sz w:val="22"/>
          <w:szCs w:val="22"/>
        </w:rPr>
        <w:t xml:space="preserve">C temperatūroje. Laikyti gamintojo pakuotėje, kad </w:t>
      </w:r>
      <w:r w:rsidR="00770DD2" w:rsidRPr="00F93FFA">
        <w:rPr>
          <w:color w:val="000000"/>
          <w:sz w:val="22"/>
          <w:szCs w:val="22"/>
        </w:rPr>
        <w:t>vaistas</w:t>
      </w:r>
      <w:r w:rsidRPr="00F93FFA">
        <w:rPr>
          <w:color w:val="000000"/>
          <w:sz w:val="22"/>
          <w:szCs w:val="22"/>
        </w:rPr>
        <w:t xml:space="preserve"> būtų apsaugotas nuo drėgmės.</w:t>
      </w:r>
    </w:p>
    <w:p w14:paraId="3F1DBABD" w14:textId="77777777" w:rsidR="003646A0" w:rsidRPr="00F93FFA" w:rsidRDefault="003646A0" w:rsidP="00DE16D0">
      <w:pPr>
        <w:widowControl w:val="0"/>
        <w:ind w:left="567" w:hanging="567"/>
        <w:rPr>
          <w:color w:val="000000"/>
          <w:sz w:val="22"/>
          <w:szCs w:val="22"/>
        </w:rPr>
      </w:pPr>
    </w:p>
    <w:p w14:paraId="7291CB62" w14:textId="77777777" w:rsidR="003646A0" w:rsidRPr="00F93FFA" w:rsidRDefault="003646A0" w:rsidP="00DE16D0">
      <w:pPr>
        <w:widowControl w:val="0"/>
        <w:ind w:left="567" w:hanging="567"/>
        <w:rPr>
          <w:color w:val="000000"/>
          <w:sz w:val="22"/>
          <w:szCs w:val="22"/>
        </w:rPr>
      </w:pPr>
    </w:p>
    <w:p w14:paraId="5E346FED"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lastRenderedPageBreak/>
        <w:t>10.</w:t>
      </w:r>
      <w:r w:rsidRPr="00F93FFA">
        <w:rPr>
          <w:b/>
          <w:caps/>
          <w:color w:val="000000"/>
          <w:sz w:val="22"/>
          <w:szCs w:val="22"/>
        </w:rPr>
        <w:tab/>
        <w:t>SPECIALIOS ATSARGUMO PRIEMONĖS</w:t>
      </w:r>
      <w:r w:rsidRPr="00F93FFA">
        <w:rPr>
          <w:b/>
          <w:caps/>
          <w:noProof/>
          <w:sz w:val="22"/>
          <w:szCs w:val="22"/>
        </w:rPr>
        <w:t xml:space="preserve"> DĖL NESUVARTOTO </w:t>
      </w:r>
      <w:r w:rsidRPr="00F93FFA">
        <w:rPr>
          <w:b/>
          <w:caps/>
          <w:color w:val="000000"/>
          <w:sz w:val="22"/>
          <w:szCs w:val="22"/>
        </w:rPr>
        <w:t>VAISTINIO PREPARATO AR JO ATLIEKŲ TVARKYMO (JEI REIKIA)</w:t>
      </w:r>
    </w:p>
    <w:p w14:paraId="1CB6C4B8" w14:textId="77777777" w:rsidR="003646A0" w:rsidRPr="00F93FFA" w:rsidRDefault="003646A0" w:rsidP="00D82342">
      <w:pPr>
        <w:keepNext/>
        <w:keepLines/>
        <w:widowControl w:val="0"/>
        <w:ind w:left="567" w:hanging="567"/>
        <w:rPr>
          <w:caps/>
          <w:color w:val="000000"/>
          <w:sz w:val="22"/>
          <w:szCs w:val="22"/>
        </w:rPr>
      </w:pPr>
    </w:p>
    <w:p w14:paraId="2AA596B8" w14:textId="77777777" w:rsidR="003646A0" w:rsidRPr="00F93FFA" w:rsidRDefault="003646A0" w:rsidP="00DE16D0">
      <w:pPr>
        <w:widowControl w:val="0"/>
        <w:ind w:left="567" w:hanging="567"/>
        <w:rPr>
          <w:caps/>
          <w:color w:val="000000"/>
          <w:sz w:val="22"/>
          <w:szCs w:val="22"/>
        </w:rPr>
      </w:pPr>
    </w:p>
    <w:p w14:paraId="2D93DC73" w14:textId="77777777" w:rsidR="003646A0" w:rsidRPr="00F93FFA" w:rsidRDefault="003646A0" w:rsidP="00D82342">
      <w:pPr>
        <w:keepNext/>
        <w:keepLines/>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11.</w:t>
      </w:r>
      <w:r w:rsidRPr="00F93FFA">
        <w:rPr>
          <w:b/>
          <w:caps/>
          <w:color w:val="000000"/>
          <w:sz w:val="22"/>
          <w:szCs w:val="22"/>
        </w:rPr>
        <w:tab/>
      </w:r>
      <w:r w:rsidR="00AE7200" w:rsidRPr="00F93FFA">
        <w:rPr>
          <w:b/>
          <w:caps/>
          <w:color w:val="000000"/>
          <w:sz w:val="22"/>
          <w:szCs w:val="22"/>
          <w:lang w:bidi="lt-LT"/>
        </w:rPr>
        <w:t>REGISTRUOTOJO PAVADINIMAS IR ADRESAS</w:t>
      </w:r>
    </w:p>
    <w:p w14:paraId="1C7CE5D2" w14:textId="77777777" w:rsidR="003646A0" w:rsidRPr="00F93FFA" w:rsidRDefault="003646A0" w:rsidP="00D82342">
      <w:pPr>
        <w:keepNext/>
        <w:keepLines/>
        <w:widowControl w:val="0"/>
        <w:ind w:left="567" w:hanging="567"/>
        <w:rPr>
          <w:caps/>
          <w:color w:val="000000"/>
          <w:sz w:val="22"/>
          <w:szCs w:val="22"/>
        </w:rPr>
      </w:pPr>
    </w:p>
    <w:p w14:paraId="7E896C0C" w14:textId="77777777" w:rsidR="003646A0" w:rsidRPr="00F93FFA" w:rsidRDefault="003646A0" w:rsidP="00D82342">
      <w:pPr>
        <w:pStyle w:val="EndnoteText"/>
        <w:keepNext/>
        <w:keepLines/>
        <w:widowControl w:val="0"/>
        <w:tabs>
          <w:tab w:val="clear" w:pos="567"/>
        </w:tabs>
        <w:rPr>
          <w:color w:val="000000"/>
          <w:szCs w:val="22"/>
          <w:lang w:val="lt-LT"/>
        </w:rPr>
      </w:pPr>
      <w:r w:rsidRPr="00F93FFA">
        <w:rPr>
          <w:color w:val="000000"/>
          <w:szCs w:val="22"/>
          <w:lang w:val="lt-LT"/>
        </w:rPr>
        <w:t>Novartis Europharm Limited</w:t>
      </w:r>
    </w:p>
    <w:p w14:paraId="7903027D" w14:textId="77777777" w:rsidR="008D67C4" w:rsidRPr="00F93FFA" w:rsidRDefault="008D67C4" w:rsidP="00DE16D0">
      <w:pPr>
        <w:keepNext/>
        <w:widowControl w:val="0"/>
        <w:rPr>
          <w:color w:val="000000"/>
          <w:sz w:val="22"/>
          <w:szCs w:val="22"/>
        </w:rPr>
      </w:pPr>
      <w:r w:rsidRPr="00F93FFA">
        <w:rPr>
          <w:color w:val="000000"/>
          <w:sz w:val="22"/>
          <w:szCs w:val="22"/>
        </w:rPr>
        <w:t>Vista Building</w:t>
      </w:r>
    </w:p>
    <w:p w14:paraId="0383789D" w14:textId="77777777" w:rsidR="008D67C4" w:rsidRPr="00F93FFA" w:rsidRDefault="008D67C4" w:rsidP="00DE16D0">
      <w:pPr>
        <w:keepNext/>
        <w:widowControl w:val="0"/>
        <w:rPr>
          <w:color w:val="000000"/>
          <w:sz w:val="22"/>
          <w:szCs w:val="22"/>
        </w:rPr>
      </w:pPr>
      <w:r w:rsidRPr="00F93FFA">
        <w:rPr>
          <w:color w:val="000000"/>
          <w:sz w:val="22"/>
          <w:szCs w:val="22"/>
        </w:rPr>
        <w:t>Elm Park, Merrion Road</w:t>
      </w:r>
    </w:p>
    <w:p w14:paraId="65B6D49B" w14:textId="77777777" w:rsidR="008D67C4" w:rsidRPr="00F93FFA" w:rsidRDefault="008D67C4" w:rsidP="00DE16D0">
      <w:pPr>
        <w:keepNext/>
        <w:widowControl w:val="0"/>
        <w:rPr>
          <w:color w:val="000000"/>
          <w:sz w:val="22"/>
          <w:szCs w:val="22"/>
        </w:rPr>
      </w:pPr>
      <w:r w:rsidRPr="00F93FFA">
        <w:rPr>
          <w:color w:val="000000"/>
          <w:sz w:val="22"/>
          <w:szCs w:val="22"/>
        </w:rPr>
        <w:t>Dublin 4</w:t>
      </w:r>
    </w:p>
    <w:p w14:paraId="320739A4" w14:textId="77777777" w:rsidR="003646A0" w:rsidRPr="00F93FFA" w:rsidRDefault="008D67C4" w:rsidP="00DE16D0">
      <w:pPr>
        <w:widowControl w:val="0"/>
        <w:rPr>
          <w:color w:val="000000"/>
          <w:sz w:val="22"/>
          <w:szCs w:val="22"/>
        </w:rPr>
      </w:pPr>
      <w:r w:rsidRPr="00F93FFA">
        <w:rPr>
          <w:color w:val="000000"/>
          <w:sz w:val="22"/>
          <w:szCs w:val="22"/>
        </w:rPr>
        <w:t>Airija</w:t>
      </w:r>
    </w:p>
    <w:p w14:paraId="5A3B21AB" w14:textId="77777777" w:rsidR="003646A0" w:rsidRPr="00F93FFA" w:rsidRDefault="003646A0" w:rsidP="00DE16D0">
      <w:pPr>
        <w:widowControl w:val="0"/>
        <w:ind w:left="567" w:hanging="567"/>
        <w:rPr>
          <w:caps/>
          <w:color w:val="000000"/>
          <w:sz w:val="22"/>
          <w:szCs w:val="22"/>
        </w:rPr>
      </w:pPr>
    </w:p>
    <w:p w14:paraId="298775D6" w14:textId="77777777" w:rsidR="003646A0" w:rsidRPr="00F93FFA" w:rsidRDefault="003646A0" w:rsidP="00DE16D0">
      <w:pPr>
        <w:widowControl w:val="0"/>
        <w:ind w:left="567" w:hanging="567"/>
        <w:rPr>
          <w:caps/>
          <w:color w:val="000000"/>
          <w:sz w:val="22"/>
          <w:szCs w:val="22"/>
        </w:rPr>
      </w:pPr>
    </w:p>
    <w:p w14:paraId="4CC06EFA"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12.</w:t>
      </w:r>
      <w:r w:rsidRPr="00F93FFA">
        <w:rPr>
          <w:b/>
          <w:caps/>
          <w:color w:val="000000"/>
          <w:sz w:val="22"/>
          <w:szCs w:val="22"/>
        </w:rPr>
        <w:tab/>
      </w:r>
      <w:r w:rsidR="00AE7200" w:rsidRPr="00F93FFA">
        <w:rPr>
          <w:b/>
          <w:caps/>
          <w:color w:val="000000"/>
          <w:sz w:val="22"/>
          <w:szCs w:val="22"/>
          <w:lang w:bidi="lt-LT"/>
        </w:rPr>
        <w:t>REGISTRACIJOS PAŽYMĖJIMO NUMERIS (-IAI)</w:t>
      </w:r>
    </w:p>
    <w:p w14:paraId="0D6E5DAA" w14:textId="77777777" w:rsidR="003646A0" w:rsidRPr="00F93FFA" w:rsidRDefault="003646A0" w:rsidP="00DE16D0">
      <w:pPr>
        <w:widowControl w:val="0"/>
        <w:ind w:left="567" w:hanging="567"/>
        <w:rPr>
          <w:color w:val="000000"/>
          <w:sz w:val="22"/>
          <w:szCs w:val="22"/>
        </w:rPr>
      </w:pPr>
    </w:p>
    <w:p w14:paraId="5E0C0B5D"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rPr>
        <w:t>EU/1/01/198/009</w:t>
      </w:r>
      <w:r w:rsidRPr="00F93FFA">
        <w:rPr>
          <w:color w:val="000000"/>
          <w:sz w:val="22"/>
          <w:szCs w:val="22"/>
        </w:rPr>
        <w:tab/>
      </w:r>
      <w:r w:rsidRPr="00F93FFA">
        <w:rPr>
          <w:color w:val="000000"/>
          <w:sz w:val="22"/>
          <w:szCs w:val="22"/>
          <w:shd w:val="clear" w:color="auto" w:fill="D9D9D9"/>
        </w:rPr>
        <w:t>10 tablečių</w:t>
      </w:r>
    </w:p>
    <w:p w14:paraId="0F1CC901"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EU/1/01/198/010</w:t>
      </w:r>
      <w:r w:rsidRPr="00F93FFA">
        <w:rPr>
          <w:color w:val="000000"/>
          <w:sz w:val="22"/>
          <w:szCs w:val="22"/>
          <w:shd w:val="clear" w:color="auto" w:fill="D9D9D9"/>
        </w:rPr>
        <w:tab/>
        <w:t>30 tablečių</w:t>
      </w:r>
    </w:p>
    <w:p w14:paraId="5E57D326" w14:textId="77777777" w:rsidR="003646A0" w:rsidRPr="00F93FFA" w:rsidRDefault="003646A0" w:rsidP="00DE16D0">
      <w:pPr>
        <w:widowControl w:val="0"/>
        <w:ind w:left="2340" w:hanging="2340"/>
        <w:rPr>
          <w:color w:val="000000"/>
          <w:sz w:val="22"/>
          <w:szCs w:val="22"/>
          <w:shd w:val="clear" w:color="auto" w:fill="D9D9D9"/>
        </w:rPr>
      </w:pPr>
      <w:r w:rsidRPr="00F93FFA">
        <w:rPr>
          <w:color w:val="000000"/>
          <w:sz w:val="22"/>
          <w:szCs w:val="22"/>
          <w:shd w:val="clear" w:color="auto" w:fill="D9D9D9"/>
        </w:rPr>
        <w:t>EU/1/01/198/013</w:t>
      </w:r>
      <w:r w:rsidRPr="00F93FFA">
        <w:rPr>
          <w:color w:val="000000"/>
          <w:sz w:val="22"/>
          <w:szCs w:val="22"/>
          <w:shd w:val="clear" w:color="auto" w:fill="D9D9D9"/>
        </w:rPr>
        <w:tab/>
        <w:t>90 tablečių</w:t>
      </w:r>
    </w:p>
    <w:p w14:paraId="6A4C43F3" w14:textId="77777777" w:rsidR="003646A0" w:rsidRPr="00F93FFA" w:rsidRDefault="003646A0" w:rsidP="00DE16D0">
      <w:pPr>
        <w:widowControl w:val="0"/>
        <w:ind w:left="567" w:hanging="567"/>
        <w:rPr>
          <w:color w:val="000000"/>
          <w:sz w:val="22"/>
          <w:szCs w:val="22"/>
        </w:rPr>
      </w:pPr>
    </w:p>
    <w:p w14:paraId="0AD7B7BE" w14:textId="77777777" w:rsidR="003646A0" w:rsidRPr="00F93FFA" w:rsidRDefault="003646A0" w:rsidP="00DE16D0">
      <w:pPr>
        <w:widowControl w:val="0"/>
        <w:ind w:left="567" w:hanging="567"/>
        <w:rPr>
          <w:color w:val="000000"/>
          <w:sz w:val="22"/>
          <w:szCs w:val="22"/>
        </w:rPr>
      </w:pPr>
    </w:p>
    <w:p w14:paraId="10B0AE2C"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13.</w:t>
      </w:r>
      <w:r w:rsidRPr="00F93FFA">
        <w:rPr>
          <w:b/>
          <w:caps/>
          <w:color w:val="000000"/>
          <w:sz w:val="22"/>
          <w:szCs w:val="22"/>
        </w:rPr>
        <w:tab/>
        <w:t>SERIJOS NUMERIS</w:t>
      </w:r>
    </w:p>
    <w:p w14:paraId="65167FA9" w14:textId="77777777" w:rsidR="003646A0" w:rsidRPr="00F93FFA" w:rsidRDefault="003646A0" w:rsidP="00DE16D0">
      <w:pPr>
        <w:widowControl w:val="0"/>
        <w:ind w:left="567" w:hanging="567"/>
        <w:rPr>
          <w:color w:val="000000"/>
          <w:sz w:val="22"/>
          <w:szCs w:val="22"/>
        </w:rPr>
      </w:pPr>
    </w:p>
    <w:p w14:paraId="2B2C60A5" w14:textId="77777777" w:rsidR="003646A0" w:rsidRPr="00F93FFA" w:rsidRDefault="00C669BB" w:rsidP="00DE16D0">
      <w:pPr>
        <w:widowControl w:val="0"/>
        <w:ind w:left="567" w:hanging="567"/>
        <w:rPr>
          <w:color w:val="000000"/>
          <w:sz w:val="22"/>
          <w:szCs w:val="22"/>
        </w:rPr>
      </w:pPr>
      <w:r w:rsidRPr="00F93FFA">
        <w:rPr>
          <w:color w:val="000000"/>
          <w:sz w:val="22"/>
          <w:szCs w:val="22"/>
        </w:rPr>
        <w:t>Lot</w:t>
      </w:r>
    </w:p>
    <w:p w14:paraId="60846325" w14:textId="77777777" w:rsidR="003646A0" w:rsidRPr="00F93FFA" w:rsidRDefault="003646A0" w:rsidP="00DE16D0">
      <w:pPr>
        <w:widowControl w:val="0"/>
        <w:ind w:left="567" w:hanging="567"/>
        <w:rPr>
          <w:color w:val="000000"/>
          <w:sz w:val="22"/>
          <w:szCs w:val="22"/>
        </w:rPr>
      </w:pPr>
    </w:p>
    <w:p w14:paraId="51DC6E0A" w14:textId="77777777" w:rsidR="003646A0" w:rsidRPr="00F93FFA" w:rsidRDefault="003646A0" w:rsidP="00DE16D0">
      <w:pPr>
        <w:widowControl w:val="0"/>
        <w:ind w:left="567" w:hanging="567"/>
        <w:rPr>
          <w:color w:val="000000"/>
          <w:sz w:val="22"/>
          <w:szCs w:val="22"/>
        </w:rPr>
      </w:pPr>
    </w:p>
    <w:p w14:paraId="1076492E"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14.</w:t>
      </w:r>
      <w:r w:rsidRPr="00F93FFA">
        <w:rPr>
          <w:b/>
          <w:caps/>
          <w:color w:val="000000"/>
          <w:sz w:val="22"/>
          <w:szCs w:val="22"/>
        </w:rPr>
        <w:tab/>
        <w:t>PARDAVIMO (IŠDAVIMO) tvarka</w:t>
      </w:r>
    </w:p>
    <w:p w14:paraId="24E2317F" w14:textId="77777777" w:rsidR="003646A0" w:rsidRPr="00F93FFA" w:rsidRDefault="003646A0" w:rsidP="00DE16D0">
      <w:pPr>
        <w:widowControl w:val="0"/>
        <w:ind w:left="567" w:hanging="567"/>
        <w:rPr>
          <w:color w:val="000000"/>
          <w:sz w:val="22"/>
          <w:szCs w:val="22"/>
        </w:rPr>
      </w:pPr>
    </w:p>
    <w:p w14:paraId="14918911" w14:textId="77777777" w:rsidR="003646A0" w:rsidRPr="00F93FFA" w:rsidRDefault="003646A0" w:rsidP="00DE16D0">
      <w:pPr>
        <w:widowControl w:val="0"/>
        <w:ind w:left="567" w:hanging="567"/>
        <w:rPr>
          <w:color w:val="000000"/>
          <w:sz w:val="22"/>
          <w:szCs w:val="22"/>
        </w:rPr>
      </w:pPr>
    </w:p>
    <w:p w14:paraId="2E43FFEF"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15.</w:t>
      </w:r>
      <w:r w:rsidRPr="00F93FFA">
        <w:rPr>
          <w:b/>
          <w:caps/>
          <w:color w:val="000000"/>
          <w:sz w:val="22"/>
          <w:szCs w:val="22"/>
        </w:rPr>
        <w:tab/>
        <w:t>VARTOJIMO INSTRUKCIJA</w:t>
      </w:r>
    </w:p>
    <w:p w14:paraId="01BE347E" w14:textId="77777777" w:rsidR="003646A0" w:rsidRPr="00F93FFA" w:rsidRDefault="003646A0" w:rsidP="00DE16D0">
      <w:pPr>
        <w:widowControl w:val="0"/>
        <w:ind w:left="567" w:hanging="567"/>
        <w:rPr>
          <w:color w:val="000000"/>
          <w:sz w:val="22"/>
          <w:szCs w:val="22"/>
        </w:rPr>
      </w:pPr>
    </w:p>
    <w:p w14:paraId="78F06FE1" w14:textId="77777777" w:rsidR="003646A0" w:rsidRPr="00F93FFA" w:rsidRDefault="003646A0" w:rsidP="00DE16D0">
      <w:pPr>
        <w:widowControl w:val="0"/>
        <w:ind w:left="567" w:hanging="567"/>
        <w:rPr>
          <w:color w:val="000000"/>
          <w:sz w:val="22"/>
          <w:szCs w:val="22"/>
        </w:rPr>
      </w:pPr>
    </w:p>
    <w:p w14:paraId="3B010E17" w14:textId="77777777" w:rsidR="00D82342" w:rsidRPr="00F93FFA" w:rsidRDefault="00D82342" w:rsidP="00D82342">
      <w:pPr>
        <w:widowControl w:val="0"/>
        <w:pBdr>
          <w:top w:val="single" w:sz="4" w:space="1" w:color="auto"/>
          <w:left w:val="single" w:sz="4" w:space="4" w:color="auto"/>
          <w:bottom w:val="single" w:sz="4" w:space="1" w:color="auto"/>
          <w:right w:val="single" w:sz="4" w:space="4" w:color="auto"/>
        </w:pBdr>
        <w:tabs>
          <w:tab w:val="left" w:pos="142"/>
        </w:tabs>
        <w:ind w:left="567" w:hanging="567"/>
        <w:rPr>
          <w:b/>
          <w:color w:val="000000"/>
          <w:sz w:val="22"/>
          <w:szCs w:val="22"/>
        </w:rPr>
      </w:pPr>
      <w:r w:rsidRPr="00F93FFA">
        <w:rPr>
          <w:b/>
          <w:color w:val="000000"/>
          <w:sz w:val="22"/>
          <w:szCs w:val="22"/>
        </w:rPr>
        <w:t>16.</w:t>
      </w:r>
      <w:r w:rsidRPr="00F93FFA">
        <w:rPr>
          <w:b/>
          <w:color w:val="000000"/>
          <w:sz w:val="22"/>
          <w:szCs w:val="22"/>
        </w:rPr>
        <w:tab/>
        <w:t>INFORMACIJA BRAILIO RAŠTU</w:t>
      </w:r>
    </w:p>
    <w:p w14:paraId="328662CC" w14:textId="77777777" w:rsidR="003646A0" w:rsidRPr="00F93FFA" w:rsidRDefault="003646A0" w:rsidP="00DE16D0">
      <w:pPr>
        <w:widowControl w:val="0"/>
        <w:rPr>
          <w:color w:val="000000"/>
          <w:sz w:val="22"/>
          <w:szCs w:val="22"/>
          <w:u w:val="single"/>
        </w:rPr>
      </w:pPr>
    </w:p>
    <w:p w14:paraId="6888E8CD" w14:textId="77777777" w:rsidR="003646A0" w:rsidRPr="00F93FFA" w:rsidRDefault="003646A0" w:rsidP="00DE16D0">
      <w:pPr>
        <w:widowControl w:val="0"/>
        <w:rPr>
          <w:color w:val="000000"/>
          <w:sz w:val="22"/>
          <w:szCs w:val="22"/>
        </w:rPr>
      </w:pPr>
      <w:r w:rsidRPr="00F93FFA">
        <w:rPr>
          <w:color w:val="000000"/>
          <w:sz w:val="22"/>
          <w:szCs w:val="22"/>
        </w:rPr>
        <w:t>Glivec 400 mg</w:t>
      </w:r>
    </w:p>
    <w:p w14:paraId="6757DF41" w14:textId="77777777" w:rsidR="00AE7200" w:rsidRPr="00F93FFA" w:rsidRDefault="00AE7200" w:rsidP="00DE16D0">
      <w:pPr>
        <w:widowControl w:val="0"/>
        <w:rPr>
          <w:noProof/>
          <w:sz w:val="22"/>
          <w:szCs w:val="22"/>
          <w:shd w:val="clear" w:color="auto" w:fill="CCCCCC"/>
          <w:lang w:eastAsia="lt-LT" w:bidi="lt-LT"/>
        </w:rPr>
      </w:pPr>
    </w:p>
    <w:p w14:paraId="311CB833" w14:textId="77777777" w:rsidR="00AE7200" w:rsidRPr="00F93FFA" w:rsidRDefault="00AE7200" w:rsidP="00DE16D0">
      <w:pPr>
        <w:widowControl w:val="0"/>
        <w:rPr>
          <w:noProof/>
          <w:sz w:val="22"/>
          <w:szCs w:val="22"/>
          <w:shd w:val="clear" w:color="auto" w:fill="CCCCCC"/>
          <w:lang w:eastAsia="lt-LT" w:bidi="lt-LT"/>
        </w:rPr>
      </w:pPr>
    </w:p>
    <w:p w14:paraId="35D35279" w14:textId="77777777" w:rsidR="00AE7200" w:rsidRPr="00F93FFA" w:rsidRDefault="00AE7200" w:rsidP="00DE16D0">
      <w:pPr>
        <w:widowControl w:val="0"/>
        <w:pBdr>
          <w:top w:val="single" w:sz="4" w:space="1" w:color="auto"/>
          <w:left w:val="single" w:sz="4" w:space="4" w:color="auto"/>
          <w:bottom w:val="single" w:sz="4" w:space="1" w:color="auto"/>
          <w:right w:val="single" w:sz="4" w:space="4" w:color="auto"/>
        </w:pBdr>
        <w:ind w:left="-3"/>
        <w:outlineLvl w:val="0"/>
        <w:rPr>
          <w:noProof/>
          <w:sz w:val="22"/>
          <w:szCs w:val="20"/>
          <w:lang w:eastAsia="lt-LT" w:bidi="lt-LT"/>
        </w:rPr>
      </w:pPr>
      <w:r w:rsidRPr="00F93FFA">
        <w:rPr>
          <w:b/>
          <w:noProof/>
          <w:sz w:val="22"/>
          <w:szCs w:val="20"/>
          <w:lang w:eastAsia="lt-LT" w:bidi="lt-LT"/>
        </w:rPr>
        <w:t>17.</w:t>
      </w:r>
      <w:r w:rsidRPr="00F93FFA">
        <w:rPr>
          <w:b/>
          <w:noProof/>
          <w:sz w:val="22"/>
          <w:szCs w:val="20"/>
          <w:lang w:eastAsia="lt-LT" w:bidi="lt-LT"/>
        </w:rPr>
        <w:tab/>
        <w:t>UNIKALUS IDENTIFIKATORIUS – 2D BRŪKŠNINIS KODAS</w:t>
      </w:r>
    </w:p>
    <w:p w14:paraId="070FAC8D" w14:textId="77777777" w:rsidR="00AE7200" w:rsidRPr="00F93FFA" w:rsidRDefault="00AE7200" w:rsidP="00DE16D0">
      <w:pPr>
        <w:widowControl w:val="0"/>
        <w:rPr>
          <w:noProof/>
          <w:sz w:val="22"/>
          <w:szCs w:val="20"/>
          <w:lang w:eastAsia="lt-LT" w:bidi="lt-LT"/>
        </w:rPr>
      </w:pPr>
    </w:p>
    <w:p w14:paraId="7F5B405C" w14:textId="77777777" w:rsidR="00AE7200" w:rsidRPr="00F93FFA" w:rsidRDefault="00AE7200" w:rsidP="00DE16D0">
      <w:pPr>
        <w:widowControl w:val="0"/>
        <w:rPr>
          <w:sz w:val="22"/>
          <w:szCs w:val="20"/>
          <w:shd w:val="pct15" w:color="auto" w:fill="auto"/>
          <w:lang w:eastAsia="lt-LT" w:bidi="lt-LT"/>
        </w:rPr>
      </w:pPr>
      <w:r w:rsidRPr="00F93FFA">
        <w:rPr>
          <w:sz w:val="22"/>
          <w:szCs w:val="20"/>
          <w:shd w:val="pct15" w:color="auto" w:fill="auto"/>
          <w:lang w:eastAsia="lt-LT" w:bidi="lt-LT"/>
        </w:rPr>
        <w:t>2D brūkšninis kodas su nurodytu unikaliu identifikatoriumi.</w:t>
      </w:r>
    </w:p>
    <w:p w14:paraId="6AC110E4" w14:textId="77777777" w:rsidR="00AE7200" w:rsidRPr="00F93FFA" w:rsidRDefault="00AE7200" w:rsidP="00DE16D0">
      <w:pPr>
        <w:widowControl w:val="0"/>
        <w:rPr>
          <w:noProof/>
          <w:sz w:val="22"/>
          <w:szCs w:val="22"/>
          <w:shd w:val="clear" w:color="auto" w:fill="CCCCCC"/>
          <w:lang w:eastAsia="lt-LT" w:bidi="lt-LT"/>
        </w:rPr>
      </w:pPr>
    </w:p>
    <w:p w14:paraId="0BB1E441" w14:textId="77777777" w:rsidR="00AE7200" w:rsidRPr="00F93FFA" w:rsidRDefault="00AE7200" w:rsidP="00DE16D0">
      <w:pPr>
        <w:widowControl w:val="0"/>
        <w:rPr>
          <w:noProof/>
          <w:sz w:val="22"/>
          <w:szCs w:val="20"/>
          <w:lang w:eastAsia="lt-LT" w:bidi="lt-LT"/>
        </w:rPr>
      </w:pPr>
    </w:p>
    <w:p w14:paraId="428E5AE5" w14:textId="77777777" w:rsidR="00AE7200" w:rsidRPr="00F93FFA" w:rsidRDefault="00AE7200" w:rsidP="00D82342">
      <w:pPr>
        <w:keepNext/>
        <w:widowControl w:val="0"/>
        <w:pBdr>
          <w:top w:val="single" w:sz="4" w:space="1" w:color="auto"/>
          <w:left w:val="single" w:sz="4" w:space="4" w:color="auto"/>
          <w:bottom w:val="single" w:sz="4" w:space="1" w:color="auto"/>
          <w:right w:val="single" w:sz="4" w:space="4" w:color="auto"/>
        </w:pBdr>
        <w:ind w:left="-3"/>
        <w:outlineLvl w:val="0"/>
        <w:rPr>
          <w:i/>
          <w:noProof/>
          <w:sz w:val="22"/>
          <w:szCs w:val="20"/>
          <w:lang w:eastAsia="lt-LT" w:bidi="lt-LT"/>
        </w:rPr>
      </w:pPr>
      <w:r w:rsidRPr="00F93FFA">
        <w:rPr>
          <w:b/>
          <w:noProof/>
          <w:sz w:val="22"/>
          <w:szCs w:val="20"/>
          <w:lang w:eastAsia="lt-LT" w:bidi="lt-LT"/>
        </w:rPr>
        <w:t>18.</w:t>
      </w:r>
      <w:r w:rsidRPr="00F93FFA">
        <w:rPr>
          <w:b/>
          <w:noProof/>
          <w:sz w:val="22"/>
          <w:szCs w:val="20"/>
          <w:lang w:eastAsia="lt-LT" w:bidi="lt-LT"/>
        </w:rPr>
        <w:tab/>
        <w:t>UNIKALUS IDENTIFIKATORIUS – ŽMONĖMS SUPRANTAMI DUOMENYS</w:t>
      </w:r>
    </w:p>
    <w:p w14:paraId="6A41CF64" w14:textId="77777777" w:rsidR="00AE7200" w:rsidRPr="00F93FFA" w:rsidRDefault="00AE7200" w:rsidP="00D82342">
      <w:pPr>
        <w:keepNext/>
        <w:widowControl w:val="0"/>
        <w:rPr>
          <w:noProof/>
          <w:sz w:val="22"/>
          <w:szCs w:val="20"/>
          <w:lang w:eastAsia="lt-LT" w:bidi="lt-LT"/>
        </w:rPr>
      </w:pPr>
    </w:p>
    <w:p w14:paraId="79BE251D" w14:textId="77777777" w:rsidR="00AE7200" w:rsidRPr="00F93FFA" w:rsidRDefault="00AE7200" w:rsidP="00D82342">
      <w:pPr>
        <w:keepNext/>
        <w:widowControl w:val="0"/>
        <w:rPr>
          <w:sz w:val="22"/>
          <w:szCs w:val="22"/>
          <w:lang w:eastAsia="lt-LT" w:bidi="lt-LT"/>
        </w:rPr>
      </w:pPr>
      <w:r w:rsidRPr="00F93FFA">
        <w:rPr>
          <w:sz w:val="22"/>
          <w:szCs w:val="20"/>
          <w:lang w:eastAsia="lt-LT" w:bidi="lt-LT"/>
        </w:rPr>
        <w:t>PC:</w:t>
      </w:r>
    </w:p>
    <w:p w14:paraId="0EA2B80F" w14:textId="77777777" w:rsidR="00AE7200" w:rsidRPr="00F93FFA" w:rsidRDefault="00AE7200" w:rsidP="00D82342">
      <w:pPr>
        <w:keepNext/>
        <w:widowControl w:val="0"/>
        <w:rPr>
          <w:sz w:val="22"/>
          <w:szCs w:val="22"/>
          <w:lang w:eastAsia="lt-LT" w:bidi="lt-LT"/>
        </w:rPr>
      </w:pPr>
      <w:r w:rsidRPr="00F93FFA">
        <w:rPr>
          <w:sz w:val="22"/>
          <w:szCs w:val="20"/>
          <w:lang w:eastAsia="lt-LT" w:bidi="lt-LT"/>
        </w:rPr>
        <w:t>SN:</w:t>
      </w:r>
    </w:p>
    <w:p w14:paraId="137BC7EE" w14:textId="77777777" w:rsidR="003646A0" w:rsidRPr="00F93FFA" w:rsidRDefault="00AE7200" w:rsidP="00DE16D0">
      <w:pPr>
        <w:widowControl w:val="0"/>
        <w:ind w:left="567" w:hanging="567"/>
        <w:rPr>
          <w:color w:val="000000"/>
          <w:sz w:val="22"/>
          <w:szCs w:val="22"/>
        </w:rPr>
      </w:pPr>
      <w:r w:rsidRPr="00F93FFA">
        <w:rPr>
          <w:rFonts w:eastAsia="SimSun" w:cs="Tahoma"/>
          <w:lang w:eastAsia="lt-LT" w:bidi="lt-LT"/>
        </w:rPr>
        <w:t>NN:</w:t>
      </w:r>
    </w:p>
    <w:p w14:paraId="0EB1BCF2"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53AA4E54" w14:textId="77777777" w:rsidR="00D82342" w:rsidRPr="00F93FFA" w:rsidRDefault="00D82342" w:rsidP="00D82342">
      <w:pPr>
        <w:widowControl w:val="0"/>
        <w:ind w:left="567" w:hanging="567"/>
        <w:rPr>
          <w:caps/>
          <w:color w:val="000000"/>
          <w:sz w:val="22"/>
          <w:szCs w:val="22"/>
        </w:rPr>
      </w:pPr>
    </w:p>
    <w:p w14:paraId="478BD21E"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rPr>
          <w:b/>
          <w:caps/>
          <w:color w:val="000000"/>
          <w:sz w:val="22"/>
          <w:szCs w:val="22"/>
        </w:rPr>
      </w:pPr>
      <w:r w:rsidRPr="00F93FFA">
        <w:rPr>
          <w:b/>
          <w:caps/>
          <w:color w:val="000000"/>
          <w:sz w:val="22"/>
          <w:szCs w:val="22"/>
        </w:rPr>
        <w:t>MINIMALI INFORMACIJA ANT LIZDINIŲ plokštelių ARBA dvisluoksnių juostelių</w:t>
      </w:r>
    </w:p>
    <w:p w14:paraId="5A08AE6D"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caps/>
          <w:color w:val="000000"/>
          <w:sz w:val="22"/>
          <w:szCs w:val="22"/>
        </w:rPr>
      </w:pPr>
    </w:p>
    <w:p w14:paraId="1A186A29"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lizdinės plokštelės</w:t>
      </w:r>
    </w:p>
    <w:p w14:paraId="35AD6336" w14:textId="77777777" w:rsidR="003646A0" w:rsidRPr="00F93FFA" w:rsidRDefault="003646A0" w:rsidP="00DE16D0">
      <w:pPr>
        <w:widowControl w:val="0"/>
        <w:ind w:left="567" w:hanging="567"/>
        <w:rPr>
          <w:caps/>
          <w:color w:val="000000"/>
          <w:sz w:val="22"/>
          <w:szCs w:val="22"/>
        </w:rPr>
      </w:pPr>
    </w:p>
    <w:p w14:paraId="57C3F0EC" w14:textId="77777777" w:rsidR="003646A0" w:rsidRPr="00F93FFA" w:rsidRDefault="003646A0" w:rsidP="00DE16D0">
      <w:pPr>
        <w:widowControl w:val="0"/>
        <w:ind w:left="567" w:hanging="567"/>
        <w:rPr>
          <w:caps/>
          <w:color w:val="000000"/>
          <w:sz w:val="22"/>
          <w:szCs w:val="22"/>
        </w:rPr>
      </w:pPr>
    </w:p>
    <w:p w14:paraId="12FE739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1.</w:t>
      </w:r>
      <w:r w:rsidRPr="00F93FFA">
        <w:rPr>
          <w:b/>
          <w:caps/>
          <w:color w:val="000000"/>
          <w:sz w:val="22"/>
          <w:szCs w:val="22"/>
        </w:rPr>
        <w:tab/>
        <w:t>Vaistinio preparato pavadinimas</w:t>
      </w:r>
    </w:p>
    <w:p w14:paraId="46A42F62" w14:textId="77777777" w:rsidR="003646A0" w:rsidRPr="00F93FFA" w:rsidRDefault="003646A0" w:rsidP="00DE16D0">
      <w:pPr>
        <w:widowControl w:val="0"/>
        <w:ind w:left="567" w:hanging="567"/>
        <w:rPr>
          <w:color w:val="000000"/>
          <w:sz w:val="22"/>
          <w:szCs w:val="22"/>
        </w:rPr>
      </w:pPr>
    </w:p>
    <w:p w14:paraId="23BA94CD" w14:textId="77777777" w:rsidR="003646A0" w:rsidRPr="00F93FFA" w:rsidRDefault="003646A0" w:rsidP="00DE16D0">
      <w:pPr>
        <w:widowControl w:val="0"/>
        <w:ind w:left="567" w:hanging="567"/>
        <w:rPr>
          <w:color w:val="000000"/>
          <w:sz w:val="22"/>
          <w:szCs w:val="22"/>
        </w:rPr>
      </w:pPr>
      <w:r w:rsidRPr="00F93FFA">
        <w:rPr>
          <w:caps/>
          <w:color w:val="000000"/>
          <w:sz w:val="22"/>
          <w:szCs w:val="22"/>
        </w:rPr>
        <w:t>G</w:t>
      </w:r>
      <w:r w:rsidRPr="00F93FFA">
        <w:rPr>
          <w:color w:val="000000"/>
          <w:sz w:val="22"/>
          <w:szCs w:val="22"/>
        </w:rPr>
        <w:t>livec 400 mg tabletės</w:t>
      </w:r>
    </w:p>
    <w:p w14:paraId="47EB39EA" w14:textId="0F2B3854" w:rsidR="003646A0" w:rsidRPr="005205BF" w:rsidRDefault="006846B3" w:rsidP="00DE16D0">
      <w:pPr>
        <w:widowControl w:val="0"/>
        <w:ind w:left="567" w:hanging="567"/>
        <w:rPr>
          <w:i/>
          <w:color w:val="000000"/>
          <w:sz w:val="22"/>
          <w:szCs w:val="22"/>
        </w:rPr>
      </w:pPr>
      <w:r w:rsidRPr="005205BF">
        <w:rPr>
          <w:i/>
          <w:color w:val="000000"/>
          <w:sz w:val="22"/>
          <w:szCs w:val="22"/>
        </w:rPr>
        <w:t>i</w:t>
      </w:r>
      <w:r w:rsidR="003646A0" w:rsidRPr="005205BF">
        <w:rPr>
          <w:i/>
          <w:color w:val="000000"/>
          <w:sz w:val="22"/>
          <w:szCs w:val="22"/>
        </w:rPr>
        <w:t>matinib</w:t>
      </w:r>
      <w:r w:rsidR="00AE7200" w:rsidRPr="005205BF">
        <w:rPr>
          <w:i/>
          <w:color w:val="000000"/>
          <w:sz w:val="22"/>
          <w:szCs w:val="22"/>
        </w:rPr>
        <w:t>um</w:t>
      </w:r>
    </w:p>
    <w:p w14:paraId="26199DC0" w14:textId="77777777" w:rsidR="003646A0" w:rsidRPr="00F93FFA" w:rsidRDefault="003646A0" w:rsidP="00DE16D0">
      <w:pPr>
        <w:widowControl w:val="0"/>
        <w:ind w:left="567" w:hanging="567"/>
        <w:rPr>
          <w:color w:val="000000"/>
          <w:sz w:val="22"/>
          <w:szCs w:val="22"/>
        </w:rPr>
      </w:pPr>
    </w:p>
    <w:p w14:paraId="3FC59D20" w14:textId="77777777" w:rsidR="003646A0" w:rsidRPr="00F93FFA" w:rsidRDefault="003646A0" w:rsidP="00DE16D0">
      <w:pPr>
        <w:widowControl w:val="0"/>
        <w:ind w:left="567" w:hanging="567"/>
        <w:rPr>
          <w:color w:val="000000"/>
          <w:sz w:val="22"/>
          <w:szCs w:val="22"/>
        </w:rPr>
      </w:pPr>
    </w:p>
    <w:p w14:paraId="1B29AE5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2.</w:t>
      </w:r>
      <w:r w:rsidRPr="00F93FFA">
        <w:rPr>
          <w:b/>
          <w:color w:val="000000"/>
          <w:sz w:val="22"/>
          <w:szCs w:val="22"/>
        </w:rPr>
        <w:tab/>
      </w:r>
      <w:r w:rsidR="00AE7200" w:rsidRPr="00F93FFA">
        <w:rPr>
          <w:b/>
          <w:caps/>
          <w:color w:val="000000"/>
          <w:sz w:val="22"/>
          <w:szCs w:val="22"/>
          <w:lang w:bidi="lt-LT"/>
        </w:rPr>
        <w:t>REGISTRUOTOJO PAVADINIMAS</w:t>
      </w:r>
    </w:p>
    <w:p w14:paraId="29111D2A" w14:textId="77777777" w:rsidR="003646A0" w:rsidRPr="00F93FFA" w:rsidRDefault="003646A0" w:rsidP="00DE16D0">
      <w:pPr>
        <w:widowControl w:val="0"/>
        <w:ind w:left="567" w:hanging="567"/>
        <w:rPr>
          <w:color w:val="000000"/>
          <w:sz w:val="22"/>
          <w:szCs w:val="22"/>
        </w:rPr>
      </w:pPr>
    </w:p>
    <w:p w14:paraId="10988F88" w14:textId="77777777" w:rsidR="003646A0" w:rsidRPr="00F93FFA" w:rsidRDefault="003646A0" w:rsidP="00DE16D0">
      <w:pPr>
        <w:widowControl w:val="0"/>
        <w:ind w:left="567" w:hanging="567"/>
        <w:rPr>
          <w:color w:val="000000"/>
          <w:sz w:val="22"/>
          <w:szCs w:val="22"/>
        </w:rPr>
      </w:pPr>
      <w:r w:rsidRPr="00F93FFA">
        <w:rPr>
          <w:color w:val="000000"/>
          <w:sz w:val="22"/>
          <w:szCs w:val="22"/>
        </w:rPr>
        <w:t>Novartis Europharm Limited</w:t>
      </w:r>
    </w:p>
    <w:p w14:paraId="47C6FB85" w14:textId="77777777" w:rsidR="003646A0" w:rsidRPr="00F93FFA" w:rsidRDefault="003646A0" w:rsidP="00DE16D0">
      <w:pPr>
        <w:widowControl w:val="0"/>
        <w:ind w:left="567" w:hanging="567"/>
        <w:rPr>
          <w:color w:val="000000"/>
          <w:sz w:val="22"/>
          <w:szCs w:val="22"/>
        </w:rPr>
      </w:pPr>
    </w:p>
    <w:p w14:paraId="37ABF01D" w14:textId="77777777" w:rsidR="003646A0" w:rsidRPr="00F93FFA" w:rsidRDefault="003646A0" w:rsidP="00DE16D0">
      <w:pPr>
        <w:widowControl w:val="0"/>
        <w:ind w:left="567" w:hanging="567"/>
        <w:rPr>
          <w:color w:val="000000"/>
          <w:sz w:val="22"/>
          <w:szCs w:val="22"/>
        </w:rPr>
      </w:pPr>
    </w:p>
    <w:p w14:paraId="5A27575C"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olor w:val="000000"/>
          <w:sz w:val="22"/>
          <w:szCs w:val="22"/>
        </w:rPr>
        <w:t>3.</w:t>
      </w:r>
      <w:r w:rsidRPr="00F93FFA">
        <w:rPr>
          <w:b/>
          <w:color w:val="000000"/>
          <w:sz w:val="22"/>
          <w:szCs w:val="22"/>
        </w:rPr>
        <w:tab/>
      </w:r>
      <w:r w:rsidRPr="00F93FFA">
        <w:rPr>
          <w:b/>
          <w:caps/>
          <w:color w:val="000000"/>
          <w:sz w:val="22"/>
          <w:szCs w:val="22"/>
        </w:rPr>
        <w:t>tinkamumo laikas</w:t>
      </w:r>
    </w:p>
    <w:p w14:paraId="324F418F" w14:textId="77777777" w:rsidR="003646A0" w:rsidRPr="00F93FFA" w:rsidRDefault="003646A0" w:rsidP="00DE16D0">
      <w:pPr>
        <w:widowControl w:val="0"/>
        <w:ind w:left="567" w:hanging="567"/>
        <w:rPr>
          <w:color w:val="000000"/>
          <w:sz w:val="22"/>
          <w:szCs w:val="22"/>
        </w:rPr>
      </w:pPr>
    </w:p>
    <w:p w14:paraId="2592DC53" w14:textId="77777777" w:rsidR="003646A0" w:rsidRPr="00F93FFA" w:rsidRDefault="003646A0" w:rsidP="00DE16D0">
      <w:pPr>
        <w:widowControl w:val="0"/>
        <w:ind w:left="567" w:hanging="567"/>
        <w:rPr>
          <w:color w:val="000000"/>
          <w:sz w:val="22"/>
          <w:szCs w:val="22"/>
        </w:rPr>
      </w:pPr>
      <w:r w:rsidRPr="00F93FFA">
        <w:rPr>
          <w:color w:val="000000"/>
          <w:sz w:val="22"/>
          <w:szCs w:val="22"/>
        </w:rPr>
        <w:t>EXP</w:t>
      </w:r>
    </w:p>
    <w:p w14:paraId="0E1B19AC" w14:textId="77777777" w:rsidR="003646A0" w:rsidRPr="00F93FFA" w:rsidRDefault="003646A0" w:rsidP="00DE16D0">
      <w:pPr>
        <w:widowControl w:val="0"/>
        <w:ind w:left="567" w:hanging="567"/>
        <w:rPr>
          <w:color w:val="000000"/>
          <w:sz w:val="22"/>
          <w:szCs w:val="22"/>
        </w:rPr>
      </w:pPr>
    </w:p>
    <w:p w14:paraId="40B493D5" w14:textId="77777777" w:rsidR="003646A0" w:rsidRPr="00F93FFA" w:rsidRDefault="003646A0" w:rsidP="00DE16D0">
      <w:pPr>
        <w:widowControl w:val="0"/>
        <w:ind w:left="567" w:hanging="567"/>
        <w:rPr>
          <w:color w:val="000000"/>
          <w:sz w:val="22"/>
          <w:szCs w:val="22"/>
        </w:rPr>
      </w:pPr>
    </w:p>
    <w:p w14:paraId="6A981CA1"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4.</w:t>
      </w:r>
      <w:r w:rsidRPr="00F93FFA">
        <w:rPr>
          <w:b/>
          <w:caps/>
          <w:color w:val="000000"/>
          <w:sz w:val="22"/>
          <w:szCs w:val="22"/>
        </w:rPr>
        <w:tab/>
        <w:t>serijos numeris</w:t>
      </w:r>
    </w:p>
    <w:p w14:paraId="688F4CEA" w14:textId="77777777" w:rsidR="003646A0" w:rsidRPr="00F93FFA" w:rsidRDefault="003646A0" w:rsidP="00DE16D0">
      <w:pPr>
        <w:widowControl w:val="0"/>
        <w:ind w:left="567" w:hanging="567"/>
        <w:rPr>
          <w:color w:val="000000"/>
          <w:sz w:val="22"/>
          <w:szCs w:val="22"/>
        </w:rPr>
      </w:pPr>
    </w:p>
    <w:p w14:paraId="5C869395" w14:textId="77777777" w:rsidR="003646A0" w:rsidRPr="00F93FFA" w:rsidRDefault="003646A0" w:rsidP="00DE16D0">
      <w:pPr>
        <w:widowControl w:val="0"/>
        <w:ind w:left="567" w:hanging="567"/>
        <w:rPr>
          <w:color w:val="000000"/>
          <w:sz w:val="22"/>
          <w:szCs w:val="22"/>
        </w:rPr>
      </w:pPr>
      <w:r w:rsidRPr="00F93FFA">
        <w:rPr>
          <w:color w:val="000000"/>
          <w:sz w:val="22"/>
          <w:szCs w:val="22"/>
        </w:rPr>
        <w:t>Lot</w:t>
      </w:r>
    </w:p>
    <w:p w14:paraId="31D8AE85" w14:textId="77777777" w:rsidR="003646A0" w:rsidRPr="00F93FFA" w:rsidRDefault="003646A0" w:rsidP="00DE16D0">
      <w:pPr>
        <w:widowControl w:val="0"/>
        <w:ind w:left="567" w:hanging="567"/>
        <w:rPr>
          <w:color w:val="000000"/>
          <w:sz w:val="22"/>
          <w:szCs w:val="22"/>
        </w:rPr>
      </w:pPr>
    </w:p>
    <w:p w14:paraId="60ABF3AA" w14:textId="77777777" w:rsidR="003646A0" w:rsidRPr="00F93FFA" w:rsidRDefault="003646A0" w:rsidP="00DE16D0">
      <w:pPr>
        <w:widowControl w:val="0"/>
        <w:ind w:left="567" w:hanging="567"/>
        <w:rPr>
          <w:color w:val="000000"/>
          <w:sz w:val="22"/>
          <w:szCs w:val="22"/>
        </w:rPr>
      </w:pPr>
    </w:p>
    <w:p w14:paraId="3FAFA84F" w14:textId="77777777" w:rsidR="003646A0" w:rsidRPr="00F93FFA" w:rsidRDefault="003646A0" w:rsidP="00DE16D0">
      <w:pPr>
        <w:widowControl w:val="0"/>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F93FFA">
        <w:rPr>
          <w:b/>
          <w:caps/>
          <w:color w:val="000000"/>
          <w:sz w:val="22"/>
          <w:szCs w:val="22"/>
        </w:rPr>
        <w:t>5.</w:t>
      </w:r>
      <w:r w:rsidRPr="00F93FFA">
        <w:rPr>
          <w:b/>
          <w:caps/>
          <w:color w:val="000000"/>
          <w:sz w:val="22"/>
          <w:szCs w:val="22"/>
        </w:rPr>
        <w:tab/>
        <w:t>KITA</w:t>
      </w:r>
    </w:p>
    <w:p w14:paraId="50D8B996" w14:textId="77777777" w:rsidR="003646A0" w:rsidRPr="00F93FFA" w:rsidRDefault="003646A0" w:rsidP="00DE16D0">
      <w:pPr>
        <w:widowControl w:val="0"/>
        <w:ind w:left="567" w:hanging="567"/>
        <w:rPr>
          <w:color w:val="000000"/>
          <w:sz w:val="22"/>
          <w:szCs w:val="22"/>
        </w:rPr>
      </w:pPr>
    </w:p>
    <w:p w14:paraId="255495FF" w14:textId="77777777" w:rsidR="003646A0" w:rsidRPr="00F93FFA" w:rsidRDefault="003646A0" w:rsidP="00DE16D0">
      <w:pPr>
        <w:widowControl w:val="0"/>
        <w:ind w:left="567" w:hanging="567"/>
        <w:rPr>
          <w:color w:val="000000"/>
          <w:sz w:val="22"/>
          <w:szCs w:val="22"/>
        </w:rPr>
      </w:pPr>
      <w:r w:rsidRPr="00F93FFA">
        <w:rPr>
          <w:color w:val="000000"/>
          <w:sz w:val="22"/>
          <w:szCs w:val="22"/>
        </w:rPr>
        <w:br w:type="page"/>
      </w:r>
    </w:p>
    <w:p w14:paraId="390B1DB2" w14:textId="77777777" w:rsidR="003646A0" w:rsidRPr="00F93FFA" w:rsidRDefault="003646A0" w:rsidP="00DE16D0">
      <w:pPr>
        <w:widowControl w:val="0"/>
        <w:ind w:left="567" w:hanging="567"/>
        <w:rPr>
          <w:color w:val="000000"/>
          <w:sz w:val="22"/>
          <w:szCs w:val="22"/>
        </w:rPr>
      </w:pPr>
    </w:p>
    <w:p w14:paraId="7A7F0922" w14:textId="77777777" w:rsidR="003646A0" w:rsidRPr="00F93FFA" w:rsidRDefault="003646A0" w:rsidP="00DE16D0">
      <w:pPr>
        <w:widowControl w:val="0"/>
        <w:ind w:left="567" w:hanging="567"/>
        <w:rPr>
          <w:color w:val="000000"/>
          <w:sz w:val="22"/>
          <w:szCs w:val="22"/>
        </w:rPr>
      </w:pPr>
    </w:p>
    <w:p w14:paraId="768E4486" w14:textId="77777777" w:rsidR="003646A0" w:rsidRPr="00F93FFA" w:rsidRDefault="003646A0" w:rsidP="00DE16D0">
      <w:pPr>
        <w:widowControl w:val="0"/>
        <w:ind w:left="567" w:hanging="567"/>
        <w:rPr>
          <w:color w:val="000000"/>
          <w:sz w:val="22"/>
          <w:szCs w:val="22"/>
        </w:rPr>
      </w:pPr>
    </w:p>
    <w:p w14:paraId="4AE7CD87" w14:textId="77777777" w:rsidR="003646A0" w:rsidRPr="00F93FFA" w:rsidRDefault="003646A0" w:rsidP="00DE16D0">
      <w:pPr>
        <w:widowControl w:val="0"/>
        <w:ind w:left="567" w:hanging="567"/>
        <w:rPr>
          <w:color w:val="000000"/>
          <w:sz w:val="22"/>
          <w:szCs w:val="22"/>
        </w:rPr>
      </w:pPr>
    </w:p>
    <w:p w14:paraId="39C48FD5" w14:textId="77777777" w:rsidR="003646A0" w:rsidRPr="00F93FFA" w:rsidRDefault="003646A0" w:rsidP="00DE16D0">
      <w:pPr>
        <w:widowControl w:val="0"/>
        <w:ind w:left="567" w:hanging="567"/>
        <w:rPr>
          <w:color w:val="000000"/>
          <w:sz w:val="22"/>
          <w:szCs w:val="22"/>
        </w:rPr>
      </w:pPr>
    </w:p>
    <w:p w14:paraId="44CEA569" w14:textId="77777777" w:rsidR="003646A0" w:rsidRPr="00F93FFA" w:rsidRDefault="003646A0" w:rsidP="00DE16D0">
      <w:pPr>
        <w:widowControl w:val="0"/>
        <w:ind w:left="567" w:hanging="567"/>
        <w:rPr>
          <w:color w:val="000000"/>
          <w:sz w:val="22"/>
          <w:szCs w:val="22"/>
        </w:rPr>
      </w:pPr>
    </w:p>
    <w:p w14:paraId="46AC8E7A" w14:textId="77777777" w:rsidR="003646A0" w:rsidRPr="00F93FFA" w:rsidRDefault="003646A0" w:rsidP="00DE16D0">
      <w:pPr>
        <w:widowControl w:val="0"/>
        <w:ind w:left="567" w:hanging="567"/>
        <w:rPr>
          <w:color w:val="000000"/>
          <w:sz w:val="22"/>
          <w:szCs w:val="22"/>
        </w:rPr>
      </w:pPr>
    </w:p>
    <w:p w14:paraId="64E2B649" w14:textId="77777777" w:rsidR="003646A0" w:rsidRPr="00F93FFA" w:rsidRDefault="003646A0" w:rsidP="00DE16D0">
      <w:pPr>
        <w:widowControl w:val="0"/>
        <w:ind w:left="567" w:hanging="567"/>
        <w:rPr>
          <w:color w:val="000000"/>
          <w:sz w:val="22"/>
          <w:szCs w:val="22"/>
        </w:rPr>
      </w:pPr>
    </w:p>
    <w:p w14:paraId="6877F1CC" w14:textId="77777777" w:rsidR="003646A0" w:rsidRPr="00F93FFA" w:rsidRDefault="003646A0" w:rsidP="00DE16D0">
      <w:pPr>
        <w:widowControl w:val="0"/>
        <w:ind w:left="567" w:hanging="567"/>
        <w:rPr>
          <w:color w:val="000000"/>
          <w:sz w:val="22"/>
          <w:szCs w:val="22"/>
        </w:rPr>
      </w:pPr>
    </w:p>
    <w:p w14:paraId="5C8412CC" w14:textId="77777777" w:rsidR="003646A0" w:rsidRPr="00F93FFA" w:rsidRDefault="003646A0" w:rsidP="00DE16D0">
      <w:pPr>
        <w:widowControl w:val="0"/>
        <w:ind w:left="567" w:hanging="567"/>
        <w:rPr>
          <w:color w:val="000000"/>
          <w:sz w:val="22"/>
          <w:szCs w:val="22"/>
        </w:rPr>
      </w:pPr>
    </w:p>
    <w:p w14:paraId="51D20755" w14:textId="77777777" w:rsidR="003646A0" w:rsidRPr="00F93FFA" w:rsidRDefault="003646A0" w:rsidP="00DE16D0">
      <w:pPr>
        <w:widowControl w:val="0"/>
        <w:ind w:left="567" w:hanging="567"/>
        <w:rPr>
          <w:color w:val="000000"/>
          <w:sz w:val="22"/>
          <w:szCs w:val="22"/>
        </w:rPr>
      </w:pPr>
    </w:p>
    <w:p w14:paraId="01701EF3" w14:textId="77777777" w:rsidR="003646A0" w:rsidRPr="00F93FFA" w:rsidRDefault="003646A0" w:rsidP="00DE16D0">
      <w:pPr>
        <w:widowControl w:val="0"/>
        <w:ind w:left="567" w:hanging="567"/>
        <w:rPr>
          <w:color w:val="000000"/>
          <w:sz w:val="22"/>
          <w:szCs w:val="22"/>
        </w:rPr>
      </w:pPr>
    </w:p>
    <w:p w14:paraId="4560064D" w14:textId="77777777" w:rsidR="003646A0" w:rsidRPr="00F93FFA" w:rsidRDefault="003646A0" w:rsidP="00DE16D0">
      <w:pPr>
        <w:widowControl w:val="0"/>
        <w:ind w:left="567" w:hanging="567"/>
        <w:rPr>
          <w:color w:val="000000"/>
          <w:sz w:val="22"/>
          <w:szCs w:val="22"/>
        </w:rPr>
      </w:pPr>
    </w:p>
    <w:p w14:paraId="0FDE9064" w14:textId="77777777" w:rsidR="003646A0" w:rsidRPr="00F93FFA" w:rsidRDefault="003646A0" w:rsidP="00DE16D0">
      <w:pPr>
        <w:widowControl w:val="0"/>
        <w:ind w:left="567" w:hanging="567"/>
        <w:rPr>
          <w:color w:val="000000"/>
          <w:sz w:val="22"/>
          <w:szCs w:val="22"/>
        </w:rPr>
      </w:pPr>
    </w:p>
    <w:p w14:paraId="68561827" w14:textId="77777777" w:rsidR="003646A0" w:rsidRPr="00F93FFA" w:rsidRDefault="003646A0" w:rsidP="00DE16D0">
      <w:pPr>
        <w:widowControl w:val="0"/>
        <w:ind w:left="567" w:hanging="567"/>
        <w:rPr>
          <w:color w:val="000000"/>
          <w:sz w:val="22"/>
          <w:szCs w:val="22"/>
        </w:rPr>
      </w:pPr>
    </w:p>
    <w:p w14:paraId="49E9897A" w14:textId="77777777" w:rsidR="00D82342" w:rsidRPr="00F93FFA" w:rsidRDefault="00D82342" w:rsidP="00DE16D0">
      <w:pPr>
        <w:widowControl w:val="0"/>
        <w:ind w:left="567" w:hanging="567"/>
        <w:rPr>
          <w:color w:val="000000"/>
          <w:sz w:val="22"/>
          <w:szCs w:val="22"/>
        </w:rPr>
      </w:pPr>
    </w:p>
    <w:p w14:paraId="1F4BEA15" w14:textId="77777777" w:rsidR="003646A0" w:rsidRPr="00F93FFA" w:rsidRDefault="003646A0" w:rsidP="00DE16D0">
      <w:pPr>
        <w:widowControl w:val="0"/>
        <w:ind w:left="567" w:hanging="567"/>
        <w:rPr>
          <w:color w:val="000000"/>
          <w:sz w:val="22"/>
          <w:szCs w:val="22"/>
        </w:rPr>
      </w:pPr>
    </w:p>
    <w:p w14:paraId="3E5FFC86" w14:textId="77777777" w:rsidR="003646A0" w:rsidRPr="00F93FFA" w:rsidRDefault="003646A0" w:rsidP="00DE16D0">
      <w:pPr>
        <w:widowControl w:val="0"/>
        <w:ind w:left="567" w:hanging="567"/>
        <w:rPr>
          <w:color w:val="000000"/>
          <w:sz w:val="22"/>
          <w:szCs w:val="22"/>
        </w:rPr>
      </w:pPr>
    </w:p>
    <w:p w14:paraId="036772CE" w14:textId="77777777" w:rsidR="003646A0" w:rsidRPr="00F93FFA" w:rsidRDefault="003646A0" w:rsidP="00DE16D0">
      <w:pPr>
        <w:widowControl w:val="0"/>
        <w:ind w:left="567" w:hanging="567"/>
        <w:rPr>
          <w:color w:val="000000"/>
          <w:sz w:val="22"/>
          <w:szCs w:val="22"/>
        </w:rPr>
      </w:pPr>
    </w:p>
    <w:p w14:paraId="32ABFF4F" w14:textId="77777777" w:rsidR="003646A0" w:rsidRPr="00F93FFA" w:rsidRDefault="003646A0" w:rsidP="00DE16D0">
      <w:pPr>
        <w:widowControl w:val="0"/>
        <w:ind w:left="567" w:hanging="567"/>
        <w:rPr>
          <w:color w:val="000000"/>
          <w:sz w:val="22"/>
          <w:szCs w:val="22"/>
        </w:rPr>
      </w:pPr>
    </w:p>
    <w:p w14:paraId="0B6E5591" w14:textId="77777777" w:rsidR="003646A0" w:rsidRPr="00F93FFA" w:rsidRDefault="003646A0" w:rsidP="00DE16D0">
      <w:pPr>
        <w:widowControl w:val="0"/>
        <w:ind w:left="567" w:hanging="567"/>
        <w:rPr>
          <w:color w:val="000000"/>
          <w:sz w:val="22"/>
          <w:szCs w:val="22"/>
        </w:rPr>
      </w:pPr>
    </w:p>
    <w:p w14:paraId="22D54351" w14:textId="77777777" w:rsidR="003646A0" w:rsidRPr="00F93FFA" w:rsidRDefault="003646A0" w:rsidP="00DE16D0">
      <w:pPr>
        <w:widowControl w:val="0"/>
        <w:ind w:left="567" w:hanging="567"/>
        <w:rPr>
          <w:color w:val="000000"/>
          <w:sz w:val="22"/>
          <w:szCs w:val="22"/>
        </w:rPr>
      </w:pPr>
    </w:p>
    <w:p w14:paraId="6A843145" w14:textId="77777777" w:rsidR="003646A0" w:rsidRPr="00F93FFA" w:rsidRDefault="003646A0" w:rsidP="00DE16D0">
      <w:pPr>
        <w:widowControl w:val="0"/>
        <w:ind w:left="567" w:hanging="567"/>
        <w:rPr>
          <w:color w:val="000000"/>
          <w:sz w:val="22"/>
          <w:szCs w:val="22"/>
        </w:rPr>
      </w:pPr>
    </w:p>
    <w:p w14:paraId="6C6322C5" w14:textId="77777777" w:rsidR="003646A0" w:rsidRPr="00F93FFA" w:rsidRDefault="003646A0" w:rsidP="00DE16D0">
      <w:pPr>
        <w:widowControl w:val="0"/>
        <w:ind w:left="567" w:hanging="567"/>
        <w:jc w:val="center"/>
        <w:rPr>
          <w:b/>
          <w:caps/>
          <w:color w:val="000000"/>
          <w:sz w:val="22"/>
          <w:szCs w:val="22"/>
        </w:rPr>
      </w:pPr>
      <w:r w:rsidRPr="00F93FFA">
        <w:rPr>
          <w:b/>
          <w:caps/>
          <w:color w:val="000000"/>
          <w:sz w:val="22"/>
          <w:szCs w:val="22"/>
        </w:rPr>
        <w:t>B. PAKUOTĖS lapelis</w:t>
      </w:r>
    </w:p>
    <w:p w14:paraId="4065FB49" w14:textId="77777777" w:rsidR="003646A0" w:rsidRPr="00F93FFA" w:rsidRDefault="003646A0" w:rsidP="00DE16D0">
      <w:pPr>
        <w:widowControl w:val="0"/>
        <w:jc w:val="center"/>
        <w:rPr>
          <w:b/>
          <w:caps/>
          <w:color w:val="000000"/>
          <w:sz w:val="22"/>
          <w:szCs w:val="22"/>
        </w:rPr>
      </w:pPr>
      <w:r w:rsidRPr="00F93FFA">
        <w:rPr>
          <w:color w:val="000000"/>
          <w:sz w:val="22"/>
          <w:szCs w:val="22"/>
        </w:rPr>
        <w:br w:type="page"/>
      </w:r>
      <w:r w:rsidRPr="00F93FFA">
        <w:rPr>
          <w:b/>
          <w:color w:val="000000"/>
          <w:sz w:val="22"/>
          <w:szCs w:val="22"/>
        </w:rPr>
        <w:lastRenderedPageBreak/>
        <w:t>Pakuotės lapelis: informacija vartotojui</w:t>
      </w:r>
    </w:p>
    <w:p w14:paraId="2365F8D6" w14:textId="77777777" w:rsidR="003646A0" w:rsidRPr="00F93FFA" w:rsidRDefault="003646A0" w:rsidP="00DE16D0">
      <w:pPr>
        <w:widowControl w:val="0"/>
        <w:ind w:left="567" w:hanging="567"/>
        <w:jc w:val="center"/>
        <w:rPr>
          <w:color w:val="000000"/>
          <w:sz w:val="22"/>
          <w:szCs w:val="22"/>
        </w:rPr>
      </w:pPr>
    </w:p>
    <w:p w14:paraId="1A07F100" w14:textId="77777777" w:rsidR="003646A0" w:rsidRPr="00F93FFA" w:rsidRDefault="003646A0" w:rsidP="00DE16D0">
      <w:pPr>
        <w:widowControl w:val="0"/>
        <w:ind w:left="567" w:hanging="567"/>
        <w:jc w:val="center"/>
        <w:rPr>
          <w:b/>
          <w:color w:val="000000"/>
          <w:sz w:val="22"/>
          <w:szCs w:val="22"/>
        </w:rPr>
      </w:pPr>
      <w:r w:rsidRPr="00F93FFA">
        <w:rPr>
          <w:b/>
          <w:color w:val="000000"/>
          <w:sz w:val="22"/>
          <w:szCs w:val="22"/>
        </w:rPr>
        <w:t>Glivec 100 mg kietos</w:t>
      </w:r>
      <w:r w:rsidR="002A6D9B" w:rsidRPr="00F93FFA">
        <w:rPr>
          <w:b/>
          <w:color w:val="000000"/>
          <w:sz w:val="22"/>
          <w:szCs w:val="22"/>
        </w:rPr>
        <w:t>ios</w:t>
      </w:r>
      <w:r w:rsidRPr="00F93FFA">
        <w:rPr>
          <w:b/>
          <w:color w:val="000000"/>
          <w:sz w:val="22"/>
          <w:szCs w:val="22"/>
        </w:rPr>
        <w:t xml:space="preserve"> kapsulės</w:t>
      </w:r>
    </w:p>
    <w:p w14:paraId="3DB55CE0" w14:textId="4F361C21" w:rsidR="003646A0" w:rsidRPr="00F93FFA" w:rsidRDefault="006846B3" w:rsidP="00DE16D0">
      <w:pPr>
        <w:widowControl w:val="0"/>
        <w:ind w:left="567" w:hanging="567"/>
        <w:jc w:val="center"/>
        <w:rPr>
          <w:color w:val="000000"/>
          <w:sz w:val="22"/>
          <w:szCs w:val="22"/>
        </w:rPr>
      </w:pPr>
      <w:r w:rsidRPr="00F93FFA">
        <w:rPr>
          <w:color w:val="000000"/>
          <w:sz w:val="22"/>
          <w:szCs w:val="22"/>
        </w:rPr>
        <w:t>i</w:t>
      </w:r>
      <w:r w:rsidR="003646A0" w:rsidRPr="00F93FFA">
        <w:rPr>
          <w:color w:val="000000"/>
          <w:sz w:val="22"/>
          <w:szCs w:val="22"/>
        </w:rPr>
        <w:t>matinibas</w:t>
      </w:r>
      <w:r w:rsidR="00510466" w:rsidRPr="00F93FFA">
        <w:rPr>
          <w:color w:val="000000"/>
          <w:sz w:val="22"/>
          <w:szCs w:val="22"/>
        </w:rPr>
        <w:t xml:space="preserve"> (</w:t>
      </w:r>
      <w:r w:rsidRPr="00F93FFA">
        <w:rPr>
          <w:i/>
          <w:color w:val="000000"/>
          <w:sz w:val="22"/>
          <w:szCs w:val="22"/>
        </w:rPr>
        <w:t>i</w:t>
      </w:r>
      <w:r w:rsidR="00510466" w:rsidRPr="00F93FFA">
        <w:rPr>
          <w:i/>
          <w:color w:val="000000"/>
          <w:sz w:val="22"/>
          <w:szCs w:val="22"/>
        </w:rPr>
        <w:t>matinibum</w:t>
      </w:r>
      <w:r w:rsidR="00510466" w:rsidRPr="00F93FFA">
        <w:rPr>
          <w:color w:val="000000"/>
          <w:sz w:val="22"/>
          <w:szCs w:val="22"/>
        </w:rPr>
        <w:t>)</w:t>
      </w:r>
    </w:p>
    <w:p w14:paraId="71B8C8FA" w14:textId="77777777" w:rsidR="003646A0" w:rsidRPr="00F93FFA" w:rsidRDefault="003646A0" w:rsidP="00DE16D0">
      <w:pPr>
        <w:widowControl w:val="0"/>
        <w:ind w:left="567" w:hanging="567"/>
        <w:jc w:val="center"/>
        <w:rPr>
          <w:color w:val="000000"/>
          <w:sz w:val="22"/>
          <w:szCs w:val="22"/>
        </w:rPr>
      </w:pPr>
    </w:p>
    <w:p w14:paraId="59030339" w14:textId="77777777" w:rsidR="001608BA" w:rsidRPr="00F93FFA" w:rsidRDefault="00C3077F" w:rsidP="00DE16D0">
      <w:pPr>
        <w:widowControl w:val="0"/>
        <w:tabs>
          <w:tab w:val="left" w:pos="567"/>
        </w:tabs>
        <w:rPr>
          <w:snapToGrid w:val="0"/>
          <w:sz w:val="22"/>
        </w:rPr>
      </w:pPr>
      <w:r w:rsidRPr="00F93FFA">
        <w:rPr>
          <w:noProof/>
          <w:snapToGrid w:val="0"/>
          <w:sz w:val="22"/>
          <w:szCs w:val="20"/>
          <w:lang w:val="en-US"/>
        </w:rPr>
        <w:drawing>
          <wp:inline distT="0" distB="0" distL="0" distR="0" wp14:anchorId="6784B93C" wp14:editId="69C317DF">
            <wp:extent cx="198120" cy="17272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1608BA" w:rsidRPr="00F93FFA">
        <w:rPr>
          <w:noProof/>
          <w:snapToGrid w:val="0"/>
          <w:sz w:val="22"/>
        </w:rPr>
        <w:t>Vykdoma papildoma šio vaisto stebėsena. Tai padės greitai nustatyti naują saugumo informaciją.</w:t>
      </w:r>
      <w:r w:rsidR="001608BA" w:rsidRPr="00F93FFA">
        <w:rPr>
          <w:snapToGrid w:val="0"/>
          <w:sz w:val="22"/>
        </w:rPr>
        <w:t xml:space="preserve"> </w:t>
      </w:r>
      <w:r w:rsidR="001608BA" w:rsidRPr="00F93FFA">
        <w:rPr>
          <w:noProof/>
          <w:snapToGrid w:val="0"/>
          <w:sz w:val="22"/>
        </w:rPr>
        <w:t>Mums galite padėti pranešdami apie bet kokį Jums pasireiškiantį šalutinį poveikį.</w:t>
      </w:r>
      <w:r w:rsidR="001608BA" w:rsidRPr="00F93FFA">
        <w:rPr>
          <w:snapToGrid w:val="0"/>
          <w:sz w:val="22"/>
        </w:rPr>
        <w:t xml:space="preserve"> </w:t>
      </w:r>
      <w:r w:rsidR="001608BA" w:rsidRPr="00F93FFA">
        <w:rPr>
          <w:noProof/>
          <w:snapToGrid w:val="0"/>
          <w:sz w:val="22"/>
        </w:rPr>
        <w:t>Apie tai, kaip pranešti apie šalutinį poveikį, žr.</w:t>
      </w:r>
      <w:r w:rsidR="001608BA" w:rsidRPr="00F93FFA">
        <w:rPr>
          <w:snapToGrid w:val="0"/>
          <w:sz w:val="22"/>
        </w:rPr>
        <w:t xml:space="preserve"> </w:t>
      </w:r>
      <w:r w:rsidR="001608BA" w:rsidRPr="00F93FFA">
        <w:rPr>
          <w:noProof/>
          <w:snapToGrid w:val="0"/>
          <w:sz w:val="22"/>
        </w:rPr>
        <w:t>4</w:t>
      </w:r>
      <w:r w:rsidR="00510466" w:rsidRPr="00F93FFA">
        <w:rPr>
          <w:noProof/>
          <w:snapToGrid w:val="0"/>
          <w:sz w:val="22"/>
        </w:rPr>
        <w:t> </w:t>
      </w:r>
      <w:r w:rsidR="001608BA" w:rsidRPr="00F93FFA">
        <w:rPr>
          <w:noProof/>
          <w:snapToGrid w:val="0"/>
          <w:sz w:val="22"/>
        </w:rPr>
        <w:t>skyriaus pabaigoje.</w:t>
      </w:r>
    </w:p>
    <w:p w14:paraId="639F8AD4" w14:textId="77777777" w:rsidR="003646A0" w:rsidRPr="00F93FFA" w:rsidRDefault="003646A0" w:rsidP="00DE16D0">
      <w:pPr>
        <w:widowControl w:val="0"/>
        <w:ind w:left="567" w:hanging="567"/>
        <w:rPr>
          <w:color w:val="000000"/>
          <w:sz w:val="22"/>
          <w:szCs w:val="22"/>
        </w:rPr>
      </w:pPr>
    </w:p>
    <w:p w14:paraId="7A9DE125" w14:textId="77777777" w:rsidR="003646A0" w:rsidRPr="00F93FFA" w:rsidRDefault="003646A0" w:rsidP="00DE16D0">
      <w:pPr>
        <w:widowControl w:val="0"/>
        <w:suppressAutoHyphens/>
        <w:rPr>
          <w:b/>
          <w:color w:val="000000"/>
          <w:sz w:val="22"/>
          <w:szCs w:val="22"/>
        </w:rPr>
      </w:pPr>
      <w:r w:rsidRPr="00F93FFA">
        <w:rPr>
          <w:b/>
          <w:noProof/>
          <w:sz w:val="22"/>
          <w:szCs w:val="22"/>
        </w:rPr>
        <w:t xml:space="preserve">Atidžiai perskaitykite visą šį lapelį, </w:t>
      </w:r>
      <w:r w:rsidRPr="00F93FFA">
        <w:rPr>
          <w:b/>
          <w:color w:val="000000"/>
          <w:sz w:val="22"/>
          <w:szCs w:val="22"/>
        </w:rPr>
        <w:t>prieš pradėdami vartoti vaistą</w:t>
      </w:r>
      <w:r w:rsidRPr="00F93FFA">
        <w:rPr>
          <w:b/>
          <w:sz w:val="22"/>
          <w:szCs w:val="22"/>
        </w:rPr>
        <w:t>, nes jame pateikiama Jums svarbi informacija</w:t>
      </w:r>
      <w:r w:rsidRPr="00F93FFA">
        <w:rPr>
          <w:b/>
          <w:color w:val="000000"/>
          <w:sz w:val="22"/>
          <w:szCs w:val="22"/>
        </w:rPr>
        <w:t>.</w:t>
      </w:r>
    </w:p>
    <w:p w14:paraId="15D34B7E" w14:textId="77777777"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Neišmeskite šio lapelio, nes vėl gali prireikti jį perskaityti.</w:t>
      </w:r>
    </w:p>
    <w:p w14:paraId="6603EEC6" w14:textId="77777777" w:rsidR="003646A0" w:rsidRPr="00F93FFA" w:rsidRDefault="003646A0" w:rsidP="00DE16D0">
      <w:pPr>
        <w:widowControl w:val="0"/>
        <w:numPr>
          <w:ilvl w:val="0"/>
          <w:numId w:val="1"/>
        </w:numPr>
        <w:rPr>
          <w:color w:val="000000"/>
          <w:sz w:val="22"/>
          <w:szCs w:val="22"/>
        </w:rPr>
      </w:pPr>
      <w:r w:rsidRPr="00F93FFA">
        <w:rPr>
          <w:color w:val="000000"/>
          <w:sz w:val="22"/>
          <w:szCs w:val="22"/>
        </w:rPr>
        <w:t>Jeigu kiltų daugiau klausimų, kreipkitės į gydytoją, vaistininką</w:t>
      </w:r>
      <w:r w:rsidRPr="00F93FFA">
        <w:rPr>
          <w:sz w:val="22"/>
          <w:szCs w:val="22"/>
        </w:rPr>
        <w:t xml:space="preserve"> arba slaugytoją</w:t>
      </w:r>
      <w:r w:rsidRPr="00F93FFA">
        <w:rPr>
          <w:color w:val="000000"/>
          <w:sz w:val="22"/>
          <w:szCs w:val="22"/>
        </w:rPr>
        <w:t>.</w:t>
      </w:r>
    </w:p>
    <w:p w14:paraId="3FEBFF24" w14:textId="77777777" w:rsidR="003646A0" w:rsidRPr="00F93FFA" w:rsidRDefault="003646A0" w:rsidP="00DE16D0">
      <w:pPr>
        <w:widowControl w:val="0"/>
        <w:numPr>
          <w:ilvl w:val="0"/>
          <w:numId w:val="1"/>
        </w:numPr>
        <w:tabs>
          <w:tab w:val="num" w:pos="540"/>
        </w:tabs>
        <w:ind w:left="540"/>
        <w:rPr>
          <w:color w:val="000000"/>
          <w:sz w:val="22"/>
          <w:szCs w:val="22"/>
        </w:rPr>
      </w:pPr>
      <w:r w:rsidRPr="00F93FFA">
        <w:rPr>
          <w:color w:val="000000"/>
          <w:sz w:val="22"/>
          <w:szCs w:val="22"/>
        </w:rPr>
        <w:t xml:space="preserve">Šis vaistas skirtas tik Jums, todėl kitiems žmonėms jo duoti negalima. Vaistas gali jiems pakenkti (net tiems, kurių ligos </w:t>
      </w:r>
      <w:r w:rsidRPr="00F93FFA">
        <w:rPr>
          <w:sz w:val="22"/>
          <w:szCs w:val="22"/>
        </w:rPr>
        <w:t xml:space="preserve">požymiai </w:t>
      </w:r>
      <w:r w:rsidRPr="00F93FFA">
        <w:rPr>
          <w:color w:val="000000"/>
          <w:sz w:val="22"/>
          <w:szCs w:val="22"/>
        </w:rPr>
        <w:t>yra tokie patys kaip Jūsų).</w:t>
      </w:r>
    </w:p>
    <w:p w14:paraId="5BA7E06B" w14:textId="77777777" w:rsidR="003646A0" w:rsidRPr="00F93FFA" w:rsidRDefault="003646A0" w:rsidP="00DE16D0">
      <w:pPr>
        <w:widowControl w:val="0"/>
        <w:numPr>
          <w:ilvl w:val="0"/>
          <w:numId w:val="1"/>
        </w:numPr>
        <w:tabs>
          <w:tab w:val="num" w:pos="540"/>
        </w:tabs>
        <w:ind w:left="540"/>
        <w:rPr>
          <w:color w:val="000000"/>
          <w:sz w:val="22"/>
          <w:szCs w:val="22"/>
        </w:rPr>
      </w:pPr>
      <w:r w:rsidRPr="00F93FFA">
        <w:rPr>
          <w:color w:val="000000"/>
          <w:sz w:val="22"/>
          <w:szCs w:val="22"/>
        </w:rPr>
        <w:t xml:space="preserve">Jeigu pasireiškė šalutinis poveikis </w:t>
      </w:r>
      <w:r w:rsidRPr="00F93FFA">
        <w:rPr>
          <w:sz w:val="22"/>
          <w:szCs w:val="22"/>
        </w:rPr>
        <w:t xml:space="preserve">(net jeigu jis šiame lapelyje nenurodytas), kreipkitės </w:t>
      </w:r>
      <w:r w:rsidRPr="00F93FFA">
        <w:rPr>
          <w:color w:val="000000"/>
          <w:sz w:val="22"/>
          <w:szCs w:val="22"/>
        </w:rPr>
        <w:t xml:space="preserve">į gydytoją, vaistininką arba </w:t>
      </w:r>
      <w:r w:rsidRPr="00F93FFA">
        <w:rPr>
          <w:sz w:val="22"/>
          <w:szCs w:val="22"/>
        </w:rPr>
        <w:t>slaugytoją</w:t>
      </w:r>
      <w:r w:rsidRPr="00F93FFA">
        <w:rPr>
          <w:color w:val="000000"/>
          <w:sz w:val="22"/>
          <w:szCs w:val="22"/>
        </w:rPr>
        <w:t>.</w:t>
      </w:r>
      <w:r w:rsidR="002A6D9B" w:rsidRPr="00F93FFA">
        <w:rPr>
          <w:color w:val="000000"/>
          <w:sz w:val="22"/>
          <w:szCs w:val="22"/>
        </w:rPr>
        <w:t xml:space="preserve"> Žr. 4</w:t>
      </w:r>
      <w:r w:rsidR="00510466" w:rsidRPr="00F93FFA">
        <w:rPr>
          <w:color w:val="000000"/>
          <w:sz w:val="22"/>
          <w:szCs w:val="22"/>
        </w:rPr>
        <w:t> </w:t>
      </w:r>
      <w:r w:rsidR="002A6D9B" w:rsidRPr="00F93FFA">
        <w:rPr>
          <w:color w:val="000000"/>
          <w:sz w:val="22"/>
          <w:szCs w:val="22"/>
        </w:rPr>
        <w:t>skyrių.</w:t>
      </w:r>
    </w:p>
    <w:p w14:paraId="525948A1" w14:textId="77777777" w:rsidR="003646A0" w:rsidRPr="00F93FFA" w:rsidRDefault="003646A0" w:rsidP="00DE16D0">
      <w:pPr>
        <w:widowControl w:val="0"/>
        <w:rPr>
          <w:color w:val="000000"/>
          <w:sz w:val="22"/>
          <w:szCs w:val="22"/>
        </w:rPr>
      </w:pPr>
    </w:p>
    <w:p w14:paraId="46442792" w14:textId="77777777" w:rsidR="003646A0" w:rsidRPr="00F93FFA" w:rsidRDefault="003646A0" w:rsidP="00DE16D0">
      <w:pPr>
        <w:widowControl w:val="0"/>
        <w:ind w:left="567" w:hanging="567"/>
        <w:rPr>
          <w:color w:val="000000"/>
          <w:sz w:val="22"/>
          <w:szCs w:val="22"/>
        </w:rPr>
      </w:pPr>
    </w:p>
    <w:p w14:paraId="3FAEF923" w14:textId="77777777" w:rsidR="003646A0" w:rsidRPr="00F93FFA" w:rsidRDefault="003646A0" w:rsidP="009A4400">
      <w:pPr>
        <w:keepNext/>
        <w:widowControl w:val="0"/>
        <w:ind w:left="567" w:hanging="567"/>
        <w:rPr>
          <w:b/>
          <w:color w:val="000000"/>
          <w:sz w:val="22"/>
          <w:szCs w:val="22"/>
        </w:rPr>
      </w:pPr>
      <w:r w:rsidRPr="00F93FFA">
        <w:rPr>
          <w:b/>
          <w:sz w:val="22"/>
          <w:szCs w:val="22"/>
        </w:rPr>
        <w:t>Apie ką rašoma šiame lapelyje?</w:t>
      </w:r>
    </w:p>
    <w:p w14:paraId="3698792D"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1.</w:t>
      </w:r>
      <w:r w:rsidRPr="00F93FFA">
        <w:rPr>
          <w:color w:val="000000"/>
          <w:sz w:val="22"/>
          <w:szCs w:val="22"/>
        </w:rPr>
        <w:tab/>
        <w:t>Kas yra Glivec ir kam jis vartojamas</w:t>
      </w:r>
    </w:p>
    <w:p w14:paraId="126D7570"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2.</w:t>
      </w:r>
      <w:r w:rsidRPr="00F93FFA">
        <w:rPr>
          <w:color w:val="000000"/>
          <w:sz w:val="22"/>
          <w:szCs w:val="22"/>
        </w:rPr>
        <w:tab/>
        <w:t>Kas žinotina prieš vartojant Glivec</w:t>
      </w:r>
    </w:p>
    <w:p w14:paraId="0C3F051C"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3.</w:t>
      </w:r>
      <w:r w:rsidRPr="00F93FFA">
        <w:rPr>
          <w:color w:val="000000"/>
          <w:sz w:val="22"/>
          <w:szCs w:val="22"/>
        </w:rPr>
        <w:tab/>
        <w:t>Kaip vartoti Glivec</w:t>
      </w:r>
    </w:p>
    <w:p w14:paraId="68B3B838"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4.</w:t>
      </w:r>
      <w:r w:rsidRPr="00F93FFA">
        <w:rPr>
          <w:color w:val="000000"/>
          <w:sz w:val="22"/>
          <w:szCs w:val="22"/>
        </w:rPr>
        <w:tab/>
        <w:t>Galimas šalutinis poveikis</w:t>
      </w:r>
    </w:p>
    <w:p w14:paraId="51AF2D43"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5.</w:t>
      </w:r>
      <w:r w:rsidRPr="00F93FFA">
        <w:rPr>
          <w:color w:val="000000"/>
          <w:sz w:val="22"/>
          <w:szCs w:val="22"/>
        </w:rPr>
        <w:tab/>
        <w:t>Kaip laikyti Glivec</w:t>
      </w:r>
    </w:p>
    <w:p w14:paraId="486832EA" w14:textId="77777777" w:rsidR="003646A0" w:rsidRPr="00F93FFA" w:rsidRDefault="003646A0" w:rsidP="00DE16D0">
      <w:pPr>
        <w:widowControl w:val="0"/>
        <w:ind w:left="567" w:hanging="567"/>
        <w:rPr>
          <w:color w:val="000000"/>
          <w:sz w:val="22"/>
          <w:szCs w:val="22"/>
        </w:rPr>
      </w:pPr>
      <w:r w:rsidRPr="00F93FFA">
        <w:rPr>
          <w:color w:val="000000"/>
          <w:sz w:val="22"/>
          <w:szCs w:val="22"/>
        </w:rPr>
        <w:t>6.</w:t>
      </w:r>
      <w:r w:rsidRPr="00F93FFA">
        <w:rPr>
          <w:color w:val="000000"/>
          <w:sz w:val="22"/>
          <w:szCs w:val="22"/>
        </w:rPr>
        <w:tab/>
      </w:r>
      <w:r w:rsidRPr="00F93FFA">
        <w:rPr>
          <w:sz w:val="22"/>
          <w:szCs w:val="22"/>
        </w:rPr>
        <w:t xml:space="preserve">Pakuotės turinys ir </w:t>
      </w:r>
      <w:r w:rsidRPr="00F93FFA">
        <w:rPr>
          <w:color w:val="000000"/>
          <w:sz w:val="22"/>
          <w:szCs w:val="22"/>
        </w:rPr>
        <w:t>kita informacija</w:t>
      </w:r>
    </w:p>
    <w:p w14:paraId="60761119" w14:textId="77777777" w:rsidR="003646A0" w:rsidRPr="00F93FFA" w:rsidRDefault="003646A0" w:rsidP="00DE16D0">
      <w:pPr>
        <w:widowControl w:val="0"/>
        <w:rPr>
          <w:color w:val="000000"/>
          <w:sz w:val="22"/>
          <w:szCs w:val="22"/>
        </w:rPr>
      </w:pPr>
    </w:p>
    <w:p w14:paraId="2C7AE0F9" w14:textId="77777777" w:rsidR="003646A0" w:rsidRPr="00F93FFA" w:rsidRDefault="003646A0" w:rsidP="00DE16D0">
      <w:pPr>
        <w:widowControl w:val="0"/>
        <w:ind w:left="567" w:hanging="567"/>
        <w:rPr>
          <w:color w:val="000000"/>
          <w:sz w:val="22"/>
          <w:szCs w:val="22"/>
        </w:rPr>
      </w:pPr>
    </w:p>
    <w:p w14:paraId="011571B9"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1.</w:t>
      </w:r>
      <w:r w:rsidRPr="00F93FFA">
        <w:rPr>
          <w:b/>
          <w:color w:val="000000"/>
          <w:sz w:val="22"/>
          <w:szCs w:val="22"/>
        </w:rPr>
        <w:tab/>
      </w:r>
      <w:r w:rsidRPr="00F93FFA">
        <w:rPr>
          <w:b/>
          <w:sz w:val="22"/>
          <w:szCs w:val="22"/>
        </w:rPr>
        <w:t xml:space="preserve">Kas yra </w:t>
      </w:r>
      <w:r w:rsidRPr="00F93FFA">
        <w:rPr>
          <w:b/>
          <w:caps/>
          <w:color w:val="000000"/>
          <w:sz w:val="22"/>
          <w:szCs w:val="22"/>
        </w:rPr>
        <w:t>G</w:t>
      </w:r>
      <w:r w:rsidRPr="00F93FFA">
        <w:rPr>
          <w:b/>
          <w:color w:val="000000"/>
          <w:sz w:val="22"/>
          <w:szCs w:val="22"/>
        </w:rPr>
        <w:t xml:space="preserve">livec </w:t>
      </w:r>
      <w:r w:rsidRPr="00F93FFA">
        <w:rPr>
          <w:b/>
          <w:sz w:val="22"/>
          <w:szCs w:val="22"/>
        </w:rPr>
        <w:t>ir kam jis vartojamas</w:t>
      </w:r>
    </w:p>
    <w:p w14:paraId="2EB881B4" w14:textId="77777777" w:rsidR="003646A0" w:rsidRPr="00F93FFA" w:rsidRDefault="003646A0" w:rsidP="009A4400">
      <w:pPr>
        <w:keepNext/>
        <w:widowControl w:val="0"/>
        <w:rPr>
          <w:color w:val="000000"/>
          <w:sz w:val="22"/>
          <w:szCs w:val="22"/>
        </w:rPr>
      </w:pPr>
    </w:p>
    <w:p w14:paraId="77549268" w14:textId="20994766" w:rsidR="003646A0" w:rsidRPr="00F93FFA" w:rsidRDefault="003646A0" w:rsidP="00DE16D0">
      <w:pPr>
        <w:widowControl w:val="0"/>
        <w:rPr>
          <w:color w:val="000000"/>
          <w:sz w:val="22"/>
          <w:szCs w:val="22"/>
        </w:rPr>
      </w:pPr>
      <w:r w:rsidRPr="00F93FFA">
        <w:rPr>
          <w:color w:val="000000"/>
          <w:sz w:val="22"/>
          <w:szCs w:val="22"/>
        </w:rPr>
        <w:t xml:space="preserve">Glivec yra </w:t>
      </w:r>
      <w:r w:rsidR="00230E00" w:rsidRPr="00F93FFA">
        <w:rPr>
          <w:color w:val="000000"/>
          <w:sz w:val="22"/>
          <w:szCs w:val="22"/>
        </w:rPr>
        <w:t>vaistas</w:t>
      </w:r>
      <w:r w:rsidRPr="00F93FFA">
        <w:rPr>
          <w:color w:val="000000"/>
          <w:sz w:val="22"/>
          <w:szCs w:val="22"/>
        </w:rPr>
        <w:t xml:space="preserve">, kurio sudėtyje yra veikliosios medžiagos imatinibo. Šis </w:t>
      </w:r>
      <w:r w:rsidR="00230E00" w:rsidRPr="00F93FFA">
        <w:rPr>
          <w:color w:val="000000"/>
          <w:sz w:val="22"/>
          <w:szCs w:val="22"/>
        </w:rPr>
        <w:t>vaistas</w:t>
      </w:r>
      <w:r w:rsidRPr="00F93FFA">
        <w:rPr>
          <w:color w:val="000000"/>
          <w:sz w:val="22"/>
          <w:szCs w:val="22"/>
        </w:rPr>
        <w:t xml:space="preserve"> veikia slopindamas nenormalių ląstelių augimą, sergant toliau išvardytomis ligomis. Jos apima ir kai kurių tipų vėžinius susirgimus.</w:t>
      </w:r>
    </w:p>
    <w:p w14:paraId="02819815" w14:textId="77777777" w:rsidR="003646A0" w:rsidRPr="00F93FFA" w:rsidRDefault="003646A0" w:rsidP="00DE16D0">
      <w:pPr>
        <w:widowControl w:val="0"/>
        <w:rPr>
          <w:color w:val="000000"/>
          <w:sz w:val="22"/>
          <w:szCs w:val="22"/>
        </w:rPr>
      </w:pPr>
    </w:p>
    <w:p w14:paraId="40B415E6" w14:textId="77777777" w:rsidR="003646A0" w:rsidRPr="00F93FFA" w:rsidRDefault="003646A0" w:rsidP="009A4400">
      <w:pPr>
        <w:keepNext/>
        <w:widowControl w:val="0"/>
        <w:rPr>
          <w:b/>
          <w:color w:val="000000"/>
          <w:sz w:val="22"/>
          <w:szCs w:val="22"/>
        </w:rPr>
      </w:pPr>
      <w:r w:rsidRPr="00F93FFA">
        <w:rPr>
          <w:b/>
          <w:color w:val="000000"/>
          <w:sz w:val="22"/>
          <w:szCs w:val="22"/>
        </w:rPr>
        <w:t>Glivec vartojama gydyti suaugusiųjų ir vaikų:</w:t>
      </w:r>
    </w:p>
    <w:p w14:paraId="57B90234" w14:textId="77777777" w:rsidR="003646A0" w:rsidRPr="00F93FFA" w:rsidRDefault="003646A0" w:rsidP="009A4400">
      <w:pPr>
        <w:keepNext/>
        <w:widowControl w:val="0"/>
        <w:rPr>
          <w:color w:val="000000"/>
          <w:sz w:val="22"/>
          <w:szCs w:val="22"/>
        </w:rPr>
      </w:pPr>
    </w:p>
    <w:p w14:paraId="6F967A13" w14:textId="77777777" w:rsidR="003646A0" w:rsidRPr="00F93FFA" w:rsidRDefault="003646A0" w:rsidP="00DE16D0">
      <w:pPr>
        <w:widowControl w:val="0"/>
        <w:numPr>
          <w:ilvl w:val="0"/>
          <w:numId w:val="14"/>
        </w:numPr>
        <w:tabs>
          <w:tab w:val="clear" w:pos="360"/>
        </w:tabs>
        <w:ind w:left="540" w:hanging="540"/>
        <w:rPr>
          <w:color w:val="000000"/>
          <w:sz w:val="22"/>
          <w:szCs w:val="22"/>
        </w:rPr>
      </w:pPr>
      <w:r w:rsidRPr="00F93FFA">
        <w:rPr>
          <w:b/>
          <w:color w:val="000000"/>
          <w:sz w:val="22"/>
          <w:szCs w:val="22"/>
        </w:rPr>
        <w:t>Lėtinę mieloleukemiją (LML).</w:t>
      </w:r>
      <w:r w:rsidRPr="00F93FFA">
        <w:rPr>
          <w:color w:val="000000"/>
          <w:sz w:val="22"/>
          <w:szCs w:val="22"/>
        </w:rPr>
        <w:t xml:space="preserve"> Leukemija – tai baltųjų kraujo kūnelių vėžys. Paprastai šios baltosios ląstelės padeda organizmui kovoti su infekcija. Lėtinė mieloleukemija yra tokia leukemijos forma, kai dažniausiai nenormalios ląstelės (vadinamos mieloidinėmis ląstelėmis), pradeda nekontroliuojamai augti.</w:t>
      </w:r>
    </w:p>
    <w:p w14:paraId="7AD62E66" w14:textId="77777777" w:rsidR="003646A0" w:rsidRPr="00F93FFA" w:rsidRDefault="003646A0" w:rsidP="00DE16D0">
      <w:pPr>
        <w:pStyle w:val="Text"/>
        <w:widowControl w:val="0"/>
        <w:numPr>
          <w:ilvl w:val="0"/>
          <w:numId w:val="14"/>
        </w:numPr>
        <w:tabs>
          <w:tab w:val="clear" w:pos="360"/>
        </w:tabs>
        <w:spacing w:before="0"/>
        <w:ind w:left="540" w:hanging="540"/>
        <w:jc w:val="left"/>
        <w:rPr>
          <w:color w:val="000000"/>
          <w:sz w:val="22"/>
          <w:szCs w:val="22"/>
          <w:lang w:val="lt-LT"/>
        </w:rPr>
      </w:pPr>
      <w:r w:rsidRPr="00F93FFA">
        <w:rPr>
          <w:b/>
          <w:i/>
          <w:color w:val="000000"/>
          <w:sz w:val="22"/>
          <w:szCs w:val="22"/>
          <w:lang w:val="lt-LT"/>
        </w:rPr>
        <w:t>Philadelphia</w:t>
      </w:r>
      <w:r w:rsidRPr="00F93FFA">
        <w:rPr>
          <w:b/>
          <w:color w:val="000000"/>
          <w:sz w:val="22"/>
          <w:szCs w:val="22"/>
          <w:lang w:val="lt-LT"/>
        </w:rPr>
        <w:t xml:space="preserve"> chromosomai teigiamai ūminei limfoleukemijai (Ph teigiama ŪLL) gydyti.</w:t>
      </w:r>
      <w:r w:rsidRPr="00F93FFA">
        <w:rPr>
          <w:color w:val="000000"/>
          <w:sz w:val="22"/>
          <w:szCs w:val="22"/>
          <w:lang w:val="lt-LT"/>
        </w:rPr>
        <w:t xml:space="preserve"> Leukemija – tai baltųjų kraujo kūnelių vėžys. Paprastai šios baltosios ląstelės padeda organizmui kovoti su infekcija. Ūminė limfoleukemija yra tokia leukemijos forma, kai tam tikros nenormalios ląstelės (vadinamos limfoblastais) pradeda nekontroliuojamai augti. Glivec slopina šių ląstelių augimą.</w:t>
      </w:r>
    </w:p>
    <w:p w14:paraId="05BEF6DE" w14:textId="77777777" w:rsidR="003646A0" w:rsidRPr="00F93FFA" w:rsidRDefault="003646A0" w:rsidP="00DE16D0">
      <w:pPr>
        <w:widowControl w:val="0"/>
        <w:rPr>
          <w:color w:val="000000"/>
          <w:sz w:val="22"/>
          <w:szCs w:val="22"/>
        </w:rPr>
      </w:pPr>
    </w:p>
    <w:p w14:paraId="0A116736" w14:textId="77777777" w:rsidR="003646A0" w:rsidRPr="00F93FFA" w:rsidRDefault="003646A0" w:rsidP="009A4400">
      <w:pPr>
        <w:keepNext/>
        <w:widowControl w:val="0"/>
        <w:rPr>
          <w:b/>
          <w:color w:val="000000"/>
          <w:sz w:val="22"/>
          <w:szCs w:val="22"/>
        </w:rPr>
      </w:pPr>
      <w:r w:rsidRPr="00F93FFA">
        <w:rPr>
          <w:b/>
          <w:color w:val="000000"/>
          <w:sz w:val="22"/>
          <w:szCs w:val="22"/>
        </w:rPr>
        <w:t>Glivec taip pat vartojama gydyti suaugusiųjų:</w:t>
      </w:r>
    </w:p>
    <w:p w14:paraId="58B13DCF" w14:textId="77777777" w:rsidR="003646A0" w:rsidRPr="00F93FFA" w:rsidRDefault="003646A0" w:rsidP="009A4400">
      <w:pPr>
        <w:pStyle w:val="Text"/>
        <w:keepNext/>
        <w:widowControl w:val="0"/>
        <w:spacing w:before="0"/>
        <w:jc w:val="left"/>
        <w:rPr>
          <w:i/>
          <w:color w:val="000000"/>
          <w:sz w:val="22"/>
          <w:szCs w:val="22"/>
          <w:lang w:val="lt-LT"/>
        </w:rPr>
      </w:pPr>
    </w:p>
    <w:p w14:paraId="229D1B12" w14:textId="77777777" w:rsidR="003646A0" w:rsidRPr="00F93FFA" w:rsidRDefault="003646A0" w:rsidP="00DE16D0">
      <w:pPr>
        <w:pStyle w:val="Listlevel1"/>
        <w:widowControl w:val="0"/>
        <w:numPr>
          <w:ilvl w:val="0"/>
          <w:numId w:val="14"/>
        </w:numPr>
        <w:tabs>
          <w:tab w:val="clear" w:pos="360"/>
        </w:tabs>
        <w:spacing w:before="0" w:after="0"/>
        <w:ind w:left="540" w:hanging="540"/>
        <w:rPr>
          <w:color w:val="000000"/>
          <w:sz w:val="22"/>
          <w:szCs w:val="22"/>
          <w:lang w:val="lt-LT"/>
        </w:rPr>
      </w:pPr>
      <w:r w:rsidRPr="00F93FFA">
        <w:rPr>
          <w:b/>
          <w:color w:val="000000"/>
          <w:sz w:val="22"/>
          <w:szCs w:val="22"/>
          <w:lang w:val="lt-LT"/>
        </w:rPr>
        <w:t>Mielodisplazinėms ar mieloproliferacinėms ligoms (MDS/MPL) gydyti.</w:t>
      </w:r>
      <w:r w:rsidRPr="00F93FFA">
        <w:rPr>
          <w:color w:val="000000"/>
          <w:sz w:val="22"/>
          <w:szCs w:val="22"/>
          <w:lang w:val="lt-LT"/>
        </w:rPr>
        <w:t xml:space="preserve"> Tai kraujo ligos, kurių metu kai kurios kraujo ląstelės pradeda daugintis nekontroliuojamos. Glivec slopina šių ląstelių augimą, sergant tam tikrais šių ligų potipiais.</w:t>
      </w:r>
    </w:p>
    <w:p w14:paraId="00245876" w14:textId="77777777" w:rsidR="003646A0" w:rsidRPr="00F93FFA" w:rsidRDefault="003646A0" w:rsidP="00DE16D0">
      <w:pPr>
        <w:pStyle w:val="Listlevel1"/>
        <w:widowControl w:val="0"/>
        <w:numPr>
          <w:ilvl w:val="0"/>
          <w:numId w:val="14"/>
        </w:numPr>
        <w:tabs>
          <w:tab w:val="clear" w:pos="360"/>
          <w:tab w:val="num" w:pos="-1980"/>
        </w:tabs>
        <w:spacing w:before="0" w:after="0"/>
        <w:ind w:left="540" w:hanging="540"/>
        <w:rPr>
          <w:color w:val="000000"/>
          <w:sz w:val="22"/>
          <w:szCs w:val="22"/>
          <w:lang w:val="lt-LT"/>
        </w:rPr>
      </w:pPr>
      <w:r w:rsidRPr="00F93FFA">
        <w:rPr>
          <w:b/>
          <w:color w:val="000000"/>
          <w:sz w:val="22"/>
          <w:szCs w:val="22"/>
          <w:lang w:val="lt-LT"/>
        </w:rPr>
        <w:t>Hipereozinofilijos sindromui (HES) ir (arba) lėtinei eozinofilinei leukemijai (LEL) gydyti.</w:t>
      </w:r>
      <w:r w:rsidRPr="00F93FFA">
        <w:rPr>
          <w:color w:val="000000"/>
          <w:sz w:val="22"/>
          <w:szCs w:val="22"/>
          <w:lang w:val="lt-LT"/>
        </w:rPr>
        <w:t xml:space="preserve"> Tai yra kraujo ligos, kurių metu kai kurios kraujo ląstelės (vadinamos eozinofilais) pradeda daugintis nekontroliuojamos. Glivec slopina šių ląstelių augimą, sergant tam tikrais šių ligų potipiais.</w:t>
      </w:r>
    </w:p>
    <w:p w14:paraId="0D624EF5" w14:textId="77777777" w:rsidR="003646A0" w:rsidRPr="00F93FFA" w:rsidRDefault="003646A0" w:rsidP="00DE16D0">
      <w:pPr>
        <w:widowControl w:val="0"/>
        <w:numPr>
          <w:ilvl w:val="0"/>
          <w:numId w:val="14"/>
        </w:numPr>
        <w:tabs>
          <w:tab w:val="clear" w:pos="360"/>
        </w:tabs>
        <w:ind w:left="540" w:hanging="540"/>
        <w:rPr>
          <w:color w:val="000000"/>
          <w:sz w:val="22"/>
          <w:szCs w:val="22"/>
        </w:rPr>
      </w:pPr>
      <w:r w:rsidRPr="00F93FFA">
        <w:rPr>
          <w:b/>
          <w:color w:val="000000"/>
          <w:sz w:val="22"/>
          <w:szCs w:val="22"/>
        </w:rPr>
        <w:t>Virškinimo trakto stromos naviką (VTSN).</w:t>
      </w:r>
      <w:r w:rsidRPr="00F93FFA">
        <w:rPr>
          <w:color w:val="000000"/>
          <w:sz w:val="22"/>
          <w:szCs w:val="22"/>
        </w:rPr>
        <w:t xml:space="preserve"> VTSN – tai skrandžio ir žarnyno vėžys. Jis atsiranda dėl nekontroliuojamo šių organų pagalbinio audinio ląstelių augimo.</w:t>
      </w:r>
    </w:p>
    <w:p w14:paraId="0F7BC74E" w14:textId="77777777" w:rsidR="003646A0" w:rsidRPr="00F93FFA" w:rsidRDefault="003646A0" w:rsidP="00DE16D0">
      <w:pPr>
        <w:pStyle w:val="Text"/>
        <w:widowControl w:val="0"/>
        <w:numPr>
          <w:ilvl w:val="0"/>
          <w:numId w:val="14"/>
        </w:numPr>
        <w:tabs>
          <w:tab w:val="clear" w:pos="360"/>
        </w:tabs>
        <w:spacing w:before="0"/>
        <w:ind w:left="540" w:hanging="540"/>
        <w:jc w:val="left"/>
        <w:rPr>
          <w:color w:val="000000"/>
          <w:sz w:val="22"/>
          <w:szCs w:val="22"/>
          <w:lang w:val="lt-LT"/>
        </w:rPr>
      </w:pPr>
      <w:r w:rsidRPr="00F93FFA">
        <w:rPr>
          <w:b/>
          <w:snapToGrid w:val="0"/>
          <w:color w:val="000000"/>
          <w:sz w:val="22"/>
          <w:szCs w:val="22"/>
          <w:lang w:val="lt-LT" w:eastAsia="de-DE"/>
        </w:rPr>
        <w:lastRenderedPageBreak/>
        <w:t>Iškiliajai dermatofibrosarkomai</w:t>
      </w:r>
      <w:r w:rsidRPr="00F93FFA">
        <w:rPr>
          <w:i/>
          <w:color w:val="000000"/>
          <w:sz w:val="22"/>
          <w:szCs w:val="22"/>
          <w:lang w:val="lt-LT"/>
        </w:rPr>
        <w:t xml:space="preserve"> (dermatofibrosarcoma protuberans</w:t>
      </w:r>
      <w:r w:rsidRPr="00F93FFA">
        <w:rPr>
          <w:color w:val="000000"/>
          <w:sz w:val="22"/>
          <w:szCs w:val="22"/>
          <w:lang w:val="lt-LT"/>
        </w:rPr>
        <w:t xml:space="preserve"> - </w:t>
      </w:r>
      <w:r w:rsidRPr="00F93FFA">
        <w:rPr>
          <w:b/>
          <w:color w:val="000000"/>
          <w:sz w:val="22"/>
          <w:szCs w:val="22"/>
          <w:lang w:val="lt-LT"/>
        </w:rPr>
        <w:t>DFSP</w:t>
      </w:r>
      <w:r w:rsidRPr="00F93FFA">
        <w:rPr>
          <w:color w:val="000000"/>
          <w:sz w:val="22"/>
          <w:szCs w:val="22"/>
          <w:lang w:val="lt-LT"/>
        </w:rPr>
        <w:t>) gydyti. DFSP - tai po oda esančio audinio vėžys, kurio metu kai kurios ląstelės pradeda nekontroliuojamai augti. Glivec slopina šių ląstelių augimą.</w:t>
      </w:r>
    </w:p>
    <w:p w14:paraId="1A99A2F5" w14:textId="77777777" w:rsidR="003646A0" w:rsidRPr="00F93FFA" w:rsidRDefault="003646A0" w:rsidP="00DE16D0">
      <w:pPr>
        <w:widowControl w:val="0"/>
        <w:rPr>
          <w:color w:val="000000"/>
          <w:sz w:val="22"/>
          <w:szCs w:val="22"/>
        </w:rPr>
      </w:pPr>
      <w:r w:rsidRPr="00F93FFA">
        <w:rPr>
          <w:color w:val="000000"/>
          <w:sz w:val="22"/>
          <w:szCs w:val="22"/>
        </w:rPr>
        <w:t>Toliau šiame lapelyje apibūdinant minėtas ligas bus naudojamos nurodytos santrumpos.</w:t>
      </w:r>
    </w:p>
    <w:p w14:paraId="130D4FB4" w14:textId="77777777" w:rsidR="003646A0" w:rsidRPr="00F93FFA" w:rsidRDefault="003646A0" w:rsidP="00DE16D0">
      <w:pPr>
        <w:widowControl w:val="0"/>
        <w:rPr>
          <w:color w:val="000000"/>
          <w:sz w:val="22"/>
          <w:szCs w:val="22"/>
        </w:rPr>
      </w:pPr>
    </w:p>
    <w:p w14:paraId="00B768FE" w14:textId="77777777" w:rsidR="003646A0" w:rsidRPr="00F93FFA" w:rsidRDefault="003646A0" w:rsidP="00DE16D0">
      <w:pPr>
        <w:widowControl w:val="0"/>
        <w:rPr>
          <w:color w:val="000000"/>
          <w:sz w:val="22"/>
          <w:szCs w:val="22"/>
        </w:rPr>
      </w:pPr>
      <w:r w:rsidRPr="00F93FFA">
        <w:rPr>
          <w:color w:val="000000"/>
          <w:sz w:val="22"/>
          <w:szCs w:val="22"/>
        </w:rPr>
        <w:t>Jei Jums kiltų kokių nors klausimų apie Glivec veikimą arba kodėl Jums jį paskyrė, klauskite gydytojo.</w:t>
      </w:r>
    </w:p>
    <w:p w14:paraId="17439194" w14:textId="77777777" w:rsidR="003646A0" w:rsidRPr="00F93FFA" w:rsidRDefault="003646A0" w:rsidP="00DE16D0">
      <w:pPr>
        <w:widowControl w:val="0"/>
        <w:rPr>
          <w:color w:val="000000"/>
          <w:sz w:val="22"/>
          <w:szCs w:val="22"/>
        </w:rPr>
      </w:pPr>
    </w:p>
    <w:p w14:paraId="1634945F" w14:textId="77777777" w:rsidR="003646A0" w:rsidRPr="00F93FFA" w:rsidRDefault="003646A0" w:rsidP="00DE16D0">
      <w:pPr>
        <w:widowControl w:val="0"/>
        <w:ind w:left="567" w:hanging="567"/>
        <w:rPr>
          <w:color w:val="000000"/>
          <w:sz w:val="22"/>
          <w:szCs w:val="22"/>
        </w:rPr>
      </w:pPr>
    </w:p>
    <w:p w14:paraId="7A2CBB1F"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2.</w:t>
      </w:r>
      <w:r w:rsidRPr="00F93FFA">
        <w:rPr>
          <w:b/>
          <w:color w:val="000000"/>
          <w:sz w:val="22"/>
          <w:szCs w:val="22"/>
        </w:rPr>
        <w:tab/>
      </w:r>
      <w:r w:rsidRPr="00F93FFA">
        <w:rPr>
          <w:b/>
          <w:sz w:val="22"/>
          <w:szCs w:val="22"/>
        </w:rPr>
        <w:t xml:space="preserve">Kas žinotina prieš vartojant </w:t>
      </w:r>
      <w:r w:rsidRPr="00F93FFA">
        <w:rPr>
          <w:b/>
          <w:caps/>
          <w:color w:val="000000"/>
          <w:sz w:val="22"/>
          <w:szCs w:val="22"/>
        </w:rPr>
        <w:t>G</w:t>
      </w:r>
      <w:r w:rsidRPr="00F93FFA">
        <w:rPr>
          <w:b/>
          <w:color w:val="000000"/>
          <w:sz w:val="22"/>
          <w:szCs w:val="22"/>
        </w:rPr>
        <w:t>livec</w:t>
      </w:r>
    </w:p>
    <w:p w14:paraId="21138E44" w14:textId="77777777" w:rsidR="003646A0" w:rsidRPr="00F93FFA" w:rsidRDefault="003646A0" w:rsidP="009A4400">
      <w:pPr>
        <w:keepNext/>
        <w:widowControl w:val="0"/>
        <w:ind w:left="567" w:hanging="567"/>
        <w:rPr>
          <w:color w:val="000000"/>
          <w:sz w:val="22"/>
          <w:szCs w:val="22"/>
        </w:rPr>
      </w:pPr>
    </w:p>
    <w:p w14:paraId="06458DAA" w14:textId="77777777" w:rsidR="003646A0" w:rsidRPr="00F93FFA" w:rsidRDefault="003646A0" w:rsidP="00DE16D0">
      <w:pPr>
        <w:widowControl w:val="0"/>
        <w:rPr>
          <w:color w:val="000000"/>
          <w:sz w:val="22"/>
          <w:szCs w:val="22"/>
        </w:rPr>
      </w:pPr>
      <w:r w:rsidRPr="00F93FFA">
        <w:rPr>
          <w:color w:val="000000"/>
          <w:sz w:val="22"/>
          <w:szCs w:val="22"/>
        </w:rPr>
        <w:t>Glivec Jums paskirs tik gydytojas, turintis kraujo vėžių arba solidinių navikų gydymo vaistais patirties.</w:t>
      </w:r>
    </w:p>
    <w:p w14:paraId="355866C2" w14:textId="77777777" w:rsidR="003646A0" w:rsidRPr="00F93FFA" w:rsidRDefault="003646A0" w:rsidP="00DE16D0">
      <w:pPr>
        <w:widowControl w:val="0"/>
        <w:rPr>
          <w:color w:val="000000"/>
          <w:sz w:val="22"/>
          <w:szCs w:val="22"/>
        </w:rPr>
      </w:pPr>
    </w:p>
    <w:p w14:paraId="1B6AFC91" w14:textId="77777777" w:rsidR="003646A0" w:rsidRPr="00F93FFA" w:rsidRDefault="003646A0" w:rsidP="00DE16D0">
      <w:pPr>
        <w:widowControl w:val="0"/>
        <w:rPr>
          <w:color w:val="000000"/>
          <w:sz w:val="22"/>
          <w:szCs w:val="22"/>
        </w:rPr>
      </w:pPr>
      <w:r w:rsidRPr="00F93FFA">
        <w:rPr>
          <w:color w:val="000000"/>
          <w:sz w:val="22"/>
          <w:szCs w:val="22"/>
        </w:rPr>
        <w:t>Tiksliai laikykitės visų gydytojo nurodymų, net jei jie skiriasi nuo bendrosios šiame lapelyje esančios informacijos.</w:t>
      </w:r>
    </w:p>
    <w:p w14:paraId="72680337" w14:textId="77777777" w:rsidR="003646A0" w:rsidRPr="00F93FFA" w:rsidRDefault="003646A0" w:rsidP="00DE16D0">
      <w:pPr>
        <w:widowControl w:val="0"/>
        <w:ind w:left="567" w:hanging="567"/>
        <w:rPr>
          <w:color w:val="000000"/>
          <w:sz w:val="22"/>
          <w:szCs w:val="22"/>
        </w:rPr>
      </w:pPr>
    </w:p>
    <w:p w14:paraId="1B504C32" w14:textId="77777777" w:rsidR="003646A0" w:rsidRPr="00F93FFA" w:rsidRDefault="003646A0" w:rsidP="009A4400">
      <w:pPr>
        <w:keepNext/>
        <w:widowControl w:val="0"/>
        <w:ind w:left="567" w:hanging="567"/>
        <w:rPr>
          <w:b/>
          <w:caps/>
          <w:color w:val="000000"/>
          <w:sz w:val="22"/>
          <w:szCs w:val="22"/>
        </w:rPr>
      </w:pPr>
      <w:r w:rsidRPr="00F93FFA">
        <w:rPr>
          <w:b/>
          <w:color w:val="000000"/>
          <w:sz w:val="22"/>
          <w:szCs w:val="22"/>
        </w:rPr>
        <w:t>Glivec vartoti negalima:</w:t>
      </w:r>
    </w:p>
    <w:p w14:paraId="7287CD56"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 xml:space="preserve">jeigu yra alergija imatinibui arba bet kuriai pagalbinei </w:t>
      </w:r>
      <w:r w:rsidRPr="00F93FFA">
        <w:rPr>
          <w:sz w:val="22"/>
          <w:szCs w:val="22"/>
        </w:rPr>
        <w:t xml:space="preserve">šio vaisto </w:t>
      </w:r>
      <w:r w:rsidRPr="00F93FFA">
        <w:rPr>
          <w:color w:val="000000"/>
          <w:sz w:val="22"/>
          <w:szCs w:val="22"/>
        </w:rPr>
        <w:t xml:space="preserve">medžiagai </w:t>
      </w:r>
      <w:r w:rsidRPr="00F93FFA">
        <w:rPr>
          <w:sz w:val="22"/>
          <w:szCs w:val="22"/>
        </w:rPr>
        <w:t xml:space="preserve">(jos išvardytos </w:t>
      </w:r>
      <w:r w:rsidRPr="00F93FFA">
        <w:rPr>
          <w:color w:val="000000"/>
          <w:sz w:val="22"/>
          <w:szCs w:val="22"/>
        </w:rPr>
        <w:t>6 skyriuje).</w:t>
      </w:r>
    </w:p>
    <w:p w14:paraId="5EDD5EC4" w14:textId="77777777" w:rsidR="003646A0" w:rsidRPr="00F93FFA" w:rsidRDefault="003646A0" w:rsidP="00DE16D0">
      <w:pPr>
        <w:widowControl w:val="0"/>
        <w:rPr>
          <w:color w:val="000000"/>
          <w:sz w:val="22"/>
          <w:szCs w:val="22"/>
        </w:rPr>
      </w:pPr>
      <w:r w:rsidRPr="00F93FFA">
        <w:rPr>
          <w:color w:val="000000"/>
          <w:sz w:val="22"/>
          <w:szCs w:val="22"/>
        </w:rPr>
        <w:t xml:space="preserve">Jei ši sąlyga Jums tinka, </w:t>
      </w:r>
      <w:r w:rsidRPr="00F93FFA">
        <w:rPr>
          <w:b/>
          <w:color w:val="000000"/>
          <w:sz w:val="22"/>
          <w:szCs w:val="22"/>
        </w:rPr>
        <w:t>nevartokite Glivec ir apie tai pasakykite gydytojui.</w:t>
      </w:r>
    </w:p>
    <w:p w14:paraId="6D896F39" w14:textId="77777777" w:rsidR="003646A0" w:rsidRPr="00F93FFA" w:rsidRDefault="003646A0" w:rsidP="00DE16D0">
      <w:pPr>
        <w:widowControl w:val="0"/>
        <w:rPr>
          <w:color w:val="000000"/>
          <w:sz w:val="22"/>
          <w:szCs w:val="22"/>
        </w:rPr>
      </w:pPr>
    </w:p>
    <w:p w14:paraId="4C7CDEBC" w14:textId="77777777" w:rsidR="003646A0" w:rsidRPr="00F93FFA" w:rsidRDefault="003646A0" w:rsidP="00DE16D0">
      <w:pPr>
        <w:widowControl w:val="0"/>
        <w:rPr>
          <w:color w:val="000000"/>
          <w:sz w:val="22"/>
          <w:szCs w:val="22"/>
        </w:rPr>
      </w:pPr>
      <w:r w:rsidRPr="00F93FFA">
        <w:rPr>
          <w:color w:val="000000"/>
          <w:sz w:val="22"/>
          <w:szCs w:val="22"/>
        </w:rPr>
        <w:t>Jeigu manote, kad galite būti alergiškas, bet nesate tikras, kreipkitės patarimo į gydytoją.</w:t>
      </w:r>
    </w:p>
    <w:p w14:paraId="6D79A40B" w14:textId="77777777" w:rsidR="003646A0" w:rsidRPr="00F93FFA" w:rsidRDefault="003646A0" w:rsidP="00DE16D0">
      <w:pPr>
        <w:widowControl w:val="0"/>
        <w:ind w:left="567" w:hanging="567"/>
        <w:rPr>
          <w:color w:val="000000"/>
          <w:sz w:val="22"/>
          <w:szCs w:val="22"/>
        </w:rPr>
      </w:pPr>
    </w:p>
    <w:p w14:paraId="6E971A5A" w14:textId="77777777" w:rsidR="003646A0" w:rsidRPr="00F93FFA" w:rsidRDefault="003646A0" w:rsidP="009A4400">
      <w:pPr>
        <w:keepNext/>
        <w:widowControl w:val="0"/>
        <w:ind w:left="567" w:hanging="567"/>
        <w:rPr>
          <w:b/>
          <w:color w:val="000000"/>
          <w:sz w:val="22"/>
          <w:szCs w:val="22"/>
        </w:rPr>
      </w:pPr>
      <w:r w:rsidRPr="00F93FFA">
        <w:rPr>
          <w:b/>
          <w:sz w:val="22"/>
          <w:szCs w:val="22"/>
        </w:rPr>
        <w:t>Įspėjimai ir atsargumo priemonės</w:t>
      </w:r>
    </w:p>
    <w:p w14:paraId="35DADF50" w14:textId="77777777" w:rsidR="003646A0" w:rsidRPr="00F93FFA" w:rsidRDefault="003646A0" w:rsidP="009A4400">
      <w:pPr>
        <w:keepNext/>
        <w:widowControl w:val="0"/>
        <w:ind w:left="567" w:hanging="567"/>
        <w:rPr>
          <w:bCs/>
          <w:color w:val="000000"/>
          <w:sz w:val="22"/>
          <w:szCs w:val="22"/>
        </w:rPr>
      </w:pPr>
      <w:r w:rsidRPr="00F93FFA">
        <w:rPr>
          <w:sz w:val="22"/>
          <w:szCs w:val="22"/>
        </w:rPr>
        <w:t xml:space="preserve">Pasitarkite su gydytoju, </w:t>
      </w:r>
      <w:r w:rsidRPr="00F93FFA">
        <w:rPr>
          <w:bCs/>
          <w:color w:val="000000"/>
          <w:sz w:val="22"/>
          <w:szCs w:val="22"/>
        </w:rPr>
        <w:t>prieš pradėdami vartoti Glivec:</w:t>
      </w:r>
    </w:p>
    <w:p w14:paraId="28B5DA34" w14:textId="77777777" w:rsidR="003646A0" w:rsidRPr="00F93FFA" w:rsidRDefault="003646A0" w:rsidP="00DE16D0">
      <w:pPr>
        <w:widowControl w:val="0"/>
        <w:numPr>
          <w:ilvl w:val="12"/>
          <w:numId w:val="0"/>
        </w:numPr>
        <w:ind w:left="567" w:hanging="567"/>
        <w:rPr>
          <w:color w:val="000000"/>
          <w:sz w:val="22"/>
          <w:szCs w:val="22"/>
        </w:rPr>
      </w:pPr>
      <w:r w:rsidRPr="00F93FFA">
        <w:rPr>
          <w:color w:val="000000"/>
          <w:sz w:val="22"/>
          <w:szCs w:val="22"/>
        </w:rPr>
        <w:t>-</w:t>
      </w:r>
      <w:r w:rsidRPr="00F93FFA">
        <w:rPr>
          <w:color w:val="000000"/>
          <w:sz w:val="22"/>
          <w:szCs w:val="22"/>
        </w:rPr>
        <w:tab/>
        <w:t>jeigu Jums yra ar kada nors yra buvę kepenų, inkstų ar širdies sutrikimų,</w:t>
      </w:r>
    </w:p>
    <w:p w14:paraId="6380C412" w14:textId="3354E893" w:rsidR="00801D45" w:rsidRPr="00F93FFA" w:rsidRDefault="003646A0" w:rsidP="00DE16D0">
      <w:pPr>
        <w:widowControl w:val="0"/>
        <w:numPr>
          <w:ilvl w:val="12"/>
          <w:numId w:val="0"/>
        </w:numPr>
        <w:ind w:left="567" w:hanging="567"/>
        <w:rPr>
          <w:color w:val="000000"/>
          <w:sz w:val="22"/>
          <w:szCs w:val="22"/>
        </w:rPr>
      </w:pPr>
      <w:r w:rsidRPr="00F93FFA">
        <w:rPr>
          <w:color w:val="000000"/>
          <w:sz w:val="22"/>
          <w:szCs w:val="22"/>
        </w:rPr>
        <w:t>-</w:t>
      </w:r>
      <w:r w:rsidRPr="00F93FFA">
        <w:rPr>
          <w:color w:val="000000"/>
          <w:sz w:val="22"/>
          <w:szCs w:val="22"/>
        </w:rPr>
        <w:tab/>
        <w:t xml:space="preserve">jeigu dėl pašalintos skydliaukės vartojate </w:t>
      </w:r>
      <w:r w:rsidR="00A61375" w:rsidRPr="00F93FFA">
        <w:rPr>
          <w:color w:val="000000"/>
          <w:sz w:val="22"/>
          <w:szCs w:val="22"/>
        </w:rPr>
        <w:t>vaisto</w:t>
      </w:r>
      <w:r w:rsidRPr="00F93FFA">
        <w:rPr>
          <w:color w:val="000000"/>
          <w:sz w:val="22"/>
          <w:szCs w:val="22"/>
        </w:rPr>
        <w:t xml:space="preserve"> levotiroksino</w:t>
      </w:r>
      <w:r w:rsidR="00801D45" w:rsidRPr="00F93FFA">
        <w:rPr>
          <w:color w:val="000000"/>
          <w:sz w:val="22"/>
          <w:szCs w:val="22"/>
        </w:rPr>
        <w:t>,</w:t>
      </w:r>
    </w:p>
    <w:p w14:paraId="5DEED5CE" w14:textId="77777777" w:rsidR="00073EF6" w:rsidRPr="00F93FFA" w:rsidRDefault="00801D45" w:rsidP="00DE16D0">
      <w:pPr>
        <w:widowControl w:val="0"/>
        <w:numPr>
          <w:ilvl w:val="12"/>
          <w:numId w:val="0"/>
        </w:numPr>
        <w:ind w:left="567" w:hanging="567"/>
        <w:rPr>
          <w:color w:val="000000"/>
          <w:sz w:val="22"/>
          <w:szCs w:val="22"/>
        </w:rPr>
      </w:pPr>
      <w:r w:rsidRPr="00F93FFA">
        <w:rPr>
          <w:color w:val="000000"/>
          <w:sz w:val="22"/>
          <w:szCs w:val="22"/>
        </w:rPr>
        <w:t>-</w:t>
      </w:r>
      <w:r w:rsidRPr="00F93FFA">
        <w:rPr>
          <w:color w:val="000000"/>
          <w:sz w:val="22"/>
          <w:szCs w:val="22"/>
        </w:rPr>
        <w:tab/>
        <w:t xml:space="preserve">Jums kada nors buvo diagnozuota hepatito B infekcija arba šiuo metu galite būti užsikrėtę šiuo virusu. Tai būtina, nes </w:t>
      </w:r>
      <w:r w:rsidR="00EE25B9" w:rsidRPr="00F93FFA">
        <w:rPr>
          <w:color w:val="000000"/>
          <w:sz w:val="22"/>
          <w:szCs w:val="22"/>
        </w:rPr>
        <w:t>Glivec</w:t>
      </w:r>
      <w:r w:rsidRPr="00F93FFA">
        <w:rPr>
          <w:color w:val="000000"/>
          <w:sz w:val="22"/>
          <w:szCs w:val="22"/>
        </w:rPr>
        <w:t xml:space="preserve"> gali vėl suaktyvinti hepatito B virusą, o kai kuriais atvejais tai gali būti mirtina. Prieš pradedant gydymą, gydytojas atidžiai patikrins, ar pacientas neturi šios infekcijos požymių</w:t>
      </w:r>
      <w:r w:rsidR="00073EF6" w:rsidRPr="00F93FFA">
        <w:rPr>
          <w:color w:val="000000"/>
          <w:sz w:val="22"/>
          <w:szCs w:val="22"/>
        </w:rPr>
        <w:t>,</w:t>
      </w:r>
    </w:p>
    <w:p w14:paraId="2E8D35ED" w14:textId="77777777" w:rsidR="003646A0" w:rsidRPr="00F93FFA" w:rsidRDefault="00073EF6" w:rsidP="00DE16D0">
      <w:pPr>
        <w:widowControl w:val="0"/>
        <w:numPr>
          <w:ilvl w:val="12"/>
          <w:numId w:val="0"/>
        </w:numPr>
        <w:ind w:left="567" w:hanging="567"/>
        <w:rPr>
          <w:color w:val="000000"/>
          <w:sz w:val="22"/>
          <w:szCs w:val="22"/>
        </w:rPr>
      </w:pPr>
      <w:r w:rsidRPr="00F93FFA">
        <w:rPr>
          <w:color w:val="000000"/>
          <w:spacing w:val="-2"/>
          <w:sz w:val="22"/>
          <w:szCs w:val="22"/>
        </w:rPr>
        <w:t>-</w:t>
      </w:r>
      <w:r w:rsidRPr="00F93FFA">
        <w:rPr>
          <w:color w:val="000000"/>
          <w:spacing w:val="-2"/>
          <w:sz w:val="22"/>
          <w:szCs w:val="22"/>
        </w:rPr>
        <w:tab/>
        <w:t>jeigu Jums vartojant Glivec susidaro kraujosruvų, pasireiškia kraujavimas, karščiavimas, nuovargis ir sumišimas, kreipkitės į gydytoją. Tai gali būti kraujagyslių pažaidos, vadinamos trombine mikroangiopatija (TMA), požymis</w:t>
      </w:r>
      <w:r w:rsidR="003646A0" w:rsidRPr="00F93FFA">
        <w:rPr>
          <w:color w:val="000000"/>
          <w:sz w:val="22"/>
          <w:szCs w:val="22"/>
        </w:rPr>
        <w:t>.</w:t>
      </w:r>
    </w:p>
    <w:p w14:paraId="7A5A82C3" w14:textId="77777777" w:rsidR="003646A0" w:rsidRPr="00F93FFA" w:rsidRDefault="003646A0" w:rsidP="00DE16D0">
      <w:pPr>
        <w:widowControl w:val="0"/>
        <w:rPr>
          <w:color w:val="000000"/>
          <w:sz w:val="22"/>
          <w:szCs w:val="22"/>
        </w:rPr>
      </w:pPr>
      <w:r w:rsidRPr="00F93FFA">
        <w:rPr>
          <w:color w:val="000000"/>
          <w:sz w:val="22"/>
          <w:szCs w:val="22"/>
        </w:rPr>
        <w:t xml:space="preserve">Jei bet kuri šių sąlygų Jums tinka, </w:t>
      </w:r>
      <w:r w:rsidRPr="00F93FFA">
        <w:rPr>
          <w:b/>
          <w:color w:val="000000"/>
          <w:sz w:val="22"/>
          <w:szCs w:val="22"/>
        </w:rPr>
        <w:t>prieš pradėdami vartoti Glivec, pasakykite gydytojui</w:t>
      </w:r>
      <w:r w:rsidRPr="00F93FFA">
        <w:rPr>
          <w:color w:val="000000"/>
          <w:sz w:val="22"/>
          <w:szCs w:val="22"/>
        </w:rPr>
        <w:t>.</w:t>
      </w:r>
    </w:p>
    <w:p w14:paraId="7D575F7C" w14:textId="77777777" w:rsidR="005F3324" w:rsidRPr="00F93FFA" w:rsidRDefault="005F3324" w:rsidP="00DE16D0">
      <w:pPr>
        <w:widowControl w:val="0"/>
        <w:rPr>
          <w:color w:val="000000"/>
          <w:sz w:val="22"/>
          <w:szCs w:val="22"/>
        </w:rPr>
      </w:pPr>
    </w:p>
    <w:p w14:paraId="1BF70093" w14:textId="5B6B250B" w:rsidR="005F3324" w:rsidRPr="00F93FFA" w:rsidRDefault="007D4981" w:rsidP="00DE16D0">
      <w:pPr>
        <w:widowControl w:val="0"/>
        <w:rPr>
          <w:color w:val="000000"/>
          <w:sz w:val="22"/>
          <w:szCs w:val="22"/>
        </w:rPr>
      </w:pPr>
      <w:r w:rsidRPr="00F93FFA">
        <w:rPr>
          <w:color w:val="000000"/>
          <w:sz w:val="22"/>
          <w:szCs w:val="22"/>
        </w:rPr>
        <w:t>Glivec vartojimo metu galite tapti jautresnis</w:t>
      </w:r>
      <w:r w:rsidR="00E51AF2" w:rsidRPr="00F93FFA">
        <w:rPr>
          <w:color w:val="000000"/>
          <w:sz w:val="22"/>
          <w:szCs w:val="22"/>
        </w:rPr>
        <w:t xml:space="preserve"> </w:t>
      </w:r>
      <w:r w:rsidRPr="00F93FFA">
        <w:rPr>
          <w:color w:val="000000"/>
          <w:sz w:val="22"/>
          <w:szCs w:val="22"/>
        </w:rPr>
        <w:t xml:space="preserve">saulės poveikiui. Svarbu apsaugoti atviras odos vietas nuo tiesioginių saulės spindulių ir naudoti </w:t>
      </w:r>
      <w:r w:rsidR="00A61375" w:rsidRPr="00F93FFA">
        <w:rPr>
          <w:color w:val="000000"/>
          <w:sz w:val="22"/>
          <w:szCs w:val="22"/>
        </w:rPr>
        <w:t xml:space="preserve">vaistą </w:t>
      </w:r>
      <w:r w:rsidRPr="00F93FFA">
        <w:rPr>
          <w:color w:val="000000"/>
          <w:sz w:val="22"/>
          <w:szCs w:val="22"/>
        </w:rPr>
        <w:t>nuo saulės nudegimo, kurio aukštas apsaugos faktorius</w:t>
      </w:r>
      <w:r w:rsidRPr="00F93FFA" w:rsidDel="007D4981">
        <w:rPr>
          <w:color w:val="000000"/>
          <w:sz w:val="22"/>
          <w:szCs w:val="22"/>
        </w:rPr>
        <w:t xml:space="preserve"> </w:t>
      </w:r>
      <w:r w:rsidR="005F3324" w:rsidRPr="00F93FFA">
        <w:rPr>
          <w:color w:val="000000"/>
          <w:sz w:val="22"/>
          <w:szCs w:val="22"/>
        </w:rPr>
        <w:t>(SPF).</w:t>
      </w:r>
      <w:r w:rsidR="005F3324" w:rsidRPr="00F93FFA">
        <w:rPr>
          <w:rFonts w:ascii="Arial" w:hAnsi="Arial" w:cs="Arial"/>
          <w:color w:val="222222"/>
        </w:rPr>
        <w:t xml:space="preserve"> </w:t>
      </w:r>
      <w:r w:rsidR="005F3324" w:rsidRPr="00F93FFA">
        <w:rPr>
          <w:color w:val="000000"/>
          <w:sz w:val="22"/>
          <w:szCs w:val="22"/>
        </w:rPr>
        <w:t>Šios atsargumo priemonės taip pat turi būti taikomos vaikams.</w:t>
      </w:r>
    </w:p>
    <w:p w14:paraId="6DDDC9DC" w14:textId="77777777" w:rsidR="003646A0" w:rsidRPr="00F93FFA" w:rsidRDefault="003646A0" w:rsidP="00DE16D0">
      <w:pPr>
        <w:widowControl w:val="0"/>
        <w:rPr>
          <w:color w:val="000000"/>
          <w:sz w:val="22"/>
          <w:szCs w:val="22"/>
        </w:rPr>
      </w:pPr>
    </w:p>
    <w:p w14:paraId="7096018B" w14:textId="77777777" w:rsidR="003646A0" w:rsidRPr="00F93FFA" w:rsidRDefault="003646A0" w:rsidP="00DE16D0">
      <w:pPr>
        <w:widowControl w:val="0"/>
        <w:rPr>
          <w:color w:val="000000"/>
          <w:sz w:val="22"/>
          <w:szCs w:val="22"/>
        </w:rPr>
      </w:pPr>
      <w:r w:rsidRPr="00F93FFA">
        <w:rPr>
          <w:b/>
          <w:color w:val="000000"/>
          <w:sz w:val="22"/>
          <w:szCs w:val="22"/>
        </w:rPr>
        <w:t xml:space="preserve">Glivec vartojimo metu nedelsdami kreipkitės į gydytoją, </w:t>
      </w:r>
      <w:r w:rsidRPr="00F93FFA">
        <w:rPr>
          <w:color w:val="000000"/>
          <w:sz w:val="22"/>
          <w:szCs w:val="22"/>
        </w:rPr>
        <w:t>jeigu Jums labai greitai padidėjo kūno svoris. Dėl Glivec poveikio Jūsų kūne gali kauptis skysčių (pasireikšti sunkus skysčių susilaikymas).</w:t>
      </w:r>
    </w:p>
    <w:p w14:paraId="45C61ED1" w14:textId="77777777" w:rsidR="003646A0" w:rsidRPr="00F93FFA" w:rsidRDefault="003646A0" w:rsidP="00DE16D0">
      <w:pPr>
        <w:widowControl w:val="0"/>
        <w:rPr>
          <w:color w:val="000000"/>
          <w:sz w:val="22"/>
          <w:szCs w:val="22"/>
        </w:rPr>
      </w:pPr>
    </w:p>
    <w:p w14:paraId="5C99125D" w14:textId="38790870" w:rsidR="003646A0" w:rsidRPr="00F93FFA" w:rsidRDefault="003646A0" w:rsidP="00DE16D0">
      <w:pPr>
        <w:widowControl w:val="0"/>
        <w:rPr>
          <w:color w:val="000000"/>
          <w:sz w:val="22"/>
          <w:szCs w:val="22"/>
        </w:rPr>
      </w:pPr>
      <w:r w:rsidRPr="00F93FFA">
        <w:rPr>
          <w:color w:val="000000"/>
          <w:sz w:val="22"/>
          <w:szCs w:val="22"/>
        </w:rPr>
        <w:t xml:space="preserve">Jums vartojant Glivec, gydytojas reguliariai tikrins, ar </w:t>
      </w:r>
      <w:r w:rsidR="00A61375" w:rsidRPr="00F93FFA">
        <w:rPr>
          <w:color w:val="000000"/>
          <w:sz w:val="22"/>
          <w:szCs w:val="22"/>
        </w:rPr>
        <w:t>vaistas</w:t>
      </w:r>
      <w:r w:rsidRPr="00F93FFA">
        <w:rPr>
          <w:color w:val="000000"/>
          <w:sz w:val="22"/>
          <w:szCs w:val="22"/>
        </w:rPr>
        <w:t xml:space="preserve"> veikia. Jums taip pat reguliariai tirs kraują ir kūno svorį.</w:t>
      </w:r>
    </w:p>
    <w:p w14:paraId="77625CD6" w14:textId="77777777" w:rsidR="003646A0" w:rsidRPr="00F93FFA" w:rsidRDefault="003646A0" w:rsidP="00DE16D0">
      <w:pPr>
        <w:widowControl w:val="0"/>
        <w:ind w:left="567" w:hanging="567"/>
        <w:rPr>
          <w:color w:val="000000"/>
          <w:sz w:val="22"/>
          <w:szCs w:val="22"/>
        </w:rPr>
      </w:pPr>
    </w:p>
    <w:p w14:paraId="139082E5" w14:textId="77777777" w:rsidR="003646A0" w:rsidRPr="00F93FFA" w:rsidRDefault="003646A0" w:rsidP="009A4400">
      <w:pPr>
        <w:keepNext/>
        <w:widowControl w:val="0"/>
        <w:ind w:left="567" w:hanging="567"/>
        <w:rPr>
          <w:b/>
          <w:color w:val="000000"/>
          <w:sz w:val="22"/>
          <w:szCs w:val="22"/>
        </w:rPr>
      </w:pPr>
      <w:r w:rsidRPr="00F93FFA">
        <w:rPr>
          <w:b/>
          <w:sz w:val="22"/>
          <w:szCs w:val="22"/>
        </w:rPr>
        <w:t>Vaikams ir paaugliams</w:t>
      </w:r>
    </w:p>
    <w:p w14:paraId="29FA3621" w14:textId="77777777" w:rsidR="003646A0" w:rsidRPr="00F93FFA" w:rsidRDefault="003646A0" w:rsidP="00DE16D0">
      <w:pPr>
        <w:widowControl w:val="0"/>
        <w:rPr>
          <w:color w:val="000000"/>
          <w:sz w:val="22"/>
          <w:szCs w:val="22"/>
        </w:rPr>
      </w:pPr>
      <w:r w:rsidRPr="00F93FFA">
        <w:rPr>
          <w:color w:val="000000"/>
          <w:sz w:val="22"/>
          <w:szCs w:val="22"/>
        </w:rPr>
        <w:t>Glivec taip pat gydomi vaikai, sergantys LML. Vartojimo patirties vaikams, jaunesniems kaip 2 metų ir sergantiems LML, nėra. Vartojimo patirties vaikams, sergantiems Ph teigiama ŪLL, yra nedaug, o vartojimo patirties vaikams, sergantiems MDS/MPL, DFSP, VTSN ir HES/LEL, yra labai nedaug.</w:t>
      </w:r>
    </w:p>
    <w:p w14:paraId="7EFB4688" w14:textId="77777777" w:rsidR="003646A0" w:rsidRPr="00F93FFA" w:rsidRDefault="003646A0" w:rsidP="00DE16D0">
      <w:pPr>
        <w:widowControl w:val="0"/>
        <w:ind w:left="567" w:hanging="567"/>
        <w:rPr>
          <w:color w:val="000000"/>
          <w:sz w:val="22"/>
          <w:szCs w:val="22"/>
        </w:rPr>
      </w:pPr>
    </w:p>
    <w:p w14:paraId="08CDD89B" w14:textId="77777777" w:rsidR="003646A0" w:rsidRPr="00F93FFA" w:rsidRDefault="003646A0" w:rsidP="00DE16D0">
      <w:pPr>
        <w:widowControl w:val="0"/>
        <w:rPr>
          <w:color w:val="000000"/>
          <w:sz w:val="22"/>
          <w:szCs w:val="22"/>
        </w:rPr>
      </w:pPr>
      <w:r w:rsidRPr="00F93FFA">
        <w:rPr>
          <w:color w:val="000000"/>
          <w:sz w:val="22"/>
          <w:szCs w:val="22"/>
        </w:rPr>
        <w:t>Kai kurių vaikų ir paauglių, vartojančių Glivec, augimas gali būti lėtesnis nei įprasta. Todėl gydytojas tikrins augimą įprastų vizitų metu.</w:t>
      </w:r>
    </w:p>
    <w:p w14:paraId="5BFB55E6" w14:textId="77777777" w:rsidR="003646A0" w:rsidRPr="00F93FFA" w:rsidRDefault="003646A0" w:rsidP="00DE16D0">
      <w:pPr>
        <w:widowControl w:val="0"/>
        <w:ind w:left="567" w:hanging="567"/>
        <w:rPr>
          <w:color w:val="000000"/>
          <w:sz w:val="22"/>
          <w:szCs w:val="22"/>
        </w:rPr>
      </w:pPr>
    </w:p>
    <w:p w14:paraId="541B3D1C"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t>Kiti vaistai ir Glivec</w:t>
      </w:r>
    </w:p>
    <w:p w14:paraId="34042BDF" w14:textId="1C038D54" w:rsidR="003646A0" w:rsidRPr="00F93FFA" w:rsidRDefault="003646A0" w:rsidP="00DE16D0">
      <w:pPr>
        <w:widowControl w:val="0"/>
        <w:rPr>
          <w:color w:val="000000"/>
          <w:sz w:val="22"/>
          <w:szCs w:val="22"/>
        </w:rPr>
      </w:pPr>
      <w:r w:rsidRPr="00F93FFA">
        <w:rPr>
          <w:color w:val="000000"/>
          <w:sz w:val="22"/>
          <w:szCs w:val="22"/>
        </w:rPr>
        <w:t>Jeigu vartojate ar neseniai vartojote kitų vaistų</w:t>
      </w:r>
      <w:r w:rsidRPr="00F93FFA">
        <w:rPr>
          <w:sz w:val="22"/>
          <w:szCs w:val="22"/>
        </w:rPr>
        <w:t xml:space="preserve"> arba dėl to nesate tikri</w:t>
      </w:r>
      <w:r w:rsidRPr="00F93FFA">
        <w:rPr>
          <w:color w:val="000000"/>
          <w:sz w:val="22"/>
          <w:szCs w:val="22"/>
        </w:rPr>
        <w:t xml:space="preserve">, įskaitant įsigytus be recepto </w:t>
      </w:r>
      <w:r w:rsidRPr="00F93FFA">
        <w:rPr>
          <w:color w:val="000000"/>
          <w:sz w:val="22"/>
          <w:szCs w:val="22"/>
        </w:rPr>
        <w:lastRenderedPageBreak/>
        <w:t xml:space="preserve">(tokių kaip paracetamolio) ir taip pat augalinių (tokių kaip jonažolės preparatų), apie tai pasakykite gydytojui arba vaistininkui. Kai kurie </w:t>
      </w:r>
      <w:r w:rsidR="00A61375" w:rsidRPr="00F93FFA">
        <w:rPr>
          <w:color w:val="000000"/>
          <w:sz w:val="22"/>
          <w:szCs w:val="22"/>
        </w:rPr>
        <w:t>vaistai</w:t>
      </w:r>
      <w:r w:rsidRPr="00F93FFA">
        <w:rPr>
          <w:color w:val="000000"/>
          <w:sz w:val="22"/>
          <w:szCs w:val="22"/>
        </w:rPr>
        <w:t xml:space="preserve"> vartojami kartu gali sąveikauti su Glivec. Jie gali padidinti arba sumažinti Glivec poveikį, arba padidindami nepageidaujamų reiškinių pasireiškimo dažnį, arba mažindami Glivec veiksmingumą. Glivec gali panašiai veikti kai kuriuos kitus </w:t>
      </w:r>
      <w:r w:rsidR="00A61375" w:rsidRPr="00F93FFA">
        <w:rPr>
          <w:color w:val="000000"/>
          <w:sz w:val="22"/>
          <w:szCs w:val="22"/>
        </w:rPr>
        <w:t>vaistus</w:t>
      </w:r>
      <w:r w:rsidRPr="00F93FFA">
        <w:rPr>
          <w:color w:val="000000"/>
          <w:sz w:val="22"/>
          <w:szCs w:val="22"/>
        </w:rPr>
        <w:t>.</w:t>
      </w:r>
    </w:p>
    <w:p w14:paraId="1F13D58B" w14:textId="77777777" w:rsidR="003646A0" w:rsidRPr="00F93FFA" w:rsidRDefault="003646A0" w:rsidP="00DE16D0">
      <w:pPr>
        <w:widowControl w:val="0"/>
        <w:rPr>
          <w:color w:val="000000"/>
          <w:sz w:val="22"/>
          <w:szCs w:val="22"/>
        </w:rPr>
      </w:pPr>
    </w:p>
    <w:p w14:paraId="56F3EC91" w14:textId="77777777" w:rsidR="003646A0" w:rsidRPr="00F93FFA" w:rsidRDefault="003646A0" w:rsidP="00DE16D0">
      <w:pPr>
        <w:widowControl w:val="0"/>
        <w:rPr>
          <w:color w:val="000000"/>
          <w:sz w:val="22"/>
          <w:szCs w:val="22"/>
        </w:rPr>
      </w:pPr>
      <w:r w:rsidRPr="00F93FFA">
        <w:rPr>
          <w:color w:val="000000"/>
          <w:sz w:val="22"/>
          <w:szCs w:val="22"/>
        </w:rPr>
        <w:t>Pasakykite gydytojui, jei vartojate vaistų, kurie apsaugo nuo kraujo krešulių susidarymo.</w:t>
      </w:r>
    </w:p>
    <w:p w14:paraId="66C763EB" w14:textId="77777777" w:rsidR="003646A0" w:rsidRPr="00F93FFA" w:rsidRDefault="003646A0" w:rsidP="00DE16D0">
      <w:pPr>
        <w:widowControl w:val="0"/>
        <w:rPr>
          <w:sz w:val="22"/>
          <w:szCs w:val="22"/>
        </w:rPr>
      </w:pPr>
    </w:p>
    <w:p w14:paraId="0A512822" w14:textId="77777777" w:rsidR="003646A0" w:rsidRPr="00F93FFA" w:rsidRDefault="003646A0" w:rsidP="009A4400">
      <w:pPr>
        <w:keepNext/>
        <w:widowControl w:val="0"/>
        <w:rPr>
          <w:b/>
          <w:sz w:val="22"/>
          <w:szCs w:val="22"/>
        </w:rPr>
      </w:pPr>
      <w:r w:rsidRPr="00F93FFA">
        <w:rPr>
          <w:b/>
          <w:sz w:val="22"/>
          <w:szCs w:val="22"/>
        </w:rPr>
        <w:t>Nėštumas, žindymo laikotarpis ir vaisingumas</w:t>
      </w:r>
    </w:p>
    <w:p w14:paraId="667D5A32" w14:textId="77777777" w:rsidR="003646A0" w:rsidRPr="00F93FFA" w:rsidRDefault="003646A0" w:rsidP="00DE16D0">
      <w:pPr>
        <w:widowControl w:val="0"/>
        <w:numPr>
          <w:ilvl w:val="0"/>
          <w:numId w:val="14"/>
        </w:numPr>
        <w:tabs>
          <w:tab w:val="clear" w:pos="360"/>
          <w:tab w:val="num" w:pos="540"/>
        </w:tabs>
        <w:ind w:left="540" w:hanging="540"/>
        <w:rPr>
          <w:sz w:val="22"/>
          <w:szCs w:val="22"/>
        </w:rPr>
      </w:pPr>
      <w:r w:rsidRPr="00F93FFA">
        <w:rPr>
          <w:sz w:val="22"/>
          <w:szCs w:val="22"/>
        </w:rPr>
        <w:t>Jeigu esate nėščia, žindote kūdikį, manote, kad galbūt esate nėščia arba planuojate pastoti, tai prieš vartodama šį vaistą pasitarkite su gydytoju.</w:t>
      </w:r>
    </w:p>
    <w:p w14:paraId="71FA12B1" w14:textId="77777777" w:rsidR="003646A0" w:rsidRPr="00F93FFA" w:rsidRDefault="003646A0" w:rsidP="00DE16D0">
      <w:pPr>
        <w:widowControl w:val="0"/>
        <w:numPr>
          <w:ilvl w:val="0"/>
          <w:numId w:val="14"/>
        </w:numPr>
        <w:tabs>
          <w:tab w:val="clear" w:pos="360"/>
          <w:tab w:val="num" w:pos="540"/>
        </w:tabs>
        <w:ind w:left="540" w:hanging="540"/>
        <w:rPr>
          <w:sz w:val="22"/>
          <w:szCs w:val="22"/>
        </w:rPr>
      </w:pPr>
      <w:r w:rsidRPr="00F93FFA">
        <w:rPr>
          <w:sz w:val="22"/>
          <w:szCs w:val="22"/>
        </w:rPr>
        <w:t>Glivec nerekomenduojama vartoti nėščiosioms, nebent neišvengiama, nes tai gali pakenkti Jūsų kūdikiui. Gydytojas supažindins Jus su galima Glivec vartojimo nėštumo laikotarpiu rizika.</w:t>
      </w:r>
    </w:p>
    <w:p w14:paraId="21AC0B09" w14:textId="77777777" w:rsidR="003646A0" w:rsidRPr="00F93FFA" w:rsidRDefault="003646A0" w:rsidP="00DE16D0">
      <w:pPr>
        <w:widowControl w:val="0"/>
        <w:numPr>
          <w:ilvl w:val="0"/>
          <w:numId w:val="14"/>
        </w:numPr>
        <w:tabs>
          <w:tab w:val="clear" w:pos="360"/>
          <w:tab w:val="num" w:pos="540"/>
        </w:tabs>
        <w:ind w:left="540" w:hanging="540"/>
        <w:rPr>
          <w:sz w:val="22"/>
          <w:szCs w:val="22"/>
        </w:rPr>
      </w:pPr>
      <w:r w:rsidRPr="00F93FFA">
        <w:rPr>
          <w:sz w:val="22"/>
          <w:szCs w:val="22"/>
        </w:rPr>
        <w:t xml:space="preserve">Moterims, galinčioms pastoti, gydantis šiuo vaistu </w:t>
      </w:r>
      <w:r w:rsidR="00F50991" w:rsidRPr="00F93FFA">
        <w:rPr>
          <w:sz w:val="22"/>
          <w:szCs w:val="22"/>
        </w:rPr>
        <w:t xml:space="preserve">ir 15 dienų po gydymo pabaigos, </w:t>
      </w:r>
      <w:r w:rsidRPr="00F93FFA">
        <w:rPr>
          <w:sz w:val="22"/>
          <w:szCs w:val="22"/>
        </w:rPr>
        <w:t>rekomenduojama taikyti efektyvias kontracepcijos priemones.</w:t>
      </w:r>
    </w:p>
    <w:p w14:paraId="60302020" w14:textId="4F5196EC" w:rsidR="003646A0" w:rsidRPr="00F93FFA" w:rsidRDefault="003646A0" w:rsidP="00DE16D0">
      <w:pPr>
        <w:widowControl w:val="0"/>
        <w:numPr>
          <w:ilvl w:val="0"/>
          <w:numId w:val="14"/>
        </w:numPr>
        <w:tabs>
          <w:tab w:val="clear" w:pos="360"/>
          <w:tab w:val="num" w:pos="540"/>
        </w:tabs>
        <w:ind w:left="540" w:hanging="540"/>
        <w:rPr>
          <w:sz w:val="22"/>
          <w:szCs w:val="22"/>
        </w:rPr>
      </w:pPr>
      <w:r w:rsidRPr="00F93FFA">
        <w:rPr>
          <w:sz w:val="22"/>
          <w:szCs w:val="22"/>
        </w:rPr>
        <w:t>Vartodama Glivec</w:t>
      </w:r>
      <w:r w:rsidR="00F50991" w:rsidRPr="00F93FFA">
        <w:rPr>
          <w:sz w:val="22"/>
          <w:szCs w:val="22"/>
        </w:rPr>
        <w:t xml:space="preserve"> ir 15 dienų po gydymo pabaigos</w:t>
      </w:r>
      <w:r w:rsidRPr="00F93FFA">
        <w:rPr>
          <w:sz w:val="22"/>
          <w:szCs w:val="22"/>
        </w:rPr>
        <w:t xml:space="preserve"> nežindykite</w:t>
      </w:r>
      <w:r w:rsidR="00F50991" w:rsidRPr="00F93FFA">
        <w:rPr>
          <w:sz w:val="22"/>
          <w:szCs w:val="22"/>
        </w:rPr>
        <w:t>, nes tai gali pakenkti Jūsų kūdikiui</w:t>
      </w:r>
      <w:r w:rsidRPr="00F93FFA">
        <w:rPr>
          <w:sz w:val="22"/>
          <w:szCs w:val="22"/>
        </w:rPr>
        <w:t>.</w:t>
      </w:r>
    </w:p>
    <w:p w14:paraId="314D4CE2" w14:textId="77777777" w:rsidR="003646A0" w:rsidRPr="00F93FFA" w:rsidRDefault="003646A0" w:rsidP="00DE16D0">
      <w:pPr>
        <w:widowControl w:val="0"/>
        <w:numPr>
          <w:ilvl w:val="0"/>
          <w:numId w:val="14"/>
        </w:numPr>
        <w:tabs>
          <w:tab w:val="clear" w:pos="360"/>
          <w:tab w:val="num" w:pos="540"/>
        </w:tabs>
        <w:ind w:left="540" w:hanging="540"/>
        <w:rPr>
          <w:sz w:val="22"/>
          <w:szCs w:val="22"/>
        </w:rPr>
      </w:pPr>
      <w:r w:rsidRPr="00F93FFA">
        <w:rPr>
          <w:sz w:val="22"/>
          <w:szCs w:val="22"/>
        </w:rPr>
        <w:t>Pacientai Glivec vartojimo laikotarpiu dėl savo vaisingumo turi konsultuotis su gydytoju.</w:t>
      </w:r>
    </w:p>
    <w:p w14:paraId="7D8B4B18" w14:textId="77777777" w:rsidR="003646A0" w:rsidRPr="00F93FFA" w:rsidRDefault="003646A0" w:rsidP="00DE16D0">
      <w:pPr>
        <w:widowControl w:val="0"/>
        <w:rPr>
          <w:sz w:val="22"/>
          <w:szCs w:val="22"/>
        </w:rPr>
      </w:pPr>
    </w:p>
    <w:p w14:paraId="63CCE57B"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Vairavimas ir mechanizmų valdymas</w:t>
      </w:r>
    </w:p>
    <w:p w14:paraId="468C9300" w14:textId="77777777" w:rsidR="003646A0" w:rsidRPr="00F93FFA" w:rsidRDefault="003646A0" w:rsidP="00DE16D0">
      <w:pPr>
        <w:widowControl w:val="0"/>
        <w:rPr>
          <w:color w:val="000000"/>
          <w:sz w:val="22"/>
          <w:szCs w:val="22"/>
        </w:rPr>
      </w:pPr>
      <w:r w:rsidRPr="00F93FFA">
        <w:rPr>
          <w:color w:val="000000"/>
          <w:sz w:val="22"/>
          <w:szCs w:val="22"/>
        </w:rPr>
        <w:t>Vartodami šio vaisto galite jausti galvos svaigimą ar mieguistumą arba Jums gali pasireikšti neryškus matymas. Jeigu taip atsitiktų, nevairuokite ir nevaldykite bet kokios rūšies mechanizmų, kol vėl nepasijusite gerai.</w:t>
      </w:r>
    </w:p>
    <w:p w14:paraId="19F02F62" w14:textId="77777777" w:rsidR="003646A0" w:rsidRPr="00F93FFA" w:rsidRDefault="003646A0" w:rsidP="00DE16D0">
      <w:pPr>
        <w:widowControl w:val="0"/>
        <w:rPr>
          <w:color w:val="000000"/>
          <w:sz w:val="22"/>
          <w:szCs w:val="22"/>
        </w:rPr>
      </w:pPr>
    </w:p>
    <w:p w14:paraId="2E5687E9" w14:textId="77777777" w:rsidR="003646A0" w:rsidRPr="00F93FFA" w:rsidRDefault="003646A0" w:rsidP="00DE16D0">
      <w:pPr>
        <w:widowControl w:val="0"/>
        <w:rPr>
          <w:color w:val="000000"/>
          <w:sz w:val="22"/>
          <w:szCs w:val="22"/>
        </w:rPr>
      </w:pPr>
    </w:p>
    <w:p w14:paraId="48A8D028"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3.</w:t>
      </w:r>
      <w:r w:rsidRPr="00F93FFA">
        <w:rPr>
          <w:b/>
          <w:color w:val="000000"/>
          <w:sz w:val="22"/>
          <w:szCs w:val="22"/>
        </w:rPr>
        <w:tab/>
      </w:r>
      <w:r w:rsidRPr="00F93FFA">
        <w:rPr>
          <w:b/>
          <w:caps/>
          <w:color w:val="000000"/>
          <w:sz w:val="22"/>
          <w:szCs w:val="22"/>
        </w:rPr>
        <w:t>K</w:t>
      </w:r>
      <w:r w:rsidRPr="00F93FFA">
        <w:rPr>
          <w:b/>
          <w:color w:val="000000"/>
          <w:sz w:val="22"/>
          <w:szCs w:val="22"/>
        </w:rPr>
        <w:t>aip vartoti Glivec</w:t>
      </w:r>
    </w:p>
    <w:p w14:paraId="0F46788F" w14:textId="77777777" w:rsidR="003646A0" w:rsidRPr="00F93FFA" w:rsidRDefault="003646A0" w:rsidP="009A4400">
      <w:pPr>
        <w:keepNext/>
        <w:widowControl w:val="0"/>
        <w:ind w:left="567" w:hanging="567"/>
        <w:rPr>
          <w:color w:val="000000"/>
          <w:sz w:val="22"/>
          <w:szCs w:val="22"/>
        </w:rPr>
      </w:pPr>
    </w:p>
    <w:p w14:paraId="1D8BBA40" w14:textId="77777777" w:rsidR="003646A0" w:rsidRPr="00F93FFA" w:rsidRDefault="003646A0" w:rsidP="00DE16D0">
      <w:pPr>
        <w:widowControl w:val="0"/>
        <w:rPr>
          <w:color w:val="000000"/>
          <w:sz w:val="22"/>
          <w:szCs w:val="22"/>
        </w:rPr>
      </w:pPr>
      <w:r w:rsidRPr="00F93FFA">
        <w:rPr>
          <w:color w:val="000000"/>
          <w:sz w:val="22"/>
          <w:szCs w:val="22"/>
        </w:rPr>
        <w:t>Jūsų gydytojas Jums paskyrė Glivec, kadangi sergate sunkia liga. Glivec gali Jums padėti kovojant su šia būkle.</w:t>
      </w:r>
    </w:p>
    <w:p w14:paraId="1474FADA" w14:textId="77777777" w:rsidR="003646A0" w:rsidRPr="00F93FFA" w:rsidRDefault="003646A0" w:rsidP="00DE16D0">
      <w:pPr>
        <w:widowControl w:val="0"/>
        <w:rPr>
          <w:color w:val="000000"/>
          <w:sz w:val="22"/>
          <w:szCs w:val="22"/>
        </w:rPr>
      </w:pPr>
    </w:p>
    <w:p w14:paraId="66C82940" w14:textId="77777777" w:rsidR="003646A0" w:rsidRPr="00F93FFA" w:rsidRDefault="003646A0" w:rsidP="00DE16D0">
      <w:pPr>
        <w:widowControl w:val="0"/>
        <w:rPr>
          <w:color w:val="000000"/>
          <w:sz w:val="22"/>
          <w:szCs w:val="22"/>
        </w:rPr>
      </w:pPr>
      <w:r w:rsidRPr="00F93FFA">
        <w:rPr>
          <w:color w:val="000000"/>
          <w:sz w:val="22"/>
          <w:szCs w:val="22"/>
        </w:rPr>
        <w:t xml:space="preserve">Tačiau visada vartokite </w:t>
      </w:r>
      <w:r w:rsidRPr="00F93FFA">
        <w:rPr>
          <w:sz w:val="22"/>
          <w:szCs w:val="22"/>
        </w:rPr>
        <w:t>šį vaistą</w:t>
      </w:r>
      <w:r w:rsidRPr="00F93FFA">
        <w:rPr>
          <w:color w:val="000000"/>
          <w:sz w:val="22"/>
          <w:szCs w:val="22"/>
        </w:rPr>
        <w:t xml:space="preserve"> tiksliai kaip nurodė gydytojas</w:t>
      </w:r>
      <w:r w:rsidRPr="00F93FFA">
        <w:rPr>
          <w:sz w:val="22"/>
          <w:szCs w:val="22"/>
        </w:rPr>
        <w:t xml:space="preserve"> arba vaistininkas</w:t>
      </w:r>
      <w:r w:rsidRPr="00F93FFA">
        <w:rPr>
          <w:color w:val="000000"/>
          <w:sz w:val="22"/>
          <w:szCs w:val="22"/>
        </w:rPr>
        <w:t>. Svarbu, kad vaisto vartotumėte tiek laiko, kiek nurodė Jūsų gydytojas</w:t>
      </w:r>
      <w:r w:rsidRPr="00F93FFA">
        <w:rPr>
          <w:sz w:val="22"/>
          <w:szCs w:val="22"/>
        </w:rPr>
        <w:t xml:space="preserve"> arba vaistininkas</w:t>
      </w:r>
      <w:r w:rsidRPr="00F93FFA">
        <w:rPr>
          <w:color w:val="000000"/>
          <w:sz w:val="22"/>
          <w:szCs w:val="22"/>
        </w:rPr>
        <w:t>. Jeigu abejojate, kreipkitės į gydytoją arba vaistininką.</w:t>
      </w:r>
    </w:p>
    <w:p w14:paraId="27E374F6" w14:textId="77777777" w:rsidR="003646A0" w:rsidRPr="00F93FFA" w:rsidRDefault="003646A0" w:rsidP="00DE16D0">
      <w:pPr>
        <w:widowControl w:val="0"/>
        <w:rPr>
          <w:color w:val="000000"/>
          <w:sz w:val="22"/>
          <w:szCs w:val="22"/>
        </w:rPr>
      </w:pPr>
    </w:p>
    <w:p w14:paraId="5C0ACCBE" w14:textId="77777777" w:rsidR="003646A0" w:rsidRPr="00F93FFA" w:rsidRDefault="003646A0" w:rsidP="00DE16D0">
      <w:pPr>
        <w:widowControl w:val="0"/>
        <w:rPr>
          <w:color w:val="000000"/>
          <w:sz w:val="22"/>
          <w:szCs w:val="22"/>
        </w:rPr>
      </w:pPr>
      <w:r w:rsidRPr="00F93FFA">
        <w:rPr>
          <w:color w:val="000000"/>
          <w:sz w:val="22"/>
          <w:szCs w:val="22"/>
        </w:rPr>
        <w:t>Nenustokite vartoti Glivec, nebent taip nurodytų Jūsų gydytojas. Nedelsdami kreipkitės į gydytoją, jeigu negalite vartoti vaisto taip, kaip paskyrė gydytojas, arba jaučiate, kad šio vaisto Jums daugiau nereikia.</w:t>
      </w:r>
    </w:p>
    <w:p w14:paraId="255D8AE3" w14:textId="77777777" w:rsidR="003646A0" w:rsidRPr="00F93FFA" w:rsidRDefault="003646A0" w:rsidP="00DE16D0">
      <w:pPr>
        <w:widowControl w:val="0"/>
        <w:rPr>
          <w:color w:val="000000"/>
          <w:sz w:val="22"/>
          <w:szCs w:val="22"/>
        </w:rPr>
      </w:pPr>
    </w:p>
    <w:p w14:paraId="10A5F598" w14:textId="77777777" w:rsidR="003646A0" w:rsidRPr="00F93FFA" w:rsidRDefault="003646A0" w:rsidP="009A4400">
      <w:pPr>
        <w:keepNext/>
        <w:widowControl w:val="0"/>
        <w:rPr>
          <w:b/>
          <w:color w:val="000000"/>
          <w:sz w:val="22"/>
          <w:szCs w:val="22"/>
        </w:rPr>
      </w:pPr>
      <w:r w:rsidRPr="00F93FFA">
        <w:rPr>
          <w:b/>
          <w:color w:val="000000"/>
          <w:sz w:val="22"/>
          <w:szCs w:val="22"/>
        </w:rPr>
        <w:t>Kiek Glivec vartoti</w:t>
      </w:r>
    </w:p>
    <w:p w14:paraId="49CB7480" w14:textId="77777777" w:rsidR="003646A0" w:rsidRPr="00F93FFA" w:rsidRDefault="003646A0" w:rsidP="009A4400">
      <w:pPr>
        <w:keepNext/>
        <w:widowControl w:val="0"/>
        <w:rPr>
          <w:color w:val="000000"/>
          <w:sz w:val="22"/>
          <w:szCs w:val="22"/>
        </w:rPr>
      </w:pPr>
    </w:p>
    <w:p w14:paraId="1D4139C1" w14:textId="77777777" w:rsidR="003646A0" w:rsidRPr="00F93FFA" w:rsidRDefault="003646A0" w:rsidP="009A4400">
      <w:pPr>
        <w:keepNext/>
        <w:widowControl w:val="0"/>
        <w:rPr>
          <w:b/>
          <w:color w:val="000000"/>
          <w:sz w:val="22"/>
          <w:szCs w:val="22"/>
        </w:rPr>
      </w:pPr>
      <w:r w:rsidRPr="00F93FFA">
        <w:rPr>
          <w:b/>
          <w:color w:val="000000"/>
          <w:sz w:val="22"/>
          <w:szCs w:val="22"/>
        </w:rPr>
        <w:t>Vartojimas suaugusiesiems</w:t>
      </w:r>
    </w:p>
    <w:p w14:paraId="6A516020" w14:textId="77777777" w:rsidR="003646A0" w:rsidRPr="00F93FFA" w:rsidRDefault="003646A0" w:rsidP="00DE16D0">
      <w:pPr>
        <w:widowControl w:val="0"/>
        <w:rPr>
          <w:color w:val="000000"/>
          <w:sz w:val="22"/>
          <w:szCs w:val="22"/>
        </w:rPr>
      </w:pPr>
      <w:r w:rsidRPr="00F93FFA">
        <w:rPr>
          <w:color w:val="000000"/>
          <w:sz w:val="22"/>
          <w:szCs w:val="22"/>
        </w:rPr>
        <w:t>Gydytojas Jums tiksliai nurodys, kiek Glivec kapsulių gerti.</w:t>
      </w:r>
    </w:p>
    <w:p w14:paraId="4EE1A29C" w14:textId="77777777" w:rsidR="003646A0" w:rsidRPr="00F93FFA" w:rsidRDefault="003646A0" w:rsidP="00DE16D0">
      <w:pPr>
        <w:widowControl w:val="0"/>
        <w:rPr>
          <w:color w:val="000000"/>
          <w:sz w:val="22"/>
          <w:szCs w:val="22"/>
        </w:rPr>
      </w:pPr>
    </w:p>
    <w:p w14:paraId="41282598" w14:textId="77777777" w:rsidR="003646A0" w:rsidRPr="00F93FFA" w:rsidRDefault="003646A0" w:rsidP="009A4400">
      <w:pPr>
        <w:keepNext/>
        <w:widowControl w:val="0"/>
        <w:numPr>
          <w:ilvl w:val="0"/>
          <w:numId w:val="22"/>
        </w:numPr>
        <w:tabs>
          <w:tab w:val="clear" w:pos="360"/>
        </w:tabs>
        <w:ind w:left="540" w:hanging="540"/>
        <w:rPr>
          <w:b/>
          <w:color w:val="000000"/>
          <w:sz w:val="22"/>
          <w:szCs w:val="22"/>
        </w:rPr>
      </w:pPr>
      <w:r w:rsidRPr="00F93FFA">
        <w:rPr>
          <w:b/>
          <w:color w:val="000000"/>
          <w:sz w:val="22"/>
          <w:szCs w:val="22"/>
        </w:rPr>
        <w:t>Jei gydoma LML:</w:t>
      </w:r>
    </w:p>
    <w:p w14:paraId="3C3719C7" w14:textId="77777777" w:rsidR="003646A0" w:rsidRPr="00F93FFA" w:rsidRDefault="003646A0" w:rsidP="009A4400">
      <w:pPr>
        <w:keepNext/>
        <w:widowControl w:val="0"/>
        <w:ind w:firstLine="540"/>
        <w:rPr>
          <w:color w:val="000000"/>
          <w:sz w:val="22"/>
          <w:szCs w:val="22"/>
        </w:rPr>
      </w:pPr>
      <w:r w:rsidRPr="00F93FFA">
        <w:rPr>
          <w:color w:val="000000"/>
          <w:sz w:val="22"/>
          <w:szCs w:val="22"/>
        </w:rPr>
        <w:t>Priklausomai nuo Jūsų būklės, įprasta pradinė dozė yra arba 400 mg, arba 600 mg:</w:t>
      </w:r>
    </w:p>
    <w:p w14:paraId="28E4ADCD" w14:textId="77777777" w:rsidR="003646A0" w:rsidRPr="00F93FFA" w:rsidRDefault="003646A0" w:rsidP="009A4400">
      <w:pPr>
        <w:keepNext/>
        <w:widowControl w:val="0"/>
        <w:numPr>
          <w:ilvl w:val="0"/>
          <w:numId w:val="10"/>
        </w:numPr>
        <w:rPr>
          <w:color w:val="000000"/>
          <w:sz w:val="22"/>
          <w:szCs w:val="22"/>
        </w:rPr>
      </w:pPr>
      <w:r w:rsidRPr="00F93FFA">
        <w:rPr>
          <w:b/>
          <w:color w:val="000000"/>
          <w:sz w:val="22"/>
          <w:szCs w:val="22"/>
        </w:rPr>
        <w:t>400 mg</w:t>
      </w:r>
      <w:r w:rsidRPr="00F93FFA">
        <w:rPr>
          <w:color w:val="000000"/>
          <w:sz w:val="22"/>
          <w:szCs w:val="22"/>
        </w:rPr>
        <w:t xml:space="preserve">, vartojant po 4 kapsules </w:t>
      </w:r>
      <w:r w:rsidRPr="00F93FFA">
        <w:rPr>
          <w:b/>
          <w:color w:val="000000"/>
          <w:sz w:val="22"/>
          <w:szCs w:val="22"/>
        </w:rPr>
        <w:t>kartą</w:t>
      </w:r>
      <w:r w:rsidRPr="00F93FFA">
        <w:rPr>
          <w:color w:val="000000"/>
          <w:sz w:val="22"/>
          <w:szCs w:val="22"/>
        </w:rPr>
        <w:t xml:space="preserve"> per parą,</w:t>
      </w:r>
    </w:p>
    <w:p w14:paraId="67EC6863" w14:textId="77777777" w:rsidR="003646A0" w:rsidRPr="00F93FFA" w:rsidRDefault="003646A0" w:rsidP="00DE16D0">
      <w:pPr>
        <w:widowControl w:val="0"/>
        <w:numPr>
          <w:ilvl w:val="0"/>
          <w:numId w:val="10"/>
        </w:numPr>
        <w:rPr>
          <w:color w:val="000000"/>
          <w:sz w:val="22"/>
          <w:szCs w:val="22"/>
        </w:rPr>
      </w:pPr>
      <w:r w:rsidRPr="00F93FFA">
        <w:rPr>
          <w:b/>
          <w:color w:val="000000"/>
          <w:sz w:val="22"/>
          <w:szCs w:val="22"/>
        </w:rPr>
        <w:t>600 mg</w:t>
      </w:r>
      <w:r w:rsidRPr="00F93FFA">
        <w:rPr>
          <w:color w:val="000000"/>
          <w:sz w:val="22"/>
          <w:szCs w:val="22"/>
        </w:rPr>
        <w:t xml:space="preserve">, vartojant po 6 kapsules </w:t>
      </w:r>
      <w:r w:rsidRPr="00F93FFA">
        <w:rPr>
          <w:b/>
          <w:color w:val="000000"/>
          <w:sz w:val="22"/>
          <w:szCs w:val="22"/>
        </w:rPr>
        <w:t>kartą</w:t>
      </w:r>
      <w:r w:rsidRPr="00F93FFA">
        <w:rPr>
          <w:color w:val="000000"/>
          <w:sz w:val="22"/>
          <w:szCs w:val="22"/>
        </w:rPr>
        <w:t xml:space="preserve"> per parą.</w:t>
      </w:r>
    </w:p>
    <w:p w14:paraId="736D92C6" w14:textId="77777777" w:rsidR="003646A0" w:rsidRPr="00F93FFA" w:rsidRDefault="003646A0" w:rsidP="00DE16D0">
      <w:pPr>
        <w:widowControl w:val="0"/>
        <w:rPr>
          <w:color w:val="000000"/>
          <w:sz w:val="22"/>
          <w:szCs w:val="22"/>
        </w:rPr>
      </w:pPr>
    </w:p>
    <w:p w14:paraId="4DA4BCF3" w14:textId="77777777" w:rsidR="003646A0" w:rsidRPr="00F93FFA" w:rsidRDefault="003646A0" w:rsidP="009A4400">
      <w:pPr>
        <w:keepNext/>
        <w:widowControl w:val="0"/>
        <w:numPr>
          <w:ilvl w:val="0"/>
          <w:numId w:val="22"/>
        </w:numPr>
        <w:tabs>
          <w:tab w:val="clear" w:pos="360"/>
        </w:tabs>
        <w:ind w:left="540" w:hanging="540"/>
        <w:rPr>
          <w:b/>
          <w:color w:val="000000"/>
          <w:sz w:val="22"/>
          <w:szCs w:val="22"/>
        </w:rPr>
      </w:pPr>
      <w:r w:rsidRPr="00F93FFA">
        <w:rPr>
          <w:b/>
          <w:color w:val="000000"/>
          <w:sz w:val="22"/>
          <w:szCs w:val="22"/>
        </w:rPr>
        <w:t>Jei gydoma VTSN:</w:t>
      </w:r>
    </w:p>
    <w:p w14:paraId="43F19C68" w14:textId="77777777" w:rsidR="003646A0" w:rsidRPr="00F93FFA" w:rsidRDefault="003646A0" w:rsidP="00DE16D0">
      <w:pPr>
        <w:widowControl w:val="0"/>
        <w:ind w:firstLine="540"/>
        <w:rPr>
          <w:color w:val="000000"/>
          <w:sz w:val="22"/>
          <w:szCs w:val="22"/>
        </w:rPr>
      </w:pPr>
      <w:r w:rsidRPr="00F93FFA">
        <w:rPr>
          <w:color w:val="000000"/>
          <w:sz w:val="22"/>
          <w:szCs w:val="22"/>
        </w:rPr>
        <w:t xml:space="preserve">Pradinė dozė yra 400 mg, vartojant po 4 kapsules </w:t>
      </w:r>
      <w:r w:rsidRPr="00F93FFA">
        <w:rPr>
          <w:b/>
          <w:color w:val="000000"/>
          <w:sz w:val="22"/>
          <w:szCs w:val="22"/>
        </w:rPr>
        <w:t>kartą</w:t>
      </w:r>
      <w:r w:rsidRPr="00F93FFA">
        <w:rPr>
          <w:color w:val="000000"/>
          <w:sz w:val="22"/>
          <w:szCs w:val="22"/>
        </w:rPr>
        <w:t xml:space="preserve"> per parą.</w:t>
      </w:r>
    </w:p>
    <w:p w14:paraId="270A0B5D" w14:textId="77777777" w:rsidR="003646A0" w:rsidRPr="00F93FFA" w:rsidRDefault="003646A0" w:rsidP="00DE16D0">
      <w:pPr>
        <w:widowControl w:val="0"/>
        <w:rPr>
          <w:color w:val="000000"/>
          <w:sz w:val="22"/>
          <w:szCs w:val="22"/>
        </w:rPr>
      </w:pPr>
    </w:p>
    <w:p w14:paraId="4762B07F" w14:textId="77777777" w:rsidR="003646A0" w:rsidRPr="00F93FFA" w:rsidRDefault="003646A0" w:rsidP="00DE16D0">
      <w:pPr>
        <w:widowControl w:val="0"/>
        <w:rPr>
          <w:color w:val="000000"/>
          <w:sz w:val="22"/>
          <w:szCs w:val="22"/>
        </w:rPr>
      </w:pPr>
      <w:r w:rsidRPr="00F93FFA">
        <w:rPr>
          <w:color w:val="000000"/>
          <w:sz w:val="22"/>
          <w:szCs w:val="22"/>
        </w:rPr>
        <w:t>Jeigu sergate LML ar VTSN, gydytojas gali paskirti vartoti didesnę arba mažesnę dozę, atsižvelgdamas į Jūsų atsaką į gydymą. Jeigu vartojate 800 mg paros dozę (8 kapsules), reikia gerti 4 kapsules ryte ir 4 kapsules vakare.</w:t>
      </w:r>
    </w:p>
    <w:p w14:paraId="3019DD71" w14:textId="77777777" w:rsidR="003646A0" w:rsidRPr="00F93FFA" w:rsidRDefault="003646A0" w:rsidP="00DE16D0">
      <w:pPr>
        <w:pStyle w:val="Listlevel1"/>
        <w:widowControl w:val="0"/>
        <w:spacing w:before="0" w:after="0"/>
        <w:ind w:left="0" w:firstLine="0"/>
        <w:rPr>
          <w:color w:val="000000"/>
          <w:sz w:val="22"/>
          <w:szCs w:val="22"/>
          <w:lang w:val="lt-LT"/>
        </w:rPr>
      </w:pPr>
    </w:p>
    <w:p w14:paraId="6B5101B4" w14:textId="77777777" w:rsidR="003646A0" w:rsidRPr="00F93FFA" w:rsidRDefault="003646A0" w:rsidP="009A4400">
      <w:pPr>
        <w:pStyle w:val="Listlevel1"/>
        <w:keepNext/>
        <w:widowControl w:val="0"/>
        <w:numPr>
          <w:ilvl w:val="0"/>
          <w:numId w:val="22"/>
        </w:numPr>
        <w:tabs>
          <w:tab w:val="clear" w:pos="360"/>
        </w:tabs>
        <w:spacing w:before="0" w:after="0"/>
        <w:ind w:left="539" w:hanging="539"/>
        <w:rPr>
          <w:b/>
          <w:color w:val="000000"/>
          <w:sz w:val="22"/>
          <w:szCs w:val="22"/>
          <w:lang w:val="lt-LT"/>
        </w:rPr>
      </w:pPr>
      <w:r w:rsidRPr="00F93FFA">
        <w:rPr>
          <w:b/>
          <w:color w:val="000000"/>
          <w:sz w:val="22"/>
          <w:szCs w:val="22"/>
          <w:lang w:val="lt-LT"/>
        </w:rPr>
        <w:t>Jeigu gydoma Ph teigiama ŪLL:</w:t>
      </w:r>
    </w:p>
    <w:p w14:paraId="1DBB4570" w14:textId="77777777" w:rsidR="003646A0" w:rsidRPr="00F93FFA" w:rsidRDefault="003646A0" w:rsidP="00DE16D0">
      <w:pPr>
        <w:pStyle w:val="Listlevel1"/>
        <w:widowControl w:val="0"/>
        <w:spacing w:before="0" w:after="0"/>
        <w:ind w:left="0" w:firstLine="540"/>
        <w:rPr>
          <w:color w:val="000000"/>
          <w:sz w:val="22"/>
          <w:szCs w:val="22"/>
          <w:lang w:val="lt-LT"/>
        </w:rPr>
      </w:pPr>
      <w:r w:rsidRPr="00F93FFA">
        <w:rPr>
          <w:color w:val="000000"/>
          <w:sz w:val="22"/>
          <w:szCs w:val="22"/>
          <w:lang w:val="lt-LT"/>
        </w:rPr>
        <w:t xml:space="preserve">Pradinė dozė yra 600 mg, vartojant po 6 kapsules </w:t>
      </w:r>
      <w:r w:rsidRPr="00F93FFA">
        <w:rPr>
          <w:b/>
          <w:color w:val="000000"/>
          <w:sz w:val="22"/>
          <w:szCs w:val="22"/>
          <w:lang w:val="lt-LT"/>
        </w:rPr>
        <w:t>kartą</w:t>
      </w:r>
      <w:r w:rsidRPr="00F93FFA">
        <w:rPr>
          <w:color w:val="000000"/>
          <w:sz w:val="22"/>
          <w:szCs w:val="22"/>
          <w:lang w:val="lt-LT"/>
        </w:rPr>
        <w:t xml:space="preserve"> per parą.</w:t>
      </w:r>
    </w:p>
    <w:p w14:paraId="346394A8" w14:textId="77777777" w:rsidR="003646A0" w:rsidRPr="00F93FFA" w:rsidRDefault="003646A0" w:rsidP="00DE16D0">
      <w:pPr>
        <w:pStyle w:val="Listlevel1"/>
        <w:widowControl w:val="0"/>
        <w:tabs>
          <w:tab w:val="left" w:pos="720"/>
        </w:tabs>
        <w:spacing w:before="0" w:after="0"/>
        <w:ind w:left="0" w:firstLine="0"/>
        <w:rPr>
          <w:color w:val="000000"/>
          <w:sz w:val="22"/>
          <w:szCs w:val="22"/>
          <w:lang w:val="lt-LT"/>
        </w:rPr>
      </w:pPr>
    </w:p>
    <w:p w14:paraId="6B4AC8FF" w14:textId="77777777" w:rsidR="003646A0" w:rsidRPr="00F93FFA" w:rsidRDefault="003646A0" w:rsidP="009A4400">
      <w:pPr>
        <w:pStyle w:val="Listlevel1"/>
        <w:keepNext/>
        <w:widowControl w:val="0"/>
        <w:numPr>
          <w:ilvl w:val="0"/>
          <w:numId w:val="22"/>
        </w:numPr>
        <w:tabs>
          <w:tab w:val="clear" w:pos="360"/>
        </w:tabs>
        <w:spacing w:before="0" w:after="0"/>
        <w:ind w:left="540" w:hanging="540"/>
        <w:rPr>
          <w:b/>
          <w:color w:val="000000"/>
          <w:sz w:val="22"/>
          <w:szCs w:val="22"/>
          <w:lang w:val="lt-LT"/>
        </w:rPr>
      </w:pPr>
      <w:r w:rsidRPr="00F93FFA">
        <w:rPr>
          <w:b/>
          <w:color w:val="000000"/>
          <w:sz w:val="22"/>
          <w:szCs w:val="22"/>
          <w:lang w:val="lt-LT"/>
        </w:rPr>
        <w:lastRenderedPageBreak/>
        <w:t>Jeigu gydoma MDS/MPL:</w:t>
      </w:r>
    </w:p>
    <w:p w14:paraId="2F0DC1EB" w14:textId="77777777" w:rsidR="003646A0" w:rsidRPr="00F93FFA" w:rsidRDefault="003646A0" w:rsidP="00DE16D0">
      <w:pPr>
        <w:pStyle w:val="Listlevel1"/>
        <w:widowControl w:val="0"/>
        <w:spacing w:before="0" w:after="0"/>
        <w:ind w:left="540" w:hanging="540"/>
        <w:rPr>
          <w:color w:val="000000"/>
          <w:sz w:val="22"/>
          <w:szCs w:val="22"/>
          <w:lang w:val="lt-LT"/>
        </w:rPr>
      </w:pPr>
      <w:r w:rsidRPr="00F93FFA">
        <w:rPr>
          <w:color w:val="000000"/>
          <w:sz w:val="22"/>
          <w:szCs w:val="22"/>
          <w:lang w:val="lt-LT"/>
        </w:rPr>
        <w:tab/>
        <w:t xml:space="preserve">Pradinė dozė yra 400 mg, vartojant po 4 kapsules </w:t>
      </w:r>
      <w:r w:rsidRPr="00F93FFA">
        <w:rPr>
          <w:b/>
          <w:color w:val="000000"/>
          <w:sz w:val="22"/>
          <w:szCs w:val="22"/>
          <w:lang w:val="lt-LT"/>
        </w:rPr>
        <w:t>kartą</w:t>
      </w:r>
      <w:r w:rsidRPr="00F93FFA">
        <w:rPr>
          <w:color w:val="000000"/>
          <w:sz w:val="22"/>
          <w:szCs w:val="22"/>
          <w:lang w:val="lt-LT"/>
        </w:rPr>
        <w:t xml:space="preserve"> per parą.</w:t>
      </w:r>
    </w:p>
    <w:p w14:paraId="3DD521C6" w14:textId="77777777" w:rsidR="003646A0" w:rsidRPr="00F93FFA" w:rsidRDefault="003646A0" w:rsidP="00DE16D0">
      <w:pPr>
        <w:pStyle w:val="Listlevel1"/>
        <w:widowControl w:val="0"/>
        <w:spacing w:before="0" w:after="0"/>
        <w:ind w:left="0" w:firstLine="0"/>
        <w:rPr>
          <w:color w:val="000000"/>
          <w:sz w:val="22"/>
          <w:szCs w:val="22"/>
          <w:lang w:val="lt-LT"/>
        </w:rPr>
      </w:pPr>
    </w:p>
    <w:p w14:paraId="347D74C2" w14:textId="77777777" w:rsidR="003646A0" w:rsidRPr="00F93FFA" w:rsidRDefault="003646A0" w:rsidP="009A4400">
      <w:pPr>
        <w:keepNext/>
        <w:widowControl w:val="0"/>
        <w:numPr>
          <w:ilvl w:val="0"/>
          <w:numId w:val="22"/>
        </w:numPr>
        <w:tabs>
          <w:tab w:val="clear" w:pos="360"/>
        </w:tabs>
        <w:ind w:left="540" w:hanging="540"/>
        <w:rPr>
          <w:b/>
          <w:color w:val="000000"/>
          <w:sz w:val="22"/>
          <w:szCs w:val="22"/>
        </w:rPr>
      </w:pPr>
      <w:r w:rsidRPr="00F93FFA">
        <w:rPr>
          <w:b/>
          <w:color w:val="000000"/>
          <w:sz w:val="22"/>
          <w:szCs w:val="22"/>
        </w:rPr>
        <w:t>Jeigu gydoma HES/LEL:</w:t>
      </w:r>
    </w:p>
    <w:p w14:paraId="4BF5096C" w14:textId="77777777" w:rsidR="003646A0" w:rsidRPr="00F93FFA" w:rsidRDefault="003646A0" w:rsidP="00DE16D0">
      <w:pPr>
        <w:widowControl w:val="0"/>
        <w:ind w:left="540"/>
        <w:rPr>
          <w:color w:val="000000"/>
          <w:sz w:val="22"/>
          <w:szCs w:val="22"/>
        </w:rPr>
      </w:pPr>
      <w:r w:rsidRPr="00F93FFA">
        <w:rPr>
          <w:color w:val="000000"/>
          <w:sz w:val="22"/>
          <w:szCs w:val="22"/>
        </w:rPr>
        <w:t xml:space="preserve">Pradinė dozė yra 100 mg, vartojant po 1 kapsulę </w:t>
      </w:r>
      <w:r w:rsidRPr="00F93FFA">
        <w:rPr>
          <w:b/>
          <w:color w:val="000000"/>
          <w:sz w:val="22"/>
          <w:szCs w:val="22"/>
        </w:rPr>
        <w:t>kartą</w:t>
      </w:r>
      <w:r w:rsidRPr="00F93FFA">
        <w:rPr>
          <w:color w:val="000000"/>
          <w:sz w:val="22"/>
          <w:szCs w:val="22"/>
        </w:rPr>
        <w:t xml:space="preserve"> per parą. </w:t>
      </w:r>
      <w:r w:rsidRPr="00F93FFA">
        <w:rPr>
          <w:rFonts w:eastAsia="MS Mincho"/>
          <w:color w:val="000000"/>
          <w:sz w:val="22"/>
          <w:szCs w:val="22"/>
          <w:lang w:eastAsia="ja-JP"/>
        </w:rPr>
        <w:t xml:space="preserve">Priklausomai nuo Jūsų atsako į gydymą, Jūsų gydytojas gali nuspręsti padidinti dozę iki 400 mg, vartojant po 4 kapsules </w:t>
      </w:r>
      <w:r w:rsidRPr="00F93FFA">
        <w:rPr>
          <w:rFonts w:eastAsia="MS Mincho"/>
          <w:b/>
          <w:color w:val="000000"/>
          <w:sz w:val="22"/>
          <w:szCs w:val="22"/>
          <w:lang w:eastAsia="ja-JP"/>
        </w:rPr>
        <w:t>kartą</w:t>
      </w:r>
      <w:r w:rsidRPr="00F93FFA">
        <w:rPr>
          <w:rFonts w:eastAsia="MS Mincho"/>
          <w:color w:val="000000"/>
          <w:sz w:val="22"/>
          <w:szCs w:val="22"/>
          <w:lang w:eastAsia="ja-JP"/>
        </w:rPr>
        <w:t xml:space="preserve"> per parą.</w:t>
      </w:r>
    </w:p>
    <w:p w14:paraId="12775100" w14:textId="77777777" w:rsidR="003646A0" w:rsidRPr="00F93FFA" w:rsidRDefault="003646A0" w:rsidP="00DE16D0">
      <w:pPr>
        <w:pStyle w:val="Listlevel1"/>
        <w:widowControl w:val="0"/>
        <w:spacing w:before="0" w:after="0"/>
        <w:ind w:left="0" w:firstLine="0"/>
        <w:rPr>
          <w:color w:val="000000"/>
          <w:sz w:val="22"/>
          <w:szCs w:val="22"/>
          <w:lang w:val="lt-LT"/>
        </w:rPr>
      </w:pPr>
    </w:p>
    <w:p w14:paraId="066B1B89" w14:textId="77777777" w:rsidR="003646A0" w:rsidRPr="00F93FFA" w:rsidRDefault="003646A0" w:rsidP="009A4400">
      <w:pPr>
        <w:keepNext/>
        <w:widowControl w:val="0"/>
        <w:numPr>
          <w:ilvl w:val="0"/>
          <w:numId w:val="22"/>
        </w:numPr>
        <w:tabs>
          <w:tab w:val="clear" w:pos="360"/>
        </w:tabs>
        <w:ind w:left="540" w:hanging="540"/>
        <w:rPr>
          <w:b/>
          <w:color w:val="000000"/>
          <w:sz w:val="22"/>
          <w:szCs w:val="22"/>
        </w:rPr>
      </w:pPr>
      <w:r w:rsidRPr="00F93FFA">
        <w:rPr>
          <w:b/>
          <w:color w:val="000000"/>
          <w:sz w:val="22"/>
          <w:szCs w:val="22"/>
        </w:rPr>
        <w:t>Jeigu gydoma DFSP:</w:t>
      </w:r>
    </w:p>
    <w:p w14:paraId="560C0287" w14:textId="77777777" w:rsidR="003646A0" w:rsidRPr="00F93FFA" w:rsidRDefault="003646A0" w:rsidP="00DE16D0">
      <w:pPr>
        <w:widowControl w:val="0"/>
        <w:ind w:left="540"/>
        <w:rPr>
          <w:color w:val="000000"/>
          <w:sz w:val="22"/>
          <w:szCs w:val="22"/>
        </w:rPr>
      </w:pPr>
      <w:r w:rsidRPr="00F93FFA">
        <w:rPr>
          <w:color w:val="000000"/>
          <w:sz w:val="22"/>
          <w:szCs w:val="22"/>
        </w:rPr>
        <w:t>Dozė yra 800 mg per parą (8 kapsules), vartojant po 4 kapsules ryte ir 4 kapsules vakare.</w:t>
      </w:r>
    </w:p>
    <w:p w14:paraId="25C9D1E2" w14:textId="77777777" w:rsidR="003646A0" w:rsidRPr="00F93FFA" w:rsidRDefault="003646A0" w:rsidP="00DE16D0">
      <w:pPr>
        <w:widowControl w:val="0"/>
        <w:rPr>
          <w:color w:val="000000"/>
          <w:sz w:val="22"/>
          <w:szCs w:val="22"/>
        </w:rPr>
      </w:pPr>
    </w:p>
    <w:p w14:paraId="4A85809A" w14:textId="77777777" w:rsidR="003646A0" w:rsidRPr="00F93FFA" w:rsidRDefault="003646A0" w:rsidP="009A4400">
      <w:pPr>
        <w:keepNext/>
        <w:widowControl w:val="0"/>
        <w:rPr>
          <w:b/>
          <w:color w:val="000000"/>
          <w:sz w:val="22"/>
          <w:szCs w:val="22"/>
        </w:rPr>
      </w:pPr>
      <w:r w:rsidRPr="00F93FFA">
        <w:rPr>
          <w:b/>
          <w:color w:val="000000"/>
          <w:sz w:val="22"/>
          <w:szCs w:val="22"/>
        </w:rPr>
        <w:t>Vartojimas vaikams</w:t>
      </w:r>
      <w:r w:rsidRPr="00F93FFA">
        <w:rPr>
          <w:b/>
          <w:sz w:val="22"/>
          <w:szCs w:val="22"/>
        </w:rPr>
        <w:t xml:space="preserve"> ir paaugliams</w:t>
      </w:r>
    </w:p>
    <w:p w14:paraId="7EA361F1" w14:textId="77777777" w:rsidR="003646A0" w:rsidRPr="00F93FFA" w:rsidRDefault="003646A0" w:rsidP="00DE16D0">
      <w:pPr>
        <w:widowControl w:val="0"/>
        <w:tabs>
          <w:tab w:val="left" w:pos="2160"/>
        </w:tabs>
        <w:rPr>
          <w:color w:val="000000"/>
          <w:sz w:val="22"/>
          <w:szCs w:val="22"/>
        </w:rPr>
      </w:pPr>
      <w:r w:rsidRPr="00F93FFA">
        <w:rPr>
          <w:color w:val="000000"/>
          <w:sz w:val="22"/>
          <w:szCs w:val="22"/>
        </w:rPr>
        <w:t>Gydytojas nurodys, kiek Glivec kapsulių reikia duoti gerti vaikui. Glivec dozė priklausys nuo vaiko būklės, kūno masės ir ūgio. Bendroji vaikų</w:t>
      </w:r>
      <w:r w:rsidR="006906B4" w:rsidRPr="00F93FFA">
        <w:rPr>
          <w:color w:val="000000"/>
          <w:sz w:val="22"/>
          <w:szCs w:val="22"/>
        </w:rPr>
        <w:t>, sergančių LML</w:t>
      </w:r>
      <w:r w:rsidRPr="00F93FFA">
        <w:rPr>
          <w:color w:val="000000"/>
          <w:sz w:val="22"/>
          <w:szCs w:val="22"/>
        </w:rPr>
        <w:t xml:space="preserve"> paros dozė neturi būti didesnė kaip 800 mg</w:t>
      </w:r>
      <w:r w:rsidR="006906B4" w:rsidRPr="00F93FFA">
        <w:rPr>
          <w:color w:val="000000"/>
          <w:sz w:val="22"/>
          <w:szCs w:val="22"/>
        </w:rPr>
        <w:t xml:space="preserve"> ir 600 mg, sergančių Ph+ ŪLL</w:t>
      </w:r>
      <w:r w:rsidRPr="00F93FFA">
        <w:rPr>
          <w:color w:val="000000"/>
          <w:sz w:val="22"/>
          <w:szCs w:val="22"/>
        </w:rPr>
        <w:t>. Vaistą galima vartoti vieną kartą per parą arba paros dozę padalyti į dvi dalis (pusę dozės vartoti ryte ir kitą pusę – vakare).</w:t>
      </w:r>
    </w:p>
    <w:p w14:paraId="5CF15E20" w14:textId="77777777" w:rsidR="003646A0" w:rsidRPr="00F93FFA" w:rsidRDefault="003646A0" w:rsidP="00DE16D0">
      <w:pPr>
        <w:widowControl w:val="0"/>
        <w:rPr>
          <w:color w:val="000000"/>
          <w:sz w:val="22"/>
          <w:szCs w:val="22"/>
        </w:rPr>
      </w:pPr>
    </w:p>
    <w:p w14:paraId="32B4C9F7" w14:textId="77777777" w:rsidR="003646A0" w:rsidRPr="00F93FFA" w:rsidRDefault="003646A0" w:rsidP="009A4400">
      <w:pPr>
        <w:keepNext/>
        <w:widowControl w:val="0"/>
        <w:rPr>
          <w:b/>
          <w:color w:val="000000"/>
          <w:sz w:val="22"/>
          <w:szCs w:val="22"/>
        </w:rPr>
      </w:pPr>
      <w:r w:rsidRPr="00F93FFA">
        <w:rPr>
          <w:b/>
          <w:color w:val="000000"/>
          <w:sz w:val="22"/>
          <w:szCs w:val="22"/>
        </w:rPr>
        <w:t>Kada ir kaip vartoti Glivec</w:t>
      </w:r>
    </w:p>
    <w:p w14:paraId="5CB4E87D"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b/>
          <w:color w:val="000000"/>
          <w:sz w:val="22"/>
          <w:szCs w:val="22"/>
        </w:rPr>
        <w:t xml:space="preserve">Glivec gerkite valgio metu. </w:t>
      </w:r>
      <w:r w:rsidRPr="00F93FFA">
        <w:rPr>
          <w:color w:val="000000"/>
          <w:sz w:val="22"/>
          <w:szCs w:val="22"/>
        </w:rPr>
        <w:t>Tai padės išvengti skrandžio sutrikimų Glivec vartojimo metu.</w:t>
      </w:r>
    </w:p>
    <w:p w14:paraId="2347E27F"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b/>
          <w:color w:val="000000"/>
          <w:sz w:val="22"/>
          <w:szCs w:val="22"/>
        </w:rPr>
        <w:t>Nurykite visą kapsulę užgerdami didele stikline vandens.</w:t>
      </w:r>
      <w:r w:rsidRPr="00F93FFA">
        <w:rPr>
          <w:color w:val="000000"/>
          <w:sz w:val="22"/>
          <w:szCs w:val="22"/>
        </w:rPr>
        <w:t xml:space="preserve"> Kapsulių negalima atidaryti ir laužyti, nebent jas sunku nuryti (pvz., vaikams).</w:t>
      </w:r>
    </w:p>
    <w:p w14:paraId="17C8E8DF"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Jeigu negalite nuryti kapsulės, galite ją atidaryti ir miltelius ištirpinti stiklinėje negazuoto vandens ar obuolių sulčių.</w:t>
      </w:r>
    </w:p>
    <w:p w14:paraId="119A7879"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Jei esate ar galite būti nėščia ir ketinate atidaryti kapsulę, su jos turiniu turite elgtis labai atsargiai, kad vaisto nepatektų ant odos, į akis ir kad jo neįkvėptumėte. Atidarę kapsulę, nedelsdami nusiplaukite rankas.</w:t>
      </w:r>
    </w:p>
    <w:p w14:paraId="6E0C7C0B" w14:textId="77777777" w:rsidR="003646A0" w:rsidRPr="00F93FFA" w:rsidRDefault="003646A0" w:rsidP="00DE16D0">
      <w:pPr>
        <w:widowControl w:val="0"/>
        <w:rPr>
          <w:color w:val="000000"/>
          <w:sz w:val="22"/>
          <w:szCs w:val="22"/>
        </w:rPr>
      </w:pPr>
    </w:p>
    <w:p w14:paraId="6FFF93C6" w14:textId="77777777" w:rsidR="003646A0" w:rsidRPr="00F93FFA" w:rsidRDefault="003646A0" w:rsidP="009A4400">
      <w:pPr>
        <w:keepNext/>
        <w:widowControl w:val="0"/>
        <w:rPr>
          <w:b/>
          <w:color w:val="000000"/>
          <w:sz w:val="22"/>
          <w:szCs w:val="22"/>
        </w:rPr>
      </w:pPr>
      <w:r w:rsidRPr="00F93FFA">
        <w:rPr>
          <w:b/>
          <w:color w:val="000000"/>
          <w:sz w:val="22"/>
          <w:szCs w:val="22"/>
        </w:rPr>
        <w:t>Kaip ilgai vartoti Glivec</w:t>
      </w:r>
    </w:p>
    <w:p w14:paraId="3AD514C8" w14:textId="77777777" w:rsidR="003646A0" w:rsidRPr="00F93FFA" w:rsidRDefault="003646A0" w:rsidP="00DE16D0">
      <w:pPr>
        <w:widowControl w:val="0"/>
        <w:rPr>
          <w:color w:val="000000"/>
          <w:sz w:val="22"/>
          <w:szCs w:val="22"/>
        </w:rPr>
      </w:pPr>
      <w:r w:rsidRPr="00F93FFA">
        <w:rPr>
          <w:color w:val="000000"/>
          <w:sz w:val="22"/>
          <w:szCs w:val="22"/>
        </w:rPr>
        <w:t>Glivec vartokite kasdien, tiek laiko, kiek nurodė Jūsų gydytojas.</w:t>
      </w:r>
    </w:p>
    <w:p w14:paraId="1B8B0E41" w14:textId="77777777" w:rsidR="003646A0" w:rsidRPr="00F93FFA" w:rsidRDefault="003646A0" w:rsidP="00DE16D0">
      <w:pPr>
        <w:widowControl w:val="0"/>
        <w:rPr>
          <w:color w:val="000000"/>
          <w:sz w:val="22"/>
          <w:szCs w:val="22"/>
        </w:rPr>
      </w:pPr>
    </w:p>
    <w:p w14:paraId="40AEA609" w14:textId="77777777" w:rsidR="003646A0" w:rsidRPr="00F93FFA" w:rsidRDefault="003646A0" w:rsidP="009A4400">
      <w:pPr>
        <w:keepNext/>
        <w:widowControl w:val="0"/>
        <w:ind w:left="567" w:hanging="567"/>
        <w:rPr>
          <w:b/>
          <w:color w:val="000000"/>
          <w:sz w:val="22"/>
          <w:szCs w:val="22"/>
        </w:rPr>
      </w:pPr>
      <w:r w:rsidRPr="00F93FFA">
        <w:rPr>
          <w:b/>
          <w:sz w:val="22"/>
          <w:szCs w:val="22"/>
        </w:rPr>
        <w:t>Ką daryti</w:t>
      </w:r>
      <w:r w:rsidRPr="00F93FFA">
        <w:rPr>
          <w:sz w:val="22"/>
          <w:szCs w:val="22"/>
        </w:rPr>
        <w:t xml:space="preserve"> </w:t>
      </w:r>
      <w:r w:rsidRPr="00F93FFA">
        <w:rPr>
          <w:b/>
          <w:color w:val="000000"/>
          <w:sz w:val="22"/>
          <w:szCs w:val="22"/>
        </w:rPr>
        <w:t>pavartojus per didelę Glivec dozę?</w:t>
      </w:r>
    </w:p>
    <w:p w14:paraId="0724799F" w14:textId="77777777" w:rsidR="003646A0" w:rsidRPr="00F93FFA" w:rsidRDefault="003646A0" w:rsidP="00DE16D0">
      <w:pPr>
        <w:widowControl w:val="0"/>
        <w:rPr>
          <w:color w:val="000000"/>
          <w:sz w:val="22"/>
          <w:szCs w:val="22"/>
        </w:rPr>
      </w:pPr>
      <w:r w:rsidRPr="00F93FFA">
        <w:rPr>
          <w:color w:val="000000"/>
          <w:sz w:val="22"/>
          <w:szCs w:val="22"/>
        </w:rPr>
        <w:t xml:space="preserve">Jei atsitiktinai išgėrėte per daug kapsulių, </w:t>
      </w:r>
      <w:r w:rsidRPr="00F93FFA">
        <w:rPr>
          <w:b/>
          <w:color w:val="000000"/>
          <w:sz w:val="22"/>
          <w:szCs w:val="22"/>
        </w:rPr>
        <w:t>iš karto</w:t>
      </w:r>
      <w:r w:rsidRPr="00F93FFA">
        <w:rPr>
          <w:color w:val="000000"/>
          <w:sz w:val="22"/>
          <w:szCs w:val="22"/>
        </w:rPr>
        <w:t xml:space="preserve"> kreipkitės į gydytoją. Jums gali prireikti medicininės pagalbos. Pasiimkite su savimi vaisto pakuotę.</w:t>
      </w:r>
    </w:p>
    <w:p w14:paraId="1D5A6DC7" w14:textId="77777777" w:rsidR="003646A0" w:rsidRPr="00F93FFA" w:rsidRDefault="003646A0" w:rsidP="00DE16D0">
      <w:pPr>
        <w:widowControl w:val="0"/>
        <w:rPr>
          <w:color w:val="000000"/>
          <w:sz w:val="22"/>
          <w:szCs w:val="22"/>
        </w:rPr>
      </w:pPr>
    </w:p>
    <w:p w14:paraId="31323ACB" w14:textId="77777777" w:rsidR="003646A0" w:rsidRPr="00F93FFA" w:rsidRDefault="003646A0" w:rsidP="009A4400">
      <w:pPr>
        <w:keepNext/>
        <w:widowControl w:val="0"/>
        <w:rPr>
          <w:b/>
          <w:color w:val="000000"/>
          <w:sz w:val="22"/>
          <w:szCs w:val="22"/>
        </w:rPr>
      </w:pPr>
      <w:r w:rsidRPr="00F93FFA">
        <w:rPr>
          <w:b/>
          <w:color w:val="000000"/>
          <w:sz w:val="22"/>
          <w:szCs w:val="22"/>
        </w:rPr>
        <w:t>Pamiršus pavartoti Glivec</w:t>
      </w:r>
    </w:p>
    <w:p w14:paraId="6F064CDE"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Pamiršus pavartoti vaisto dozę, ją išgerkite kai tik prisiminėte. Tačiau jei jau beveik laikas gerti kitą dozę, praleistos dozės nevartokite.</w:t>
      </w:r>
    </w:p>
    <w:p w14:paraId="5FBFD9A8"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Vėliau tęskite vaisto vartojimą įprastu režimu.</w:t>
      </w:r>
    </w:p>
    <w:p w14:paraId="5E0DE95B"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noProof/>
          <w:sz w:val="22"/>
          <w:szCs w:val="22"/>
        </w:rPr>
        <w:t>Negalima vartoti dvigubos dozės norint kompensuoti praleistą</w:t>
      </w:r>
      <w:r w:rsidRPr="00F93FFA">
        <w:rPr>
          <w:color w:val="000000"/>
          <w:sz w:val="22"/>
          <w:szCs w:val="22"/>
        </w:rPr>
        <w:t xml:space="preserve"> dozę.</w:t>
      </w:r>
    </w:p>
    <w:p w14:paraId="56BE3467" w14:textId="77777777" w:rsidR="003646A0" w:rsidRPr="00F93FFA" w:rsidRDefault="003646A0" w:rsidP="00DE16D0">
      <w:pPr>
        <w:widowControl w:val="0"/>
        <w:ind w:left="567" w:hanging="567"/>
        <w:rPr>
          <w:color w:val="000000"/>
          <w:sz w:val="22"/>
          <w:szCs w:val="22"/>
        </w:rPr>
      </w:pPr>
    </w:p>
    <w:p w14:paraId="59ED4648" w14:textId="77777777" w:rsidR="003646A0" w:rsidRPr="00F93FFA" w:rsidRDefault="003646A0" w:rsidP="00DE16D0">
      <w:pPr>
        <w:widowControl w:val="0"/>
        <w:rPr>
          <w:color w:val="000000"/>
          <w:sz w:val="22"/>
          <w:szCs w:val="22"/>
        </w:rPr>
      </w:pPr>
      <w:r w:rsidRPr="00F93FFA">
        <w:rPr>
          <w:color w:val="000000"/>
          <w:sz w:val="22"/>
          <w:szCs w:val="22"/>
        </w:rPr>
        <w:t>Jeigu kiltų daugiau klausimų dėl šio vaisto vartojimo, kreipkitės į gydytoją, vaistininką arba slaugytoją.</w:t>
      </w:r>
    </w:p>
    <w:p w14:paraId="7EAE2373" w14:textId="77777777" w:rsidR="003646A0" w:rsidRPr="00F93FFA" w:rsidRDefault="003646A0" w:rsidP="00DE16D0">
      <w:pPr>
        <w:widowControl w:val="0"/>
        <w:ind w:left="567" w:hanging="567"/>
        <w:rPr>
          <w:color w:val="000000"/>
          <w:sz w:val="22"/>
          <w:szCs w:val="22"/>
        </w:rPr>
      </w:pPr>
    </w:p>
    <w:p w14:paraId="7992F72C" w14:textId="77777777" w:rsidR="003646A0" w:rsidRPr="00F93FFA" w:rsidRDefault="003646A0" w:rsidP="00DE16D0">
      <w:pPr>
        <w:widowControl w:val="0"/>
        <w:ind w:left="567" w:hanging="567"/>
        <w:rPr>
          <w:color w:val="000000"/>
          <w:sz w:val="22"/>
          <w:szCs w:val="22"/>
        </w:rPr>
      </w:pPr>
    </w:p>
    <w:p w14:paraId="162151B1" w14:textId="77777777" w:rsidR="00314B70" w:rsidRPr="00F93FFA" w:rsidRDefault="00314B70" w:rsidP="009A4400">
      <w:pPr>
        <w:keepNext/>
        <w:widowControl w:val="0"/>
        <w:numPr>
          <w:ilvl w:val="12"/>
          <w:numId w:val="0"/>
        </w:numPr>
        <w:ind w:left="567" w:hanging="567"/>
        <w:outlineLvl w:val="0"/>
        <w:rPr>
          <w:b/>
          <w:caps/>
          <w:color w:val="000000"/>
          <w:sz w:val="22"/>
          <w:szCs w:val="22"/>
        </w:rPr>
      </w:pPr>
      <w:r w:rsidRPr="00F93FFA">
        <w:rPr>
          <w:b/>
          <w:caps/>
          <w:color w:val="000000"/>
          <w:sz w:val="22"/>
          <w:szCs w:val="22"/>
        </w:rPr>
        <w:t>4.</w:t>
      </w:r>
      <w:r w:rsidRPr="00F93FFA">
        <w:rPr>
          <w:b/>
          <w:caps/>
          <w:color w:val="000000"/>
          <w:sz w:val="22"/>
          <w:szCs w:val="22"/>
        </w:rPr>
        <w:tab/>
        <w:t>G</w:t>
      </w:r>
      <w:r w:rsidRPr="00F93FFA">
        <w:rPr>
          <w:b/>
          <w:color w:val="000000"/>
          <w:sz w:val="22"/>
          <w:szCs w:val="22"/>
        </w:rPr>
        <w:t>alimas šalutinis poveikis</w:t>
      </w:r>
    </w:p>
    <w:p w14:paraId="1747ACC6" w14:textId="77777777" w:rsidR="00314B70" w:rsidRPr="00F93FFA" w:rsidRDefault="00314B70" w:rsidP="009A4400">
      <w:pPr>
        <w:keepNext/>
        <w:widowControl w:val="0"/>
        <w:ind w:left="567" w:hanging="567"/>
        <w:rPr>
          <w:color w:val="000000"/>
          <w:sz w:val="22"/>
          <w:szCs w:val="22"/>
        </w:rPr>
      </w:pPr>
    </w:p>
    <w:p w14:paraId="33BBE79F" w14:textId="77777777" w:rsidR="00314B70" w:rsidRPr="00F93FFA" w:rsidRDefault="00314B70" w:rsidP="00DE16D0">
      <w:pPr>
        <w:widowControl w:val="0"/>
        <w:rPr>
          <w:color w:val="000000"/>
          <w:sz w:val="22"/>
          <w:szCs w:val="22"/>
        </w:rPr>
      </w:pPr>
      <w:r w:rsidRPr="00F93FFA">
        <w:rPr>
          <w:sz w:val="22"/>
          <w:szCs w:val="22"/>
        </w:rPr>
        <w:t>Šis vaistas</w:t>
      </w:r>
      <w:r w:rsidRPr="00F93FFA">
        <w:rPr>
          <w:color w:val="000000"/>
          <w:sz w:val="22"/>
          <w:szCs w:val="22"/>
        </w:rPr>
        <w:t>, kaip ir visi kiti, gali sukelti šalutinį poveikį, nors jis pasireiškia ne visiems žmonėms. Paprastai jis būna nesunkus ar vidutinio sunkumo.</w:t>
      </w:r>
    </w:p>
    <w:p w14:paraId="4AB1815F" w14:textId="77777777" w:rsidR="00314B70" w:rsidRPr="00F93FFA" w:rsidRDefault="00314B70" w:rsidP="00DE16D0">
      <w:pPr>
        <w:widowControl w:val="0"/>
        <w:ind w:left="567" w:hanging="567"/>
        <w:rPr>
          <w:color w:val="000000"/>
          <w:sz w:val="22"/>
          <w:szCs w:val="22"/>
        </w:rPr>
      </w:pPr>
    </w:p>
    <w:p w14:paraId="16BD05B6" w14:textId="77777777" w:rsidR="00314B70" w:rsidRPr="00F93FFA" w:rsidRDefault="00314B70" w:rsidP="009A4400">
      <w:pPr>
        <w:keepNext/>
        <w:widowControl w:val="0"/>
        <w:rPr>
          <w:b/>
          <w:color w:val="000000"/>
          <w:sz w:val="22"/>
          <w:szCs w:val="22"/>
        </w:rPr>
      </w:pPr>
      <w:r w:rsidRPr="00F93FFA">
        <w:rPr>
          <w:b/>
          <w:color w:val="000000"/>
          <w:sz w:val="22"/>
          <w:szCs w:val="22"/>
        </w:rPr>
        <w:t>Kai kurie šalutiniai reiškiniai gali būti sunkūs. Nedelsiant pasakykite gydytojui, jeigu Jums pasireikštų kuris nors iš toliau išvardytų reiškinių.</w:t>
      </w:r>
    </w:p>
    <w:p w14:paraId="6C90D5AE" w14:textId="77777777" w:rsidR="00314B70" w:rsidRPr="00F93FFA" w:rsidRDefault="00314B70" w:rsidP="009A4400">
      <w:pPr>
        <w:keepNext/>
        <w:widowControl w:val="0"/>
        <w:ind w:left="567" w:hanging="567"/>
        <w:rPr>
          <w:color w:val="000000"/>
          <w:sz w:val="22"/>
          <w:szCs w:val="22"/>
        </w:rPr>
      </w:pPr>
    </w:p>
    <w:p w14:paraId="0B6267C1" w14:textId="77777777" w:rsidR="00314B70" w:rsidRPr="00F93FFA" w:rsidRDefault="00314B70" w:rsidP="009A4400">
      <w:pPr>
        <w:keepNext/>
        <w:widowControl w:val="0"/>
        <w:rPr>
          <w:color w:val="000000"/>
          <w:sz w:val="22"/>
          <w:szCs w:val="22"/>
        </w:rPr>
      </w:pPr>
      <w:r w:rsidRPr="00F93FFA">
        <w:rPr>
          <w:b/>
          <w:color w:val="000000"/>
          <w:sz w:val="22"/>
          <w:szCs w:val="22"/>
        </w:rPr>
        <w:t>Labai dažni</w:t>
      </w:r>
      <w:r w:rsidRPr="00F93FFA">
        <w:rPr>
          <w:color w:val="000000"/>
          <w:sz w:val="22"/>
          <w:szCs w:val="22"/>
        </w:rPr>
        <w:t xml:space="preserve"> (gali pasireikšti daugiau kaip 1 iš 10 žmonių) </w:t>
      </w:r>
      <w:r w:rsidRPr="00F93FFA">
        <w:rPr>
          <w:b/>
          <w:color w:val="000000"/>
          <w:sz w:val="22"/>
          <w:szCs w:val="22"/>
        </w:rPr>
        <w:t>ir dažni</w:t>
      </w:r>
      <w:r w:rsidRPr="00F93FFA">
        <w:rPr>
          <w:color w:val="000000"/>
          <w:sz w:val="22"/>
          <w:szCs w:val="22"/>
        </w:rPr>
        <w:t xml:space="preserve"> (gali pasireikšti ne daugiau kaip 1 iš 10 žmonių):</w:t>
      </w:r>
    </w:p>
    <w:p w14:paraId="59330E2F"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Greitai padidėjęs kūno svoris. Vartojant Glivec organizme gali pradėti kauptis skystis (t.</w:t>
      </w:r>
      <w:r w:rsidR="00957B98" w:rsidRPr="00F93FFA">
        <w:rPr>
          <w:color w:val="000000"/>
          <w:sz w:val="22"/>
          <w:szCs w:val="22"/>
          <w:lang w:val="lt-LT"/>
        </w:rPr>
        <w:t> </w:t>
      </w:r>
      <w:r w:rsidRPr="00F93FFA">
        <w:rPr>
          <w:color w:val="000000"/>
          <w:sz w:val="22"/>
          <w:szCs w:val="22"/>
          <w:lang w:val="lt-LT"/>
        </w:rPr>
        <w:t>y. pasireikšti sunkus skysčių susilaikymas).</w:t>
      </w:r>
    </w:p>
    <w:p w14:paraId="16B40E53"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 xml:space="preserve">Infekcijos požymiai – pavyzdžiui, karščiavimas, stiprus šaltkrėtis, gerklės skausmas ar burnos </w:t>
      </w:r>
      <w:r w:rsidRPr="00F93FFA">
        <w:rPr>
          <w:color w:val="000000"/>
          <w:sz w:val="22"/>
          <w:szCs w:val="22"/>
          <w:lang w:val="lt-LT"/>
        </w:rPr>
        <w:lastRenderedPageBreak/>
        <w:t>išopėjimas. Glivec gali sumažinti baltųjų kraujo kūnelių skaičių, todėl galite greičiau užsikrėsti infekcinėmis ligomis.</w:t>
      </w:r>
    </w:p>
    <w:p w14:paraId="14963330"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Netikėtas kraujavimas ar mėlynių susidarymas (be jokio sužalojimo).</w:t>
      </w:r>
    </w:p>
    <w:p w14:paraId="61367248" w14:textId="77777777" w:rsidR="00314B70" w:rsidRPr="00F93FFA" w:rsidRDefault="00314B70" w:rsidP="00DE16D0">
      <w:pPr>
        <w:pStyle w:val="Text"/>
        <w:widowControl w:val="0"/>
        <w:spacing w:before="0"/>
        <w:jc w:val="left"/>
        <w:rPr>
          <w:color w:val="000000"/>
          <w:sz w:val="22"/>
          <w:szCs w:val="22"/>
          <w:lang w:val="lt-LT"/>
        </w:rPr>
      </w:pPr>
    </w:p>
    <w:p w14:paraId="00CB16B1" w14:textId="77777777" w:rsidR="00314B70" w:rsidRPr="00F93FFA" w:rsidRDefault="00314B70" w:rsidP="009A4400">
      <w:pPr>
        <w:keepNext/>
        <w:widowControl w:val="0"/>
        <w:rPr>
          <w:color w:val="000000"/>
          <w:sz w:val="22"/>
          <w:szCs w:val="22"/>
        </w:rPr>
      </w:pPr>
      <w:r w:rsidRPr="00F93FFA">
        <w:rPr>
          <w:b/>
          <w:color w:val="000000"/>
          <w:sz w:val="22"/>
          <w:szCs w:val="22"/>
        </w:rPr>
        <w:t xml:space="preserve">Nedažni </w:t>
      </w:r>
      <w:r w:rsidRPr="00F93FFA">
        <w:rPr>
          <w:color w:val="000000"/>
          <w:sz w:val="22"/>
          <w:szCs w:val="22"/>
        </w:rPr>
        <w:t xml:space="preserve">(gali pasireikšti ne daugiau kaip 1 iš 100 žmonių) </w:t>
      </w:r>
      <w:r w:rsidRPr="00F93FFA">
        <w:rPr>
          <w:b/>
          <w:color w:val="000000"/>
          <w:sz w:val="22"/>
          <w:szCs w:val="22"/>
        </w:rPr>
        <w:t>ir reti</w:t>
      </w:r>
      <w:r w:rsidRPr="00F93FFA">
        <w:rPr>
          <w:color w:val="000000"/>
          <w:sz w:val="22"/>
          <w:szCs w:val="22"/>
        </w:rPr>
        <w:t xml:space="preserve"> (gali pasireikšti ne daugiau kaip 1 iš 1 000 žmonių):</w:t>
      </w:r>
    </w:p>
    <w:p w14:paraId="0A32324F"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Skausmas krūtinėje, nereguliarus širdies ritmas (širdies sutrikimų požymiai).</w:t>
      </w:r>
    </w:p>
    <w:p w14:paraId="42C0C868"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Kosulys, pasunkėjęs kvėpavimas arba skausmingas kvėpavimas (plaučių sutrikimų požymiai).</w:t>
      </w:r>
    </w:p>
    <w:p w14:paraId="78D51C9A"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Apsvaigimas, galvos svaigimas ar alpimas (žemo kraujospūdžio požymiai).</w:t>
      </w:r>
    </w:p>
    <w:p w14:paraId="22B727CC"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Šleikštulys (pykinimas), taip pat apetito trūkumas, tamsios spalvos šlapimas, pageltusi oda ar akių baltymai (kepenų sutrikimų požymiai).</w:t>
      </w:r>
    </w:p>
    <w:p w14:paraId="677E8DA8"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Bėrimas, odos paraudimas, taip pat pūslių atsiradimas ant lūpų, akių, odos arba burnos gleivinės, odos pleiskanojimas, karščiavimas, pakilę raudoni arba purpuriniai odos lopai, niežulys, deginimo pojūtis, pūslinis bėrimas (odos sutrikimų požymiai).</w:t>
      </w:r>
    </w:p>
    <w:p w14:paraId="7D0D49FB"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Stiprus pilvo skausmas, vėmimas, tuštinimasis ar šlapinimasis su kraujo priemaiša, juodos spalvos išmatos (virškinimo trakto sutrikimų požymiai).</w:t>
      </w:r>
    </w:p>
    <w:p w14:paraId="01DC2E3B"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Labai sumažėjęs šlapimo kiekis, troškulys (inkstų sutrikimų požymiai).</w:t>
      </w:r>
    </w:p>
    <w:p w14:paraId="76E62D46"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Šleikštulys (pykinimas) kartu su viduriavimu ir vėmimu, pilvo skausmas arba karščiavimas (žarnų sutrikimų požymiai).</w:t>
      </w:r>
    </w:p>
    <w:p w14:paraId="7763DE33"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Stiprus galvos skausmas, silpnumas arba galūnių ar veido paralyžius, pasunkėjusi kalba, staigus sąmonės praradimas (nervų sistemos sutrikimų, pavyzdžiui, kraujavimo kaukolės ertmėje ar galvos smegenų patinimo, požymiai).</w:t>
      </w:r>
    </w:p>
    <w:p w14:paraId="4D50408A"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Išblyškusi oda, nuovargis ir dusulys, tamsus šlapimas (sumažėjusio raudonųjų kraujo ląstelių skaičiaus požymiai).</w:t>
      </w:r>
    </w:p>
    <w:p w14:paraId="1AC8CB45"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Akies skausmas ar pablogėjusi rega, kraujavimas į akies vidų.</w:t>
      </w:r>
    </w:p>
    <w:p w14:paraId="242AE771"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Skausmas klubo sąnariuose ar pasunkėjęs vaikščiojimas.</w:t>
      </w:r>
    </w:p>
    <w:p w14:paraId="1CFD9792"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Kojų ir rankų pirštų nutirpimas ar šalimas (Raynaud‘s sindromo požymiai).</w:t>
      </w:r>
    </w:p>
    <w:p w14:paraId="47AC7463"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Staigus odos patinimas ir paraudimas (odos infekcijos, vadinamos celiulitu, požymiai).</w:t>
      </w:r>
    </w:p>
    <w:p w14:paraId="3DF9C438"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Sutrikusi klausa.</w:t>
      </w:r>
    </w:p>
    <w:p w14:paraId="31E97269" w14:textId="77777777" w:rsidR="00314B70" w:rsidRPr="00F93FFA" w:rsidRDefault="00314B70" w:rsidP="009A4400">
      <w:pPr>
        <w:pStyle w:val="Listlevel1"/>
        <w:widowControl w:val="0"/>
        <w:numPr>
          <w:ilvl w:val="0"/>
          <w:numId w:val="2"/>
        </w:numPr>
        <w:tabs>
          <w:tab w:val="clear" w:pos="360"/>
        </w:tabs>
        <w:spacing w:before="0" w:after="0"/>
        <w:ind w:left="567" w:hanging="567"/>
        <w:rPr>
          <w:bCs/>
          <w:sz w:val="22"/>
          <w:szCs w:val="22"/>
          <w:lang w:val="lt-LT"/>
        </w:rPr>
      </w:pPr>
      <w:r w:rsidRPr="00F93FFA">
        <w:rPr>
          <w:bCs/>
          <w:sz w:val="22"/>
          <w:szCs w:val="22"/>
          <w:lang w:val="lt-LT"/>
        </w:rPr>
        <w:t>Raumenų silpnumas ir spazmas kartu su sutrikusiu širdies ritmu (požymiai, rodantys, kad pakito kalio kiekis Jūsų kraujyje).</w:t>
      </w:r>
    </w:p>
    <w:p w14:paraId="63D6E65B" w14:textId="77777777" w:rsidR="00314B70" w:rsidRPr="00F93FFA" w:rsidRDefault="00314B70" w:rsidP="009A4400">
      <w:pPr>
        <w:pStyle w:val="Listlevel1"/>
        <w:widowControl w:val="0"/>
        <w:numPr>
          <w:ilvl w:val="0"/>
          <w:numId w:val="2"/>
        </w:numPr>
        <w:tabs>
          <w:tab w:val="clear" w:pos="360"/>
        </w:tabs>
        <w:spacing w:before="0" w:after="0"/>
        <w:ind w:left="567" w:hanging="567"/>
        <w:rPr>
          <w:bCs/>
          <w:sz w:val="22"/>
          <w:szCs w:val="22"/>
          <w:lang w:val="en-GB"/>
        </w:rPr>
      </w:pPr>
      <w:r w:rsidRPr="00F93FFA">
        <w:rPr>
          <w:bCs/>
          <w:sz w:val="22"/>
          <w:szCs w:val="22"/>
          <w:lang w:val="en-GB"/>
        </w:rPr>
        <w:t>Mėlynės.</w:t>
      </w:r>
    </w:p>
    <w:p w14:paraId="46502473" w14:textId="77777777" w:rsidR="00314B70" w:rsidRPr="00F53012" w:rsidRDefault="00314B70" w:rsidP="009A4400">
      <w:pPr>
        <w:pStyle w:val="Listlevel1"/>
        <w:widowControl w:val="0"/>
        <w:numPr>
          <w:ilvl w:val="0"/>
          <w:numId w:val="2"/>
        </w:numPr>
        <w:tabs>
          <w:tab w:val="clear" w:pos="360"/>
        </w:tabs>
        <w:spacing w:before="0" w:after="0"/>
        <w:ind w:left="567" w:hanging="567"/>
        <w:rPr>
          <w:sz w:val="22"/>
          <w:szCs w:val="22"/>
          <w:lang w:val="en-GB"/>
        </w:rPr>
      </w:pPr>
      <w:r w:rsidRPr="00F53012">
        <w:rPr>
          <w:sz w:val="22"/>
          <w:szCs w:val="22"/>
          <w:lang w:val="en-GB"/>
        </w:rPr>
        <w:t>Skrandžio skausmas kartu su šleikštuliu (pykinimu).</w:t>
      </w:r>
    </w:p>
    <w:p w14:paraId="0B931F21" w14:textId="77777777" w:rsidR="00314B70" w:rsidRPr="00F53012" w:rsidRDefault="00314B70" w:rsidP="009A4400">
      <w:pPr>
        <w:pStyle w:val="Listlevel1"/>
        <w:widowControl w:val="0"/>
        <w:numPr>
          <w:ilvl w:val="0"/>
          <w:numId w:val="12"/>
        </w:numPr>
        <w:tabs>
          <w:tab w:val="clear" w:pos="360"/>
        </w:tabs>
        <w:spacing w:before="0" w:after="0"/>
        <w:ind w:left="567" w:hanging="567"/>
        <w:rPr>
          <w:bCs/>
          <w:sz w:val="22"/>
          <w:szCs w:val="22"/>
          <w:lang w:val="en-GB"/>
        </w:rPr>
      </w:pPr>
      <w:r w:rsidRPr="00F53012">
        <w:rPr>
          <w:bCs/>
          <w:sz w:val="22"/>
          <w:szCs w:val="22"/>
          <w:lang w:val="en-GB"/>
        </w:rPr>
        <w:t>Raumenų spazmai ir kartu pasireiškiantis karščiavimas, raudonai rudos spalvos šlapimas, raumenų skausmas ar silpnumas (raumenų sutrikimų požymiai).</w:t>
      </w:r>
    </w:p>
    <w:p w14:paraId="261DF62E" w14:textId="77777777" w:rsidR="00314B70" w:rsidRPr="00F53012" w:rsidRDefault="00314B70" w:rsidP="009A4400">
      <w:pPr>
        <w:pStyle w:val="Listlevel1"/>
        <w:widowControl w:val="0"/>
        <w:numPr>
          <w:ilvl w:val="0"/>
          <w:numId w:val="2"/>
        </w:numPr>
        <w:tabs>
          <w:tab w:val="clear" w:pos="360"/>
        </w:tabs>
        <w:spacing w:before="0" w:after="0"/>
        <w:ind w:left="567" w:hanging="567"/>
        <w:rPr>
          <w:bCs/>
          <w:sz w:val="22"/>
          <w:szCs w:val="22"/>
          <w:lang w:val="en-GB"/>
        </w:rPr>
      </w:pPr>
      <w:r w:rsidRPr="00F53012">
        <w:rPr>
          <w:sz w:val="22"/>
          <w:szCs w:val="22"/>
          <w:lang w:val="en-GB" w:bidi="th-TH"/>
        </w:rPr>
        <w:t xml:space="preserve">Dubens srities skausmas, kartais kartu su pykinimu ir vėmimu, kartu su netikėtu kraujavimu iš makšties, galvos svaigimu ar </w:t>
      </w:r>
      <w:r w:rsidRPr="00F53012">
        <w:rPr>
          <w:color w:val="000000"/>
          <w:sz w:val="22"/>
          <w:szCs w:val="22"/>
          <w:lang w:val="en-GB" w:bidi="th-TH"/>
        </w:rPr>
        <w:t>alpimu dėl sumažėjusio kraujospūdžio (kiaušidžių ar gimdos sutrikimų požymiai).</w:t>
      </w:r>
    </w:p>
    <w:p w14:paraId="6679F73C" w14:textId="77777777" w:rsidR="00073EF6" w:rsidRPr="00F93FFA" w:rsidRDefault="00314B70" w:rsidP="009A4400">
      <w:pPr>
        <w:pStyle w:val="Listlevel1"/>
        <w:widowControl w:val="0"/>
        <w:numPr>
          <w:ilvl w:val="0"/>
          <w:numId w:val="2"/>
        </w:numPr>
        <w:tabs>
          <w:tab w:val="clear" w:pos="360"/>
        </w:tabs>
        <w:spacing w:before="0" w:after="0"/>
        <w:ind w:left="567" w:hanging="567"/>
        <w:rPr>
          <w:bCs/>
          <w:sz w:val="22"/>
          <w:szCs w:val="22"/>
          <w:lang w:val="lt-LT"/>
        </w:rPr>
      </w:pPr>
      <w:r w:rsidRPr="00F53012">
        <w:rPr>
          <w:color w:val="000000"/>
          <w:sz w:val="22"/>
          <w:szCs w:val="22"/>
          <w:lang w:val="en-GB" w:bidi="th-TH"/>
        </w:rPr>
        <w:t>Pykinimas, oro tr</w:t>
      </w:r>
      <w:r w:rsidRPr="00F93FFA">
        <w:rPr>
          <w:color w:val="000000"/>
          <w:sz w:val="22"/>
          <w:szCs w:val="22"/>
          <w:lang w:val="lt-LT" w:bidi="th-TH"/>
        </w:rPr>
        <w:t xml:space="preserve">ūkumas, nereguliarus širdies ritmas, drumstas šlapimas, nuovargis ir/arba sąnarių diskomfortas susijęs su anomaliais laboratorinių tyrimų rezultatais (pvz., didelis kalio, šlapimo rūgšties ir </w:t>
      </w:r>
      <w:r w:rsidR="00E2201C" w:rsidRPr="00F93FFA">
        <w:rPr>
          <w:color w:val="000000"/>
          <w:sz w:val="22"/>
          <w:szCs w:val="22"/>
          <w:lang w:val="lt-LT" w:bidi="th-TH"/>
        </w:rPr>
        <w:t>kalcio</w:t>
      </w:r>
      <w:r w:rsidRPr="00F93FFA">
        <w:rPr>
          <w:color w:val="000000"/>
          <w:sz w:val="22"/>
          <w:szCs w:val="22"/>
          <w:lang w:val="lt-LT" w:bidi="th-TH"/>
        </w:rPr>
        <w:t xml:space="preserve"> kiekis, ir mažas </w:t>
      </w:r>
      <w:r w:rsidR="00E2201C" w:rsidRPr="00F93FFA">
        <w:rPr>
          <w:color w:val="000000"/>
          <w:sz w:val="22"/>
          <w:szCs w:val="22"/>
          <w:lang w:val="lt-LT" w:bidi="th-TH"/>
        </w:rPr>
        <w:t>fosforo</w:t>
      </w:r>
      <w:r w:rsidRPr="00F93FFA">
        <w:rPr>
          <w:color w:val="000000"/>
          <w:sz w:val="22"/>
          <w:szCs w:val="22"/>
          <w:lang w:val="lt-LT" w:bidi="th-TH"/>
        </w:rPr>
        <w:t xml:space="preserve"> kiekis kraujyje)</w:t>
      </w:r>
      <w:r w:rsidRPr="00F53012">
        <w:rPr>
          <w:color w:val="000000"/>
          <w:sz w:val="22"/>
          <w:szCs w:val="22"/>
          <w:lang w:val="en-GB" w:bidi="th-TH"/>
        </w:rPr>
        <w:t>.</w:t>
      </w:r>
    </w:p>
    <w:p w14:paraId="700E9F4C" w14:textId="77777777" w:rsidR="00314B70" w:rsidRPr="00F93FFA" w:rsidRDefault="00073EF6" w:rsidP="009A4400">
      <w:pPr>
        <w:pStyle w:val="Listlevel1"/>
        <w:widowControl w:val="0"/>
        <w:numPr>
          <w:ilvl w:val="0"/>
          <w:numId w:val="2"/>
        </w:numPr>
        <w:tabs>
          <w:tab w:val="clear" w:pos="360"/>
        </w:tabs>
        <w:spacing w:before="0" w:after="0"/>
        <w:ind w:left="567" w:hanging="567"/>
        <w:rPr>
          <w:bCs/>
          <w:sz w:val="22"/>
          <w:szCs w:val="22"/>
          <w:lang w:val="lt-LT"/>
        </w:rPr>
      </w:pPr>
      <w:r w:rsidRPr="00F93FFA">
        <w:rPr>
          <w:color w:val="000000"/>
          <w:sz w:val="22"/>
          <w:szCs w:val="22"/>
          <w:lang w:val="lt-LT" w:bidi="th-TH"/>
        </w:rPr>
        <w:t>Kraujo krešulių susidarymas smulkiose kraujagyslėse (</w:t>
      </w:r>
      <w:r w:rsidRPr="00F93FFA">
        <w:rPr>
          <w:color w:val="000000"/>
          <w:spacing w:val="-2"/>
          <w:sz w:val="22"/>
          <w:szCs w:val="22"/>
          <w:lang w:val="lt-LT"/>
        </w:rPr>
        <w:t>trombinė mikroangiopatija).</w:t>
      </w:r>
    </w:p>
    <w:p w14:paraId="7C021307" w14:textId="77777777" w:rsidR="00E902F9" w:rsidRPr="00F93FFA" w:rsidRDefault="00E902F9" w:rsidP="00DE16D0">
      <w:pPr>
        <w:pStyle w:val="Text"/>
        <w:widowControl w:val="0"/>
        <w:spacing w:before="0"/>
        <w:jc w:val="left"/>
        <w:rPr>
          <w:color w:val="000000"/>
          <w:sz w:val="22"/>
          <w:szCs w:val="22"/>
          <w:lang w:val="lt-LT"/>
        </w:rPr>
      </w:pPr>
    </w:p>
    <w:p w14:paraId="76A0ED73" w14:textId="0817B98C" w:rsidR="00E902F9" w:rsidRPr="00F53012" w:rsidRDefault="00E902F9" w:rsidP="009A4400">
      <w:pPr>
        <w:pStyle w:val="Text"/>
        <w:keepNext/>
        <w:widowControl w:val="0"/>
        <w:spacing w:before="0"/>
        <w:jc w:val="left"/>
        <w:rPr>
          <w:color w:val="000000"/>
          <w:sz w:val="22"/>
          <w:szCs w:val="22"/>
          <w:lang w:val="lt-LT"/>
        </w:rPr>
      </w:pPr>
      <w:r w:rsidRPr="00F53012">
        <w:rPr>
          <w:b/>
          <w:color w:val="000000"/>
          <w:sz w:val="22"/>
          <w:szCs w:val="22"/>
          <w:lang w:val="lt-LT"/>
        </w:rPr>
        <w:t>Dažnis nežinomas</w:t>
      </w:r>
      <w:r w:rsidR="00E2201C" w:rsidRPr="00F53012">
        <w:rPr>
          <w:b/>
          <w:color w:val="000000"/>
          <w:sz w:val="22"/>
          <w:szCs w:val="22"/>
          <w:lang w:val="lt-LT"/>
        </w:rPr>
        <w:t xml:space="preserve"> </w:t>
      </w:r>
      <w:r w:rsidR="00E2201C" w:rsidRPr="00F93FFA">
        <w:rPr>
          <w:color w:val="000000"/>
          <w:sz w:val="22"/>
          <w:szCs w:val="22"/>
          <w:lang w:val="lt-LT"/>
        </w:rPr>
        <w:t xml:space="preserve">(negali būti </w:t>
      </w:r>
      <w:r w:rsidR="00770DD2" w:rsidRPr="00F93FFA">
        <w:rPr>
          <w:color w:val="000000"/>
          <w:sz w:val="22"/>
          <w:szCs w:val="22"/>
          <w:lang w:val="lt-LT"/>
        </w:rPr>
        <w:t xml:space="preserve">apskaičiuotas </w:t>
      </w:r>
      <w:r w:rsidR="00E2201C" w:rsidRPr="00F93FFA">
        <w:rPr>
          <w:color w:val="000000"/>
          <w:sz w:val="22"/>
          <w:szCs w:val="22"/>
          <w:lang w:val="lt-LT"/>
        </w:rPr>
        <w:t>pagal turimus duomenis)</w:t>
      </w:r>
      <w:r w:rsidR="00E2201C" w:rsidRPr="00F53012">
        <w:rPr>
          <w:color w:val="000000"/>
          <w:sz w:val="22"/>
          <w:szCs w:val="22"/>
          <w:lang w:val="lt-LT"/>
        </w:rPr>
        <w:t>:</w:t>
      </w:r>
    </w:p>
    <w:p w14:paraId="16C24300" w14:textId="77777777" w:rsidR="00E902F9" w:rsidRPr="00F53012" w:rsidRDefault="00E902F9" w:rsidP="00DE16D0">
      <w:pPr>
        <w:pStyle w:val="Text"/>
        <w:widowControl w:val="0"/>
        <w:numPr>
          <w:ilvl w:val="0"/>
          <w:numId w:val="26"/>
        </w:numPr>
        <w:tabs>
          <w:tab w:val="clear" w:pos="357"/>
        </w:tabs>
        <w:spacing w:before="0"/>
        <w:ind w:left="567" w:hanging="567"/>
        <w:jc w:val="left"/>
        <w:rPr>
          <w:rStyle w:val="hps"/>
          <w:sz w:val="22"/>
          <w:szCs w:val="22"/>
          <w:lang w:val="lt-LT"/>
        </w:rPr>
      </w:pPr>
      <w:r w:rsidRPr="00F93FFA">
        <w:rPr>
          <w:rStyle w:val="longtext"/>
          <w:color w:val="222222"/>
          <w:sz w:val="22"/>
          <w:szCs w:val="22"/>
          <w:lang w:val="lt-LT"/>
        </w:rPr>
        <w:t>P</w:t>
      </w:r>
      <w:r w:rsidRPr="00F93FFA">
        <w:rPr>
          <w:rStyle w:val="hps"/>
          <w:color w:val="222222"/>
          <w:sz w:val="22"/>
          <w:szCs w:val="22"/>
          <w:lang w:val="lt-LT"/>
        </w:rPr>
        <w:t>lačiai</w:t>
      </w:r>
      <w:r w:rsidRPr="00F93FFA">
        <w:rPr>
          <w:rStyle w:val="longtext"/>
          <w:color w:val="222222"/>
          <w:sz w:val="22"/>
          <w:szCs w:val="22"/>
          <w:lang w:val="lt-LT"/>
        </w:rPr>
        <w:t xml:space="preserve"> išplitęs </w:t>
      </w:r>
      <w:r w:rsidRPr="00F93FFA">
        <w:rPr>
          <w:rStyle w:val="hps"/>
          <w:color w:val="222222"/>
          <w:sz w:val="22"/>
          <w:szCs w:val="22"/>
          <w:lang w:val="lt-LT"/>
        </w:rPr>
        <w:t>stiprus odos bėrimas kartu su</w:t>
      </w:r>
      <w:r w:rsidRPr="00F93FFA">
        <w:rPr>
          <w:rStyle w:val="longtext"/>
          <w:color w:val="222222"/>
          <w:sz w:val="22"/>
          <w:szCs w:val="22"/>
          <w:lang w:val="lt-LT"/>
        </w:rPr>
        <w:t xml:space="preserve"> </w:t>
      </w:r>
      <w:r w:rsidRPr="00F93FFA">
        <w:rPr>
          <w:rStyle w:val="hps"/>
          <w:color w:val="222222"/>
          <w:sz w:val="22"/>
          <w:szCs w:val="22"/>
          <w:lang w:val="lt-LT"/>
        </w:rPr>
        <w:t>pykinimu</w:t>
      </w:r>
      <w:r w:rsidRPr="00F93FFA">
        <w:rPr>
          <w:rStyle w:val="longtext"/>
          <w:color w:val="222222"/>
          <w:sz w:val="22"/>
          <w:szCs w:val="22"/>
          <w:lang w:val="lt-LT"/>
        </w:rPr>
        <w:t xml:space="preserve">, karščiavimu, </w:t>
      </w:r>
      <w:r w:rsidRPr="00F93FFA">
        <w:rPr>
          <w:rStyle w:val="hps"/>
          <w:color w:val="222222"/>
          <w:sz w:val="22"/>
          <w:szCs w:val="22"/>
          <w:lang w:val="lt-LT"/>
        </w:rPr>
        <w:t>kai kurių baltųjų kraujo kūnelių skaičiaus padidėjimu arba</w:t>
      </w:r>
      <w:r w:rsidRPr="00F93FFA">
        <w:rPr>
          <w:rStyle w:val="longtext"/>
          <w:color w:val="222222"/>
          <w:sz w:val="22"/>
          <w:szCs w:val="22"/>
          <w:lang w:val="lt-LT"/>
        </w:rPr>
        <w:t xml:space="preserve"> </w:t>
      </w:r>
      <w:r w:rsidRPr="00F93FFA">
        <w:rPr>
          <w:rStyle w:val="hps"/>
          <w:color w:val="222222"/>
          <w:sz w:val="22"/>
          <w:szCs w:val="22"/>
          <w:lang w:val="lt-LT"/>
        </w:rPr>
        <w:t>odos ar akių pageltimu</w:t>
      </w:r>
      <w:r w:rsidRPr="00F93FFA">
        <w:rPr>
          <w:rStyle w:val="longtext"/>
          <w:color w:val="222222"/>
          <w:sz w:val="22"/>
          <w:szCs w:val="22"/>
          <w:lang w:val="lt-LT"/>
        </w:rPr>
        <w:t xml:space="preserve"> </w:t>
      </w:r>
      <w:r w:rsidRPr="00F93FFA">
        <w:rPr>
          <w:rStyle w:val="hps"/>
          <w:color w:val="222222"/>
          <w:sz w:val="22"/>
          <w:szCs w:val="22"/>
          <w:lang w:val="lt-LT"/>
        </w:rPr>
        <w:t>(</w:t>
      </w:r>
      <w:r w:rsidRPr="00F93FFA">
        <w:rPr>
          <w:rStyle w:val="longtext"/>
          <w:color w:val="222222"/>
          <w:sz w:val="22"/>
          <w:szCs w:val="22"/>
          <w:lang w:val="lt-LT"/>
        </w:rPr>
        <w:t xml:space="preserve">geltos požymiai), lydymas </w:t>
      </w:r>
      <w:r w:rsidRPr="00F93FFA">
        <w:rPr>
          <w:rStyle w:val="hps"/>
          <w:color w:val="222222"/>
          <w:sz w:val="22"/>
          <w:szCs w:val="22"/>
          <w:lang w:val="lt-LT"/>
        </w:rPr>
        <w:t>dusulio</w:t>
      </w:r>
      <w:r w:rsidRPr="00F93FFA">
        <w:rPr>
          <w:rStyle w:val="longtext"/>
          <w:color w:val="222222"/>
          <w:sz w:val="22"/>
          <w:szCs w:val="22"/>
          <w:lang w:val="lt-LT"/>
        </w:rPr>
        <w:t>, krūtinės skausmo</w:t>
      </w:r>
      <w:r w:rsidRPr="00F93FFA">
        <w:rPr>
          <w:rStyle w:val="hps"/>
          <w:color w:val="222222"/>
          <w:sz w:val="22"/>
          <w:szCs w:val="22"/>
          <w:lang w:val="lt-LT"/>
        </w:rPr>
        <w:t>/diskomforto,</w:t>
      </w:r>
      <w:r w:rsidRPr="00F93FFA">
        <w:rPr>
          <w:rStyle w:val="longtext"/>
          <w:color w:val="222222"/>
          <w:sz w:val="22"/>
          <w:szCs w:val="22"/>
          <w:lang w:val="lt-LT"/>
        </w:rPr>
        <w:t xml:space="preserve"> </w:t>
      </w:r>
      <w:r w:rsidRPr="00F93FFA">
        <w:rPr>
          <w:rStyle w:val="hps"/>
          <w:color w:val="222222"/>
          <w:sz w:val="22"/>
          <w:szCs w:val="22"/>
          <w:lang w:val="lt-LT"/>
        </w:rPr>
        <w:t>labai</w:t>
      </w:r>
      <w:r w:rsidRPr="00F93FFA">
        <w:rPr>
          <w:rStyle w:val="longtext"/>
          <w:color w:val="222222"/>
          <w:sz w:val="22"/>
          <w:szCs w:val="22"/>
          <w:lang w:val="lt-LT"/>
        </w:rPr>
        <w:t xml:space="preserve"> </w:t>
      </w:r>
      <w:r w:rsidRPr="00F93FFA">
        <w:rPr>
          <w:rStyle w:val="hps"/>
          <w:color w:val="222222"/>
          <w:sz w:val="22"/>
          <w:szCs w:val="22"/>
          <w:lang w:val="lt-LT"/>
        </w:rPr>
        <w:t>sumažėjusio</w:t>
      </w:r>
      <w:r w:rsidRPr="00F93FFA">
        <w:rPr>
          <w:rStyle w:val="longtext"/>
          <w:color w:val="222222"/>
          <w:sz w:val="22"/>
          <w:szCs w:val="22"/>
          <w:lang w:val="lt-LT"/>
        </w:rPr>
        <w:t xml:space="preserve"> </w:t>
      </w:r>
      <w:r w:rsidRPr="00F93FFA">
        <w:rPr>
          <w:rStyle w:val="hps"/>
          <w:color w:val="222222"/>
          <w:sz w:val="22"/>
          <w:szCs w:val="22"/>
          <w:lang w:val="lt-LT"/>
        </w:rPr>
        <w:t>šlapimo išsiskyrimo bei</w:t>
      </w:r>
      <w:r w:rsidRPr="00F93FFA">
        <w:rPr>
          <w:rStyle w:val="longtext"/>
          <w:color w:val="222222"/>
          <w:sz w:val="22"/>
          <w:szCs w:val="22"/>
          <w:lang w:val="lt-LT"/>
        </w:rPr>
        <w:t xml:space="preserve"> </w:t>
      </w:r>
      <w:r w:rsidRPr="00F93FFA">
        <w:rPr>
          <w:rStyle w:val="hps"/>
          <w:color w:val="222222"/>
          <w:sz w:val="22"/>
          <w:szCs w:val="22"/>
          <w:lang w:val="lt-LT"/>
        </w:rPr>
        <w:t>troškulio</w:t>
      </w:r>
      <w:r w:rsidRPr="00F93FFA">
        <w:rPr>
          <w:rStyle w:val="longtext"/>
          <w:color w:val="222222"/>
          <w:sz w:val="22"/>
          <w:szCs w:val="22"/>
          <w:lang w:val="lt-LT"/>
        </w:rPr>
        <w:t xml:space="preserve"> </w:t>
      </w:r>
      <w:r w:rsidRPr="00F93FFA">
        <w:rPr>
          <w:rStyle w:val="hps"/>
          <w:color w:val="222222"/>
          <w:sz w:val="22"/>
          <w:szCs w:val="22"/>
          <w:lang w:val="lt-LT"/>
        </w:rPr>
        <w:t>ir t.t. (alerginės reakcijos</w:t>
      </w:r>
      <w:r w:rsidRPr="00F93FFA">
        <w:rPr>
          <w:rStyle w:val="longtext"/>
          <w:color w:val="222222"/>
          <w:sz w:val="22"/>
          <w:szCs w:val="22"/>
          <w:lang w:val="lt-LT"/>
        </w:rPr>
        <w:t xml:space="preserve"> požymiai susiję su gydymu</w:t>
      </w:r>
      <w:r w:rsidRPr="00F93FFA">
        <w:rPr>
          <w:rStyle w:val="hps"/>
          <w:color w:val="222222"/>
          <w:sz w:val="22"/>
          <w:szCs w:val="22"/>
          <w:lang w:val="lt-LT"/>
        </w:rPr>
        <w:t>).</w:t>
      </w:r>
    </w:p>
    <w:p w14:paraId="359111F8" w14:textId="77777777" w:rsidR="00A95684" w:rsidRPr="00F93FFA" w:rsidRDefault="00A95684" w:rsidP="00DE16D0">
      <w:pPr>
        <w:pStyle w:val="Text"/>
        <w:widowControl w:val="0"/>
        <w:numPr>
          <w:ilvl w:val="0"/>
          <w:numId w:val="26"/>
        </w:numPr>
        <w:tabs>
          <w:tab w:val="clear" w:pos="357"/>
        </w:tabs>
        <w:spacing w:before="0"/>
        <w:ind w:left="567" w:hanging="567"/>
        <w:jc w:val="left"/>
        <w:rPr>
          <w:sz w:val="22"/>
          <w:szCs w:val="22"/>
          <w:lang w:val="es-ES"/>
        </w:rPr>
      </w:pPr>
      <w:r w:rsidRPr="00F93FFA">
        <w:rPr>
          <w:sz w:val="22"/>
          <w:szCs w:val="22"/>
          <w:lang w:val="es-ES"/>
        </w:rPr>
        <w:t>Lėtinis inkstų nepakankamumas.</w:t>
      </w:r>
    </w:p>
    <w:p w14:paraId="196B2F10" w14:textId="77777777" w:rsidR="00801D45" w:rsidRPr="00F93FFA" w:rsidRDefault="00801D45" w:rsidP="00DE16D0">
      <w:pPr>
        <w:pStyle w:val="Text"/>
        <w:widowControl w:val="0"/>
        <w:numPr>
          <w:ilvl w:val="0"/>
          <w:numId w:val="26"/>
        </w:numPr>
        <w:tabs>
          <w:tab w:val="clear" w:pos="357"/>
        </w:tabs>
        <w:spacing w:before="0"/>
        <w:ind w:left="567" w:hanging="567"/>
        <w:jc w:val="left"/>
        <w:rPr>
          <w:sz w:val="22"/>
          <w:szCs w:val="22"/>
          <w:lang w:val="es-ES"/>
        </w:rPr>
      </w:pPr>
      <w:r w:rsidRPr="00F93FFA">
        <w:rPr>
          <w:rFonts w:eastAsia="Verdana"/>
          <w:bCs/>
          <w:color w:val="000000"/>
          <w:sz w:val="22"/>
          <w:szCs w:val="22"/>
          <w:lang w:val="lt-LT"/>
        </w:rPr>
        <w:t xml:space="preserve">Hepatito B infekcijos atsinaujinimas (reaktyvacija), jeigu praeityje </w:t>
      </w:r>
      <w:r w:rsidR="00A42D00" w:rsidRPr="00F93FFA">
        <w:rPr>
          <w:rFonts w:eastAsia="Verdana"/>
          <w:bCs/>
          <w:color w:val="000000"/>
          <w:sz w:val="22"/>
          <w:szCs w:val="22"/>
          <w:lang w:val="lt-LT"/>
        </w:rPr>
        <w:t>J</w:t>
      </w:r>
      <w:r w:rsidRPr="00F93FFA">
        <w:rPr>
          <w:rFonts w:eastAsia="Verdana"/>
          <w:bCs/>
          <w:color w:val="000000"/>
          <w:sz w:val="22"/>
          <w:szCs w:val="22"/>
          <w:lang w:val="lt-LT"/>
        </w:rPr>
        <w:t>ums buvo diagnozuotas hepatitas B (kepenų infekcija)</w:t>
      </w:r>
      <w:r w:rsidR="00812F8D" w:rsidRPr="00F93FFA">
        <w:rPr>
          <w:rFonts w:eastAsia="Verdana"/>
          <w:bCs/>
          <w:color w:val="000000"/>
          <w:sz w:val="22"/>
          <w:szCs w:val="22"/>
          <w:lang w:val="lt-LT"/>
        </w:rPr>
        <w:t>.</w:t>
      </w:r>
    </w:p>
    <w:p w14:paraId="3FF935BB" w14:textId="77777777" w:rsidR="00E902F9" w:rsidRPr="00F93FFA" w:rsidRDefault="00E902F9" w:rsidP="00DE16D0">
      <w:pPr>
        <w:pStyle w:val="Text"/>
        <w:widowControl w:val="0"/>
        <w:spacing w:before="0"/>
        <w:jc w:val="left"/>
        <w:rPr>
          <w:color w:val="000000"/>
          <w:sz w:val="22"/>
          <w:szCs w:val="22"/>
          <w:lang w:val="es-ES"/>
        </w:rPr>
      </w:pPr>
    </w:p>
    <w:p w14:paraId="568F1442"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Jeigu Jums pasireikštų bet kuris iš anksčiau nurodytų reiškinių, </w:t>
      </w:r>
      <w:r w:rsidRPr="00F93FFA">
        <w:rPr>
          <w:b/>
          <w:color w:val="000000"/>
          <w:sz w:val="22"/>
          <w:szCs w:val="22"/>
          <w:lang w:val="lt-LT"/>
        </w:rPr>
        <w:t>nedelsiant pasakykite gydytojui.</w:t>
      </w:r>
    </w:p>
    <w:p w14:paraId="4A091333" w14:textId="77777777" w:rsidR="00314B70" w:rsidRPr="00F93FFA" w:rsidRDefault="00314B70" w:rsidP="00DE16D0">
      <w:pPr>
        <w:pStyle w:val="Text"/>
        <w:widowControl w:val="0"/>
        <w:spacing w:before="0"/>
        <w:jc w:val="left"/>
        <w:rPr>
          <w:color w:val="000000"/>
          <w:sz w:val="22"/>
          <w:szCs w:val="22"/>
          <w:lang w:val="lt-LT"/>
        </w:rPr>
      </w:pPr>
    </w:p>
    <w:p w14:paraId="59326298" w14:textId="77777777" w:rsidR="00314B70" w:rsidRPr="00F93FFA" w:rsidRDefault="00314B70" w:rsidP="009A4400">
      <w:pPr>
        <w:pStyle w:val="Text"/>
        <w:keepNext/>
        <w:widowControl w:val="0"/>
        <w:spacing w:before="0"/>
        <w:jc w:val="left"/>
        <w:rPr>
          <w:b/>
          <w:color w:val="000000"/>
          <w:sz w:val="22"/>
          <w:szCs w:val="22"/>
          <w:lang w:val="lt-LT"/>
        </w:rPr>
      </w:pPr>
      <w:r w:rsidRPr="00F93FFA">
        <w:rPr>
          <w:b/>
          <w:color w:val="000000"/>
          <w:sz w:val="22"/>
          <w:szCs w:val="22"/>
          <w:lang w:val="lt-LT"/>
        </w:rPr>
        <w:lastRenderedPageBreak/>
        <w:t>Taip pat gali pasireikšti kiti šalutiniai reiškiniai:</w:t>
      </w:r>
    </w:p>
    <w:p w14:paraId="7CFD3D9A" w14:textId="77777777" w:rsidR="00314B70" w:rsidRPr="00F93FFA" w:rsidRDefault="00314B70" w:rsidP="009A4400">
      <w:pPr>
        <w:pStyle w:val="Text"/>
        <w:keepNext/>
        <w:widowControl w:val="0"/>
        <w:spacing w:before="0"/>
        <w:jc w:val="left"/>
        <w:rPr>
          <w:color w:val="000000"/>
          <w:sz w:val="22"/>
          <w:szCs w:val="22"/>
          <w:lang w:val="lt-LT"/>
        </w:rPr>
      </w:pPr>
    </w:p>
    <w:p w14:paraId="1A313BBA" w14:textId="77777777" w:rsidR="00314B70" w:rsidRPr="00F93FFA" w:rsidRDefault="00314B70" w:rsidP="009A4400">
      <w:pPr>
        <w:pStyle w:val="Text"/>
        <w:keepNext/>
        <w:widowControl w:val="0"/>
        <w:spacing w:before="0"/>
        <w:rPr>
          <w:i/>
          <w:color w:val="000000"/>
          <w:sz w:val="22"/>
          <w:szCs w:val="22"/>
          <w:lang w:val="lt-LT"/>
        </w:rPr>
      </w:pPr>
      <w:r w:rsidRPr="00F93FFA">
        <w:rPr>
          <w:b/>
          <w:color w:val="000000"/>
          <w:sz w:val="22"/>
          <w:szCs w:val="22"/>
          <w:lang w:val="lt-LT"/>
        </w:rPr>
        <w:t>Labai dažni</w:t>
      </w:r>
      <w:r w:rsidRPr="00F93FFA">
        <w:rPr>
          <w:color w:val="000000"/>
          <w:sz w:val="22"/>
          <w:szCs w:val="22"/>
          <w:lang w:val="lt-LT"/>
        </w:rPr>
        <w:t xml:space="preserve"> (gali pasireikšti daugiau kaip 1 iš 10 žmonių):</w:t>
      </w:r>
    </w:p>
    <w:p w14:paraId="6DCD0EEE" w14:textId="77777777" w:rsidR="00314B70" w:rsidRPr="00F93FFA" w:rsidRDefault="00314B70" w:rsidP="00DE16D0">
      <w:pPr>
        <w:pStyle w:val="Text"/>
        <w:widowControl w:val="0"/>
        <w:numPr>
          <w:ilvl w:val="0"/>
          <w:numId w:val="18"/>
        </w:numPr>
        <w:tabs>
          <w:tab w:val="clear" w:pos="357"/>
          <w:tab w:val="num" w:pos="567"/>
        </w:tabs>
        <w:spacing w:before="0"/>
        <w:ind w:left="567" w:hanging="567"/>
        <w:jc w:val="left"/>
        <w:rPr>
          <w:color w:val="000000"/>
          <w:sz w:val="22"/>
          <w:szCs w:val="22"/>
          <w:lang w:val="lt-LT"/>
        </w:rPr>
      </w:pPr>
      <w:r w:rsidRPr="00F93FFA">
        <w:rPr>
          <w:color w:val="000000"/>
          <w:sz w:val="22"/>
          <w:szCs w:val="22"/>
          <w:lang w:val="lt-LT"/>
        </w:rPr>
        <w:t>Galvos skausmas ar nuovargis.</w:t>
      </w:r>
    </w:p>
    <w:p w14:paraId="6EC2C1C9"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Šleikštulys (pykinimas), vėmimas, viduriavimas ar nevirškinimas.</w:t>
      </w:r>
    </w:p>
    <w:p w14:paraId="409129A4"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Bėrimas.</w:t>
      </w:r>
    </w:p>
    <w:p w14:paraId="1BF74887"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Raumenų mėšlungis arba sąnarių, raumenų ir kaulų skausmas</w:t>
      </w:r>
      <w:r w:rsidR="00E837C3" w:rsidRPr="00F93FFA">
        <w:rPr>
          <w:color w:val="000000"/>
          <w:sz w:val="22"/>
          <w:szCs w:val="22"/>
          <w:lang w:val="lt-LT"/>
        </w:rPr>
        <w:t xml:space="preserve"> Glivec vartojimo metu arba nutraukus Glivec</w:t>
      </w:r>
      <w:r w:rsidR="007320EF" w:rsidRPr="00F93FFA">
        <w:rPr>
          <w:color w:val="000000"/>
          <w:sz w:val="22"/>
          <w:szCs w:val="22"/>
          <w:lang w:val="lt-LT"/>
        </w:rPr>
        <w:t xml:space="preserve"> vartojimą</w:t>
      </w:r>
      <w:r w:rsidRPr="00F93FFA">
        <w:rPr>
          <w:color w:val="000000"/>
          <w:sz w:val="22"/>
          <w:szCs w:val="22"/>
          <w:lang w:val="lt-LT"/>
        </w:rPr>
        <w:t>.</w:t>
      </w:r>
    </w:p>
    <w:p w14:paraId="78A6359C"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Tinimas, pavyzdžiui, patinusios kulkšnys ar paburkę akių vokai.</w:t>
      </w:r>
    </w:p>
    <w:p w14:paraId="1B63A852"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Padidėjęs kūno svoris.</w:t>
      </w:r>
    </w:p>
    <w:p w14:paraId="593D1500"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175B7838" w14:textId="77777777" w:rsidR="00314B70" w:rsidRPr="00F93FFA" w:rsidRDefault="00314B70" w:rsidP="00DE16D0">
      <w:pPr>
        <w:pStyle w:val="Text"/>
        <w:widowControl w:val="0"/>
        <w:spacing w:before="0"/>
        <w:jc w:val="left"/>
        <w:rPr>
          <w:color w:val="000000"/>
          <w:sz w:val="22"/>
          <w:szCs w:val="22"/>
          <w:lang w:val="lt-LT"/>
        </w:rPr>
      </w:pPr>
    </w:p>
    <w:p w14:paraId="2B1FC04E" w14:textId="77777777" w:rsidR="00314B70" w:rsidRPr="00F93FFA" w:rsidRDefault="00314B70" w:rsidP="009A4400">
      <w:pPr>
        <w:pStyle w:val="Text"/>
        <w:keepNext/>
        <w:widowControl w:val="0"/>
        <w:spacing w:before="0"/>
        <w:jc w:val="left"/>
        <w:rPr>
          <w:b/>
          <w:i/>
          <w:color w:val="000000"/>
          <w:sz w:val="22"/>
          <w:szCs w:val="22"/>
          <w:lang w:val="lt-LT"/>
        </w:rPr>
      </w:pPr>
      <w:r w:rsidRPr="00F93FFA">
        <w:rPr>
          <w:b/>
          <w:color w:val="000000"/>
          <w:sz w:val="22"/>
          <w:szCs w:val="22"/>
          <w:lang w:val="lt-LT"/>
        </w:rPr>
        <w:t>Dažni</w:t>
      </w:r>
      <w:r w:rsidRPr="00F93FFA">
        <w:rPr>
          <w:color w:val="000000"/>
          <w:sz w:val="22"/>
          <w:szCs w:val="22"/>
          <w:lang w:val="lt-LT"/>
        </w:rPr>
        <w:t xml:space="preserve"> (gali pasireikšti ne daugiau kaip 1 iš 10 žmonių):</w:t>
      </w:r>
    </w:p>
    <w:p w14:paraId="7C214082"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Anoreksija, sumažėjęs kūno svoris, sutrikęs skonio jutimas.</w:t>
      </w:r>
    </w:p>
    <w:p w14:paraId="22B4A2B4"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Galvos svaigimas, silpnumas.</w:t>
      </w:r>
    </w:p>
    <w:p w14:paraId="06D2A764"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Sunkumas užmigti (nemiga).</w:t>
      </w:r>
    </w:p>
    <w:p w14:paraId="5A6C4C31"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Išskyros iš akies kartu su niežuliu, paraudimu ir patinimu (konjunktyvitas), ašarojimas, neryškus matymas.</w:t>
      </w:r>
    </w:p>
    <w:p w14:paraId="07B3DBBB"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Kraujavimas iš nosies.</w:t>
      </w:r>
    </w:p>
    <w:p w14:paraId="1A0145F0"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Pilvo skausmas ar patinimas, vidurių pūtimas, rėmuo, vidurių užkietėjimas.</w:t>
      </w:r>
    </w:p>
    <w:p w14:paraId="3DE4DA16"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Niežulys.</w:t>
      </w:r>
    </w:p>
    <w:p w14:paraId="0F8F45ED"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Neįprastas plaukų slinkimas ar plonėjimas.</w:t>
      </w:r>
    </w:p>
    <w:p w14:paraId="067A56F7"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Plaštakų ar pėdų tirpimas.</w:t>
      </w:r>
    </w:p>
    <w:p w14:paraId="1E66E83F"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Burnos išopėjimas.</w:t>
      </w:r>
    </w:p>
    <w:p w14:paraId="6CE87A4C"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Sąnarių skausmas ir patinimas.</w:t>
      </w:r>
    </w:p>
    <w:p w14:paraId="2DA8A567"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Burnos, odos ar akių džiūvimas.</w:t>
      </w:r>
    </w:p>
    <w:p w14:paraId="39DE3A8F"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Sumažėjęs arba padidėjęs odos jautrumas.</w:t>
      </w:r>
    </w:p>
    <w:p w14:paraId="1D794722"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Karščio pylimai, drebulys, naktinis prakaitavimas.</w:t>
      </w:r>
    </w:p>
    <w:p w14:paraId="50AAAC42"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3E9F2FB3" w14:textId="77777777" w:rsidR="00314B70" w:rsidRPr="00F93FFA" w:rsidRDefault="00314B70" w:rsidP="00DE16D0">
      <w:pPr>
        <w:pStyle w:val="Text"/>
        <w:widowControl w:val="0"/>
        <w:spacing w:before="0"/>
        <w:jc w:val="left"/>
        <w:rPr>
          <w:color w:val="000000"/>
          <w:sz w:val="22"/>
          <w:szCs w:val="22"/>
          <w:lang w:val="lt-LT"/>
        </w:rPr>
      </w:pPr>
    </w:p>
    <w:p w14:paraId="7BF5CA0E" w14:textId="1135F339" w:rsidR="00314B70" w:rsidRPr="00F93FFA" w:rsidRDefault="00314B70" w:rsidP="009A4400">
      <w:pPr>
        <w:pStyle w:val="Text"/>
        <w:keepNext/>
        <w:widowControl w:val="0"/>
        <w:spacing w:before="0"/>
        <w:jc w:val="left"/>
        <w:rPr>
          <w:i/>
          <w:color w:val="000000"/>
          <w:sz w:val="22"/>
          <w:szCs w:val="22"/>
          <w:lang w:val="lt-LT"/>
        </w:rPr>
      </w:pPr>
      <w:r w:rsidRPr="00F93FFA">
        <w:rPr>
          <w:b/>
          <w:color w:val="000000"/>
          <w:sz w:val="22"/>
          <w:szCs w:val="22"/>
          <w:lang w:val="lt-LT"/>
        </w:rPr>
        <w:t>Dažnis nežinomas</w:t>
      </w:r>
      <w:r w:rsidRPr="00F93FFA">
        <w:rPr>
          <w:color w:val="000000"/>
          <w:sz w:val="22"/>
          <w:szCs w:val="22"/>
          <w:lang w:val="lt-LT"/>
        </w:rPr>
        <w:t xml:space="preserve"> (negali būti </w:t>
      </w:r>
      <w:r w:rsidR="00770DD2" w:rsidRPr="00F93FFA">
        <w:rPr>
          <w:color w:val="000000"/>
          <w:sz w:val="22"/>
          <w:szCs w:val="22"/>
          <w:lang w:val="lt-LT"/>
        </w:rPr>
        <w:t xml:space="preserve">apskaičiuotas </w:t>
      </w:r>
      <w:r w:rsidRPr="00F93FFA">
        <w:rPr>
          <w:color w:val="000000"/>
          <w:sz w:val="22"/>
          <w:szCs w:val="22"/>
          <w:lang w:val="lt-LT"/>
        </w:rPr>
        <w:t>pagal turimus duomenis):</w:t>
      </w:r>
    </w:p>
    <w:p w14:paraId="1F5567BC"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Delnų ir padų paraudimas ir (arba) patinimas, kurie gali pasireikšti kartu su dilgčiojimo pojūčiu ir deginančiu skausmu.</w:t>
      </w:r>
    </w:p>
    <w:p w14:paraId="2A795976" w14:textId="77777777" w:rsidR="006703D1" w:rsidRPr="00F93FFA" w:rsidRDefault="006703D1"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Skausmingi ir (arba) pūsliniai odos pažeidimai.</w:t>
      </w:r>
    </w:p>
    <w:p w14:paraId="0C69C642"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Sulėtėjęs vaikų ir paauglių augimas.</w:t>
      </w:r>
    </w:p>
    <w:p w14:paraId="50E782E7"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5C95C935" w14:textId="77777777" w:rsidR="00314B70" w:rsidRPr="00F93FFA" w:rsidRDefault="00314B70" w:rsidP="00DE16D0">
      <w:pPr>
        <w:pStyle w:val="Text"/>
        <w:widowControl w:val="0"/>
        <w:spacing w:before="0"/>
        <w:jc w:val="left"/>
        <w:rPr>
          <w:color w:val="000000"/>
          <w:sz w:val="22"/>
          <w:szCs w:val="22"/>
          <w:lang w:val="lt-LT"/>
        </w:rPr>
      </w:pPr>
    </w:p>
    <w:p w14:paraId="7954E8AB" w14:textId="77777777" w:rsidR="00314B70" w:rsidRPr="00F93FFA" w:rsidRDefault="00314B70" w:rsidP="009A4400">
      <w:pPr>
        <w:keepNext/>
        <w:widowControl w:val="0"/>
        <w:rPr>
          <w:b/>
          <w:sz w:val="22"/>
          <w:szCs w:val="22"/>
        </w:rPr>
      </w:pPr>
      <w:r w:rsidRPr="00F93FFA">
        <w:rPr>
          <w:b/>
          <w:noProof/>
          <w:sz w:val="22"/>
          <w:szCs w:val="22"/>
        </w:rPr>
        <w:t>Pranešimas apie šalutinį poveikį</w:t>
      </w:r>
    </w:p>
    <w:p w14:paraId="496ECFF9" w14:textId="77777777" w:rsidR="00314B70" w:rsidRPr="00F93FFA" w:rsidRDefault="00314B70" w:rsidP="00DE16D0">
      <w:pPr>
        <w:widowControl w:val="0"/>
        <w:numPr>
          <w:ilvl w:val="12"/>
          <w:numId w:val="0"/>
        </w:numPr>
        <w:ind w:right="-2"/>
        <w:rPr>
          <w:sz w:val="22"/>
          <w:szCs w:val="22"/>
        </w:rPr>
      </w:pPr>
      <w:r w:rsidRPr="00F93FFA">
        <w:rPr>
          <w:noProof/>
          <w:sz w:val="22"/>
          <w:szCs w:val="22"/>
        </w:rPr>
        <w:t xml:space="preserve">Jeigu pasireiškė šalutinis poveikis, įskaitant šiame lapelyje nenurodytą, pasakykite gydytojui, vaistininkui arba slaugytojai. Apie šalutinį poveikį taip pat galite pranešti tiesiogiai </w:t>
      </w:r>
      <w:r w:rsidRPr="00F93FFA">
        <w:rPr>
          <w:noProof/>
          <w:sz w:val="22"/>
          <w:szCs w:val="22"/>
          <w:shd w:val="clear" w:color="auto" w:fill="D9D9D9"/>
        </w:rPr>
        <w:t xml:space="preserve">naudodamiesi </w:t>
      </w:r>
      <w:hyperlink r:id="rId15" w:history="1">
        <w:r w:rsidRPr="00F93FFA">
          <w:rPr>
            <w:rStyle w:val="Hyperlink"/>
            <w:sz w:val="22"/>
            <w:szCs w:val="22"/>
            <w:shd w:val="clear" w:color="auto" w:fill="D9D9D9"/>
          </w:rPr>
          <w:t>V priede</w:t>
        </w:r>
      </w:hyperlink>
      <w:r w:rsidRPr="00F93FFA">
        <w:rPr>
          <w:noProof/>
          <w:sz w:val="22"/>
          <w:szCs w:val="22"/>
          <w:shd w:val="clear" w:color="auto" w:fill="D9D9D9"/>
        </w:rPr>
        <w:t xml:space="preserve"> nurodyta nacionaline pranešimo sistema</w:t>
      </w:r>
      <w:r w:rsidRPr="00F93FFA">
        <w:rPr>
          <w:noProof/>
          <w:sz w:val="22"/>
          <w:szCs w:val="22"/>
        </w:rPr>
        <w:t>.</w:t>
      </w:r>
      <w:r w:rsidRPr="00F93FFA">
        <w:rPr>
          <w:sz w:val="22"/>
          <w:szCs w:val="22"/>
        </w:rPr>
        <w:t xml:space="preserve"> </w:t>
      </w:r>
      <w:r w:rsidRPr="00F93FFA">
        <w:rPr>
          <w:noProof/>
          <w:sz w:val="22"/>
          <w:szCs w:val="22"/>
        </w:rPr>
        <w:t>Pranešdami apie šalutinį poveikį galite mums padėti gauti daugiau informacijos apie šio vaisto saugumą.</w:t>
      </w:r>
    </w:p>
    <w:p w14:paraId="3B2D5401" w14:textId="77777777" w:rsidR="00314B70" w:rsidRPr="00F93FFA" w:rsidRDefault="00314B70" w:rsidP="00DE16D0">
      <w:pPr>
        <w:widowControl w:val="0"/>
        <w:ind w:left="567" w:hanging="567"/>
        <w:rPr>
          <w:color w:val="000000"/>
          <w:sz w:val="22"/>
          <w:szCs w:val="22"/>
        </w:rPr>
      </w:pPr>
    </w:p>
    <w:p w14:paraId="54FC8E51" w14:textId="77777777" w:rsidR="00314B70" w:rsidRPr="00F93FFA" w:rsidRDefault="00314B70" w:rsidP="00DE16D0">
      <w:pPr>
        <w:widowControl w:val="0"/>
        <w:ind w:left="567" w:hanging="567"/>
        <w:rPr>
          <w:color w:val="000000"/>
          <w:sz w:val="22"/>
          <w:szCs w:val="22"/>
        </w:rPr>
      </w:pPr>
    </w:p>
    <w:p w14:paraId="77EC9F1A"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aps/>
          <w:color w:val="000000"/>
          <w:sz w:val="22"/>
          <w:szCs w:val="22"/>
        </w:rPr>
        <w:t>5.</w:t>
      </w:r>
      <w:r w:rsidRPr="00F93FFA">
        <w:rPr>
          <w:b/>
          <w:caps/>
          <w:color w:val="000000"/>
          <w:sz w:val="22"/>
          <w:szCs w:val="22"/>
        </w:rPr>
        <w:tab/>
        <w:t>K</w:t>
      </w:r>
      <w:r w:rsidRPr="00F93FFA">
        <w:rPr>
          <w:b/>
          <w:color w:val="000000"/>
          <w:sz w:val="22"/>
          <w:szCs w:val="22"/>
        </w:rPr>
        <w:t>aip laikyti Glivec</w:t>
      </w:r>
    </w:p>
    <w:p w14:paraId="4BA094F1" w14:textId="77777777" w:rsidR="003646A0" w:rsidRPr="00F93FFA" w:rsidRDefault="003646A0" w:rsidP="009A4400">
      <w:pPr>
        <w:keepNext/>
        <w:widowControl w:val="0"/>
        <w:ind w:left="567" w:hanging="567"/>
        <w:rPr>
          <w:color w:val="000000"/>
          <w:sz w:val="22"/>
          <w:szCs w:val="22"/>
        </w:rPr>
      </w:pPr>
    </w:p>
    <w:p w14:paraId="6A7EBBFD"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Šį vaistą laikykite vaikams nepastebimoje ir nepasiekiamoje vietoje.</w:t>
      </w:r>
    </w:p>
    <w:p w14:paraId="1AFEBBF8"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 xml:space="preserve">Ant dėžutės </w:t>
      </w:r>
      <w:r w:rsidR="006703D1" w:rsidRPr="00F93FFA">
        <w:rPr>
          <w:color w:val="000000"/>
          <w:sz w:val="22"/>
          <w:szCs w:val="22"/>
          <w:lang w:val="lt-LT"/>
        </w:rPr>
        <w:t>po „</w:t>
      </w:r>
      <w:r w:rsidR="00C669BB" w:rsidRPr="00F93FFA">
        <w:rPr>
          <w:color w:val="000000"/>
          <w:sz w:val="22"/>
          <w:szCs w:val="22"/>
          <w:lang w:val="lt-LT"/>
        </w:rPr>
        <w:t>EXP</w:t>
      </w:r>
      <w:r w:rsidR="006703D1" w:rsidRPr="00F93FFA">
        <w:rPr>
          <w:color w:val="000000"/>
          <w:sz w:val="22"/>
          <w:szCs w:val="22"/>
          <w:lang w:val="lt-LT"/>
        </w:rPr>
        <w:t xml:space="preserve">“ </w:t>
      </w:r>
      <w:r w:rsidRPr="00F93FFA">
        <w:rPr>
          <w:color w:val="000000"/>
          <w:sz w:val="22"/>
          <w:szCs w:val="22"/>
          <w:lang w:val="lt-LT"/>
        </w:rPr>
        <w:t>nurodytam tinkamumo laikui pasibaigus, šio vaisto vartoti negalima.</w:t>
      </w:r>
    </w:p>
    <w:p w14:paraId="397DD184"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Laikyti ne aukštesnėje kaip 30 </w:t>
      </w:r>
      <w:r w:rsidRPr="00F93FFA">
        <w:rPr>
          <w:color w:val="000000"/>
          <w:sz w:val="22"/>
          <w:szCs w:val="22"/>
        </w:rPr>
        <w:sym w:font="Symbol" w:char="F0B0"/>
      </w:r>
      <w:r w:rsidRPr="00F93FFA">
        <w:rPr>
          <w:color w:val="000000"/>
          <w:sz w:val="22"/>
          <w:szCs w:val="22"/>
          <w:lang w:val="lt-LT"/>
        </w:rPr>
        <w:t>C temperatūroje.</w:t>
      </w:r>
    </w:p>
    <w:p w14:paraId="2ADB862D" w14:textId="5DC0907F"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 xml:space="preserve">Laikyti gamintojo pakuotėje, kad </w:t>
      </w:r>
      <w:r w:rsidR="00A61375" w:rsidRPr="00F93FFA">
        <w:rPr>
          <w:color w:val="000000"/>
          <w:sz w:val="22"/>
          <w:szCs w:val="22"/>
          <w:lang w:val="lt-LT"/>
        </w:rPr>
        <w:t xml:space="preserve">vaistas </w:t>
      </w:r>
      <w:r w:rsidRPr="00F93FFA">
        <w:rPr>
          <w:color w:val="000000"/>
          <w:sz w:val="22"/>
          <w:szCs w:val="22"/>
          <w:lang w:val="lt-LT"/>
        </w:rPr>
        <w:t>būtų apsaugotas nuo drėgmės.</w:t>
      </w:r>
    </w:p>
    <w:p w14:paraId="42B7424A"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Negalima vartoti vaisto iš pakuotės, kuri yra pažeista ar yra sugedimo požymių.</w:t>
      </w:r>
    </w:p>
    <w:p w14:paraId="0B76F7D6"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sz w:val="22"/>
          <w:szCs w:val="22"/>
          <w:lang w:val="lt-LT"/>
        </w:rPr>
        <w:t>Vaistų negalima išmesti į kanalizaciją arba su buitinėmis atliekomis. Kaip išmesti nereikalingus vaistus, klauskite vaistininko. Šios priemonės padės apsaugoti aplinką.</w:t>
      </w:r>
    </w:p>
    <w:p w14:paraId="6E0E963F" w14:textId="77777777" w:rsidR="003646A0" w:rsidRPr="00F93FFA" w:rsidRDefault="003646A0" w:rsidP="00DE16D0">
      <w:pPr>
        <w:widowControl w:val="0"/>
        <w:rPr>
          <w:color w:val="000000"/>
          <w:sz w:val="22"/>
          <w:szCs w:val="22"/>
        </w:rPr>
      </w:pPr>
    </w:p>
    <w:p w14:paraId="40A6CFFE" w14:textId="77777777" w:rsidR="003646A0" w:rsidRPr="00F93FFA" w:rsidRDefault="003646A0" w:rsidP="00DE16D0">
      <w:pPr>
        <w:widowControl w:val="0"/>
        <w:rPr>
          <w:color w:val="000000"/>
          <w:sz w:val="22"/>
          <w:szCs w:val="22"/>
        </w:rPr>
      </w:pPr>
    </w:p>
    <w:p w14:paraId="5A862CB2" w14:textId="77777777" w:rsidR="003646A0" w:rsidRPr="00F93FFA" w:rsidRDefault="003646A0" w:rsidP="009A4400">
      <w:pPr>
        <w:keepNext/>
        <w:widowControl w:val="0"/>
        <w:numPr>
          <w:ilvl w:val="12"/>
          <w:numId w:val="0"/>
        </w:numPr>
        <w:tabs>
          <w:tab w:val="left" w:pos="540"/>
        </w:tabs>
        <w:ind w:left="567" w:hanging="567"/>
        <w:outlineLvl w:val="0"/>
        <w:rPr>
          <w:b/>
          <w:color w:val="000000"/>
          <w:sz w:val="22"/>
          <w:szCs w:val="22"/>
        </w:rPr>
      </w:pPr>
      <w:r w:rsidRPr="00F93FFA">
        <w:rPr>
          <w:b/>
          <w:color w:val="000000"/>
          <w:sz w:val="22"/>
          <w:szCs w:val="22"/>
        </w:rPr>
        <w:lastRenderedPageBreak/>
        <w:t>6.</w:t>
      </w:r>
      <w:r w:rsidRPr="00F93FFA">
        <w:rPr>
          <w:color w:val="000000"/>
          <w:sz w:val="22"/>
          <w:szCs w:val="22"/>
        </w:rPr>
        <w:tab/>
      </w:r>
      <w:r w:rsidRPr="00F93FFA">
        <w:rPr>
          <w:b/>
          <w:sz w:val="22"/>
          <w:szCs w:val="22"/>
        </w:rPr>
        <w:t>Pakuotės turinys ir kita informacija</w:t>
      </w:r>
    </w:p>
    <w:p w14:paraId="686D984E" w14:textId="77777777" w:rsidR="003646A0" w:rsidRPr="00F93FFA" w:rsidRDefault="003646A0" w:rsidP="009A4400">
      <w:pPr>
        <w:keepNext/>
        <w:widowControl w:val="0"/>
        <w:ind w:left="567" w:hanging="567"/>
        <w:rPr>
          <w:color w:val="000000"/>
          <w:sz w:val="22"/>
          <w:szCs w:val="22"/>
        </w:rPr>
      </w:pPr>
    </w:p>
    <w:p w14:paraId="4F78DAE7"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Glivec sudėtis</w:t>
      </w:r>
    </w:p>
    <w:p w14:paraId="6A729F57" w14:textId="3F743A38"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Veiklioji medžiaga yra imatinibo mesilatas. Kiekvienoje Glivec kapsulėje yra 100 mg imatinibo (mesilato</w:t>
      </w:r>
      <w:r w:rsidR="006846B3" w:rsidRPr="00F93FFA">
        <w:rPr>
          <w:color w:val="000000"/>
          <w:sz w:val="22"/>
          <w:szCs w:val="22"/>
        </w:rPr>
        <w:t xml:space="preserve"> pavidalu</w:t>
      </w:r>
      <w:r w:rsidRPr="00F93FFA">
        <w:rPr>
          <w:color w:val="000000"/>
          <w:sz w:val="22"/>
          <w:szCs w:val="22"/>
        </w:rPr>
        <w:t>).</w:t>
      </w:r>
    </w:p>
    <w:p w14:paraId="4A57BB20" w14:textId="68EA4744"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 xml:space="preserve">Pagalbinės medžiagos yra mikrokristalinė celiuliozė, krospovidonas, magnio stearatas ir bevandenis koloidinis silicio dioksidas. Kapsulės </w:t>
      </w:r>
      <w:r w:rsidR="007738D8" w:rsidRPr="00F93FFA">
        <w:rPr>
          <w:color w:val="000000"/>
          <w:sz w:val="22"/>
          <w:szCs w:val="22"/>
        </w:rPr>
        <w:t xml:space="preserve">apvalkalas </w:t>
      </w:r>
      <w:r w:rsidRPr="00F93FFA">
        <w:rPr>
          <w:color w:val="000000"/>
          <w:sz w:val="22"/>
          <w:szCs w:val="22"/>
        </w:rPr>
        <w:t>sudarytas iš želatinos, raudonojo geležies oksido (E172), geltonojo geležies oksido (E172) ir titano dioksidas (E171). Užrašo rašalas sudarytas iš raudonojo geležies oksido (E172) ir šelako.</w:t>
      </w:r>
    </w:p>
    <w:p w14:paraId="22B29165" w14:textId="77777777" w:rsidR="003646A0" w:rsidRPr="00F93FFA" w:rsidRDefault="003646A0" w:rsidP="00DE16D0">
      <w:pPr>
        <w:widowControl w:val="0"/>
        <w:ind w:left="567" w:hanging="567"/>
        <w:rPr>
          <w:color w:val="000000"/>
          <w:sz w:val="22"/>
          <w:szCs w:val="22"/>
        </w:rPr>
      </w:pPr>
    </w:p>
    <w:p w14:paraId="37809035"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Glivec išvaizda ir kiekis pakuotėje</w:t>
      </w:r>
    </w:p>
    <w:p w14:paraId="5A2903CA" w14:textId="77777777" w:rsidR="003646A0" w:rsidRPr="00F93FFA" w:rsidRDefault="003646A0" w:rsidP="00DE16D0">
      <w:pPr>
        <w:widowControl w:val="0"/>
        <w:rPr>
          <w:color w:val="000000"/>
          <w:sz w:val="22"/>
          <w:szCs w:val="22"/>
        </w:rPr>
      </w:pPr>
      <w:r w:rsidRPr="00F93FFA">
        <w:rPr>
          <w:color w:val="000000"/>
          <w:sz w:val="22"/>
          <w:szCs w:val="22"/>
        </w:rPr>
        <w:t>Glivec 100 mg kapsulės yra pilkšvai oranžinės spalvos ir pažymėtos “NVR SI”. Jose yra balkšvai geltonų miltelių.</w:t>
      </w:r>
    </w:p>
    <w:p w14:paraId="7283419C" w14:textId="77777777" w:rsidR="003646A0" w:rsidRPr="00F93FFA" w:rsidRDefault="003646A0" w:rsidP="00DE16D0">
      <w:pPr>
        <w:widowControl w:val="0"/>
        <w:ind w:left="567" w:hanging="567"/>
        <w:rPr>
          <w:color w:val="000000"/>
          <w:sz w:val="22"/>
          <w:szCs w:val="22"/>
        </w:rPr>
      </w:pPr>
    </w:p>
    <w:p w14:paraId="3078E6B9" w14:textId="77777777" w:rsidR="003646A0" w:rsidRPr="00F93FFA" w:rsidRDefault="003646A0" w:rsidP="00DE16D0">
      <w:pPr>
        <w:widowControl w:val="0"/>
        <w:rPr>
          <w:color w:val="000000"/>
          <w:sz w:val="22"/>
          <w:szCs w:val="22"/>
        </w:rPr>
      </w:pPr>
      <w:r w:rsidRPr="00F93FFA">
        <w:rPr>
          <w:color w:val="000000"/>
          <w:sz w:val="22"/>
          <w:szCs w:val="22"/>
        </w:rPr>
        <w:t>Jos tiekiamos pakuotėmis, kuriose yra 24, 48, 96, 120 arba 180 kapsulių. Gali būti tiekiamos ne visų dydžių pakuotės.</w:t>
      </w:r>
    </w:p>
    <w:p w14:paraId="29381429" w14:textId="77777777" w:rsidR="003646A0" w:rsidRPr="00F93FFA" w:rsidRDefault="003646A0" w:rsidP="00DE16D0">
      <w:pPr>
        <w:widowControl w:val="0"/>
        <w:ind w:left="567" w:hanging="567"/>
        <w:rPr>
          <w:color w:val="000000"/>
          <w:sz w:val="22"/>
          <w:szCs w:val="22"/>
        </w:rPr>
      </w:pPr>
    </w:p>
    <w:p w14:paraId="676A3146" w14:textId="77777777" w:rsidR="003646A0" w:rsidRPr="00F93FFA" w:rsidRDefault="00510466" w:rsidP="009A4400">
      <w:pPr>
        <w:keepNext/>
        <w:widowControl w:val="0"/>
        <w:ind w:left="567" w:hanging="567"/>
        <w:rPr>
          <w:b/>
          <w:color w:val="000000"/>
          <w:sz w:val="22"/>
          <w:szCs w:val="22"/>
        </w:rPr>
      </w:pPr>
      <w:r w:rsidRPr="00F93FFA">
        <w:rPr>
          <w:b/>
          <w:color w:val="000000"/>
          <w:sz w:val="22"/>
          <w:szCs w:val="22"/>
          <w:lang w:bidi="lt-LT"/>
        </w:rPr>
        <w:t>Registruotojas</w:t>
      </w:r>
    </w:p>
    <w:p w14:paraId="6FF13619" w14:textId="77777777" w:rsidR="003646A0" w:rsidRPr="00F93FFA" w:rsidRDefault="003646A0" w:rsidP="009A4400">
      <w:pPr>
        <w:pStyle w:val="EndnoteText"/>
        <w:keepNext/>
        <w:widowControl w:val="0"/>
        <w:tabs>
          <w:tab w:val="clear" w:pos="567"/>
        </w:tabs>
        <w:rPr>
          <w:color w:val="000000"/>
          <w:szCs w:val="22"/>
          <w:lang w:val="lt-LT"/>
        </w:rPr>
      </w:pPr>
      <w:r w:rsidRPr="00F93FFA">
        <w:rPr>
          <w:color w:val="000000"/>
          <w:szCs w:val="22"/>
          <w:lang w:val="lt-LT"/>
        </w:rPr>
        <w:t>Novartis Europharm Limited</w:t>
      </w:r>
    </w:p>
    <w:p w14:paraId="13B55DF6" w14:textId="77777777" w:rsidR="008D67C4" w:rsidRPr="00F93FFA" w:rsidRDefault="008D67C4" w:rsidP="009A4400">
      <w:pPr>
        <w:keepNext/>
        <w:widowControl w:val="0"/>
        <w:rPr>
          <w:color w:val="000000"/>
          <w:sz w:val="22"/>
          <w:szCs w:val="22"/>
        </w:rPr>
      </w:pPr>
      <w:r w:rsidRPr="00F93FFA">
        <w:rPr>
          <w:color w:val="000000"/>
          <w:sz w:val="22"/>
          <w:szCs w:val="22"/>
        </w:rPr>
        <w:t>Vista Building</w:t>
      </w:r>
    </w:p>
    <w:p w14:paraId="2FE26A07" w14:textId="77777777" w:rsidR="008D67C4" w:rsidRPr="00F93FFA" w:rsidRDefault="008D67C4" w:rsidP="009A4400">
      <w:pPr>
        <w:keepNext/>
        <w:widowControl w:val="0"/>
        <w:rPr>
          <w:color w:val="000000"/>
          <w:sz w:val="22"/>
          <w:szCs w:val="22"/>
        </w:rPr>
      </w:pPr>
      <w:r w:rsidRPr="00F93FFA">
        <w:rPr>
          <w:color w:val="000000"/>
          <w:sz w:val="22"/>
          <w:szCs w:val="22"/>
        </w:rPr>
        <w:t>Elm Park, Merrion Road</w:t>
      </w:r>
    </w:p>
    <w:p w14:paraId="1C0A6935" w14:textId="77777777" w:rsidR="008D67C4" w:rsidRPr="00F93FFA" w:rsidRDefault="008D67C4" w:rsidP="009A4400">
      <w:pPr>
        <w:keepNext/>
        <w:widowControl w:val="0"/>
        <w:rPr>
          <w:color w:val="000000"/>
          <w:sz w:val="22"/>
          <w:szCs w:val="22"/>
        </w:rPr>
      </w:pPr>
      <w:r w:rsidRPr="00F93FFA">
        <w:rPr>
          <w:color w:val="000000"/>
          <w:sz w:val="22"/>
          <w:szCs w:val="22"/>
        </w:rPr>
        <w:t>Dublin 4</w:t>
      </w:r>
    </w:p>
    <w:p w14:paraId="5672E7DA" w14:textId="77777777" w:rsidR="003646A0" w:rsidRPr="00F93FFA" w:rsidRDefault="008D67C4" w:rsidP="00DE16D0">
      <w:pPr>
        <w:widowControl w:val="0"/>
        <w:ind w:left="567" w:hanging="567"/>
        <w:rPr>
          <w:color w:val="000000"/>
          <w:sz w:val="22"/>
          <w:szCs w:val="22"/>
        </w:rPr>
      </w:pPr>
      <w:r w:rsidRPr="00F93FFA">
        <w:rPr>
          <w:color w:val="000000"/>
          <w:sz w:val="22"/>
          <w:szCs w:val="22"/>
        </w:rPr>
        <w:t>Airija</w:t>
      </w:r>
    </w:p>
    <w:p w14:paraId="1135689F" w14:textId="77777777" w:rsidR="003646A0" w:rsidRPr="00F93FFA" w:rsidRDefault="003646A0" w:rsidP="00DE16D0">
      <w:pPr>
        <w:widowControl w:val="0"/>
        <w:ind w:left="567" w:hanging="567"/>
        <w:rPr>
          <w:color w:val="000000"/>
          <w:sz w:val="22"/>
          <w:szCs w:val="22"/>
        </w:rPr>
      </w:pPr>
    </w:p>
    <w:p w14:paraId="48FB47BF"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Gamintojas</w:t>
      </w:r>
    </w:p>
    <w:p w14:paraId="6AFC35C3" w14:textId="77777777" w:rsidR="003646A0" w:rsidRPr="00F93FFA" w:rsidRDefault="003646A0" w:rsidP="009A4400">
      <w:pPr>
        <w:keepNext/>
        <w:widowControl w:val="0"/>
        <w:rPr>
          <w:snapToGrid w:val="0"/>
          <w:color w:val="000000"/>
          <w:sz w:val="22"/>
          <w:szCs w:val="22"/>
        </w:rPr>
      </w:pPr>
      <w:r w:rsidRPr="00F93FFA">
        <w:rPr>
          <w:snapToGrid w:val="0"/>
          <w:color w:val="000000"/>
          <w:sz w:val="22"/>
          <w:szCs w:val="22"/>
        </w:rPr>
        <w:t>Novartis Pharma GmbH</w:t>
      </w:r>
    </w:p>
    <w:p w14:paraId="68A76FB3" w14:textId="77777777" w:rsidR="003646A0" w:rsidRPr="00F93FFA" w:rsidRDefault="003646A0" w:rsidP="009A4400">
      <w:pPr>
        <w:keepNext/>
        <w:widowControl w:val="0"/>
        <w:ind w:left="709" w:hanging="709"/>
        <w:rPr>
          <w:snapToGrid w:val="0"/>
          <w:color w:val="000000"/>
          <w:sz w:val="22"/>
          <w:szCs w:val="22"/>
        </w:rPr>
      </w:pPr>
      <w:r w:rsidRPr="00F93FFA">
        <w:rPr>
          <w:snapToGrid w:val="0"/>
          <w:color w:val="000000"/>
          <w:sz w:val="22"/>
          <w:szCs w:val="22"/>
        </w:rPr>
        <w:t>Roonstrasse 25</w:t>
      </w:r>
    </w:p>
    <w:p w14:paraId="7A751B96" w14:textId="77777777" w:rsidR="003646A0" w:rsidRPr="00F93FFA" w:rsidRDefault="003646A0" w:rsidP="009A4400">
      <w:pPr>
        <w:keepNext/>
        <w:widowControl w:val="0"/>
        <w:ind w:left="709" w:hanging="709"/>
        <w:rPr>
          <w:snapToGrid w:val="0"/>
          <w:color w:val="000000"/>
          <w:sz w:val="22"/>
          <w:szCs w:val="22"/>
        </w:rPr>
      </w:pPr>
      <w:r w:rsidRPr="00F93FFA">
        <w:rPr>
          <w:snapToGrid w:val="0"/>
          <w:color w:val="000000"/>
          <w:sz w:val="22"/>
          <w:szCs w:val="22"/>
        </w:rPr>
        <w:t>D-90429 Nuremberg</w:t>
      </w:r>
    </w:p>
    <w:p w14:paraId="79B04977" w14:textId="77777777" w:rsidR="003646A0" w:rsidRPr="00F93FFA" w:rsidRDefault="003646A0" w:rsidP="00DE16D0">
      <w:pPr>
        <w:widowControl w:val="0"/>
        <w:ind w:left="567" w:hanging="567"/>
        <w:rPr>
          <w:snapToGrid w:val="0"/>
          <w:color w:val="000000"/>
          <w:sz w:val="22"/>
          <w:szCs w:val="22"/>
        </w:rPr>
      </w:pPr>
      <w:r w:rsidRPr="00F93FFA">
        <w:rPr>
          <w:snapToGrid w:val="0"/>
          <w:color w:val="000000"/>
          <w:sz w:val="22"/>
          <w:szCs w:val="22"/>
        </w:rPr>
        <w:t>Vokietija</w:t>
      </w:r>
    </w:p>
    <w:p w14:paraId="7AFF63B8" w14:textId="38FE3E77" w:rsidR="003646A0" w:rsidRDefault="003646A0" w:rsidP="00DE16D0">
      <w:pPr>
        <w:widowControl w:val="0"/>
        <w:rPr>
          <w:color w:val="000000"/>
          <w:sz w:val="22"/>
          <w:szCs w:val="22"/>
        </w:rPr>
      </w:pPr>
    </w:p>
    <w:p w14:paraId="10F8E07E" w14:textId="77777777" w:rsidR="005248F1" w:rsidRPr="005248F1" w:rsidRDefault="005248F1" w:rsidP="005248F1">
      <w:pPr>
        <w:keepNext/>
        <w:widowControl w:val="0"/>
        <w:rPr>
          <w:sz w:val="22"/>
          <w:szCs w:val="22"/>
          <w:shd w:val="pct15" w:color="auto" w:fill="auto"/>
        </w:rPr>
      </w:pPr>
      <w:r w:rsidRPr="005248F1">
        <w:rPr>
          <w:sz w:val="22"/>
          <w:szCs w:val="22"/>
          <w:shd w:val="pct15" w:color="auto" w:fill="auto"/>
        </w:rPr>
        <w:t>Sandoz S.R.L.</w:t>
      </w:r>
    </w:p>
    <w:p w14:paraId="36C8FDDE" w14:textId="77777777" w:rsidR="005248F1" w:rsidRPr="005248F1" w:rsidRDefault="005248F1" w:rsidP="005248F1">
      <w:pPr>
        <w:keepNext/>
        <w:widowControl w:val="0"/>
        <w:rPr>
          <w:sz w:val="22"/>
          <w:szCs w:val="22"/>
          <w:shd w:val="pct15" w:color="auto" w:fill="auto"/>
        </w:rPr>
      </w:pPr>
      <w:r w:rsidRPr="005248F1">
        <w:rPr>
          <w:sz w:val="22"/>
          <w:szCs w:val="22"/>
          <w:shd w:val="pct15" w:color="auto" w:fill="auto"/>
        </w:rPr>
        <w:t>Str. Livezeni nr. 7A</w:t>
      </w:r>
    </w:p>
    <w:p w14:paraId="57BFFB0C" w14:textId="77777777" w:rsidR="005248F1" w:rsidRPr="005248F1" w:rsidRDefault="005248F1" w:rsidP="005248F1">
      <w:pPr>
        <w:keepNext/>
        <w:widowControl w:val="0"/>
        <w:rPr>
          <w:sz w:val="22"/>
          <w:szCs w:val="22"/>
          <w:shd w:val="pct15" w:color="auto" w:fill="auto"/>
        </w:rPr>
      </w:pPr>
      <w:r w:rsidRPr="005248F1">
        <w:rPr>
          <w:sz w:val="22"/>
          <w:szCs w:val="22"/>
          <w:shd w:val="pct15" w:color="auto" w:fill="auto"/>
        </w:rPr>
        <w:t>540472, Targu Mures</w:t>
      </w:r>
    </w:p>
    <w:p w14:paraId="0CAF27F6" w14:textId="3F2D0461" w:rsidR="005248F1" w:rsidRPr="005248F1" w:rsidRDefault="005248F1" w:rsidP="005248F1">
      <w:pPr>
        <w:widowControl w:val="0"/>
        <w:rPr>
          <w:sz w:val="22"/>
          <w:szCs w:val="22"/>
          <w:shd w:val="pct15" w:color="auto" w:fill="auto"/>
        </w:rPr>
      </w:pPr>
      <w:r w:rsidRPr="005248F1">
        <w:rPr>
          <w:sz w:val="22"/>
          <w:szCs w:val="22"/>
          <w:shd w:val="pct15" w:color="auto" w:fill="auto"/>
        </w:rPr>
        <w:t>Rumunija</w:t>
      </w:r>
    </w:p>
    <w:p w14:paraId="3D0DC099" w14:textId="77777777" w:rsidR="005248F1" w:rsidRPr="00F93FFA" w:rsidRDefault="005248F1" w:rsidP="005248F1">
      <w:pPr>
        <w:widowControl w:val="0"/>
        <w:rPr>
          <w:color w:val="000000"/>
          <w:sz w:val="22"/>
          <w:szCs w:val="22"/>
        </w:rPr>
      </w:pPr>
    </w:p>
    <w:p w14:paraId="32A19609" w14:textId="77777777" w:rsidR="003646A0" w:rsidRPr="00F93FFA" w:rsidRDefault="003646A0" w:rsidP="009A4400">
      <w:pPr>
        <w:keepNext/>
        <w:widowControl w:val="0"/>
        <w:rPr>
          <w:noProof/>
          <w:sz w:val="22"/>
          <w:szCs w:val="22"/>
        </w:rPr>
      </w:pPr>
      <w:r w:rsidRPr="00F93FFA">
        <w:rPr>
          <w:noProof/>
          <w:sz w:val="22"/>
          <w:szCs w:val="22"/>
        </w:rPr>
        <w:t xml:space="preserve">Jeigu apie šį vaistą norite sužinoti daugiau, kreipkitės į vietinį </w:t>
      </w:r>
      <w:r w:rsidR="00510466" w:rsidRPr="00F93FFA">
        <w:rPr>
          <w:noProof/>
          <w:sz w:val="22"/>
          <w:szCs w:val="22"/>
          <w:lang w:bidi="lt-LT"/>
        </w:rPr>
        <w:t>registruotojo</w:t>
      </w:r>
      <w:r w:rsidRPr="00F93FFA">
        <w:rPr>
          <w:noProof/>
          <w:sz w:val="22"/>
          <w:szCs w:val="22"/>
        </w:rPr>
        <w:t xml:space="preserve"> atstovą.</w:t>
      </w:r>
    </w:p>
    <w:p w14:paraId="7C05AB69" w14:textId="77777777" w:rsidR="003646A0" w:rsidRPr="00F93FFA" w:rsidRDefault="003646A0" w:rsidP="009A4400">
      <w:pPr>
        <w:keepNext/>
        <w:widowControl w:val="0"/>
        <w:ind w:right="-449"/>
        <w:rPr>
          <w:color w:val="000000"/>
          <w:sz w:val="22"/>
          <w:szCs w:val="22"/>
        </w:rPr>
      </w:pPr>
    </w:p>
    <w:tbl>
      <w:tblPr>
        <w:tblW w:w="9300" w:type="dxa"/>
        <w:tblLayout w:type="fixed"/>
        <w:tblLook w:val="0000" w:firstRow="0" w:lastRow="0" w:firstColumn="0" w:lastColumn="0" w:noHBand="0" w:noVBand="0"/>
      </w:tblPr>
      <w:tblGrid>
        <w:gridCol w:w="4650"/>
        <w:gridCol w:w="4650"/>
      </w:tblGrid>
      <w:tr w:rsidR="003646A0" w:rsidRPr="00F93FFA" w14:paraId="013F11C1" w14:textId="77777777" w:rsidTr="008D67C4">
        <w:trPr>
          <w:cantSplit/>
        </w:trPr>
        <w:tc>
          <w:tcPr>
            <w:tcW w:w="4650" w:type="dxa"/>
          </w:tcPr>
          <w:p w14:paraId="008DDAAD"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België/Belgique/Belgien</w:t>
            </w:r>
          </w:p>
          <w:p w14:paraId="5D0AD851"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N.V.</w:t>
            </w:r>
          </w:p>
          <w:p w14:paraId="0419817C" w14:textId="77777777" w:rsidR="003646A0" w:rsidRPr="00F93FFA" w:rsidRDefault="003646A0" w:rsidP="00DE16D0">
            <w:pPr>
              <w:widowControl w:val="0"/>
              <w:rPr>
                <w:color w:val="000000"/>
                <w:sz w:val="22"/>
                <w:szCs w:val="22"/>
              </w:rPr>
            </w:pPr>
            <w:r w:rsidRPr="00F93FFA">
              <w:rPr>
                <w:color w:val="000000"/>
                <w:sz w:val="22"/>
                <w:szCs w:val="22"/>
              </w:rPr>
              <w:t>Tél/Tel: +32 2 246 16 11</w:t>
            </w:r>
          </w:p>
          <w:p w14:paraId="618919C2" w14:textId="77777777" w:rsidR="003646A0" w:rsidRPr="00F93FFA" w:rsidRDefault="003646A0" w:rsidP="00DE16D0">
            <w:pPr>
              <w:widowControl w:val="0"/>
              <w:rPr>
                <w:b/>
                <w:color w:val="000000"/>
                <w:sz w:val="22"/>
                <w:szCs w:val="22"/>
              </w:rPr>
            </w:pPr>
          </w:p>
        </w:tc>
        <w:tc>
          <w:tcPr>
            <w:tcW w:w="4650" w:type="dxa"/>
          </w:tcPr>
          <w:p w14:paraId="63AE0BA7" w14:textId="77777777" w:rsidR="003646A0" w:rsidRPr="00F93FFA" w:rsidRDefault="003646A0" w:rsidP="00DE16D0">
            <w:pPr>
              <w:widowControl w:val="0"/>
              <w:rPr>
                <w:b/>
                <w:color w:val="000000"/>
                <w:sz w:val="22"/>
                <w:szCs w:val="22"/>
                <w:lang w:val="es-ES"/>
              </w:rPr>
            </w:pPr>
            <w:r w:rsidRPr="00F93FFA">
              <w:rPr>
                <w:b/>
                <w:color w:val="000000"/>
                <w:sz w:val="22"/>
                <w:szCs w:val="22"/>
                <w:lang w:val="es-ES"/>
              </w:rPr>
              <w:t>Lietuva</w:t>
            </w:r>
          </w:p>
          <w:p w14:paraId="27020041" w14:textId="24DE4E3F" w:rsidR="003646A0" w:rsidRPr="00F93FFA" w:rsidRDefault="005F3324" w:rsidP="00DE16D0">
            <w:pPr>
              <w:widowControl w:val="0"/>
              <w:rPr>
                <w:color w:val="000000"/>
                <w:sz w:val="22"/>
                <w:szCs w:val="22"/>
                <w:lang w:val="es-ES"/>
              </w:rPr>
            </w:pPr>
            <w:r w:rsidRPr="00F93FFA">
              <w:rPr>
                <w:color w:val="000000"/>
                <w:sz w:val="22"/>
                <w:szCs w:val="22"/>
                <w:lang w:val="es-ES"/>
              </w:rPr>
              <w:t>SIA Novartis Baltics Lietuvos filialas</w:t>
            </w:r>
          </w:p>
          <w:p w14:paraId="12D07763" w14:textId="77777777" w:rsidR="003646A0" w:rsidRPr="00F93FFA" w:rsidRDefault="003646A0" w:rsidP="00DE16D0">
            <w:pPr>
              <w:widowControl w:val="0"/>
              <w:rPr>
                <w:color w:val="000000"/>
                <w:sz w:val="22"/>
                <w:szCs w:val="22"/>
              </w:rPr>
            </w:pPr>
            <w:r w:rsidRPr="00F93FFA">
              <w:rPr>
                <w:color w:val="000000"/>
                <w:sz w:val="22"/>
                <w:szCs w:val="22"/>
              </w:rPr>
              <w:t>Tel: +370 5 269 16 50</w:t>
            </w:r>
          </w:p>
          <w:p w14:paraId="6280C62A" w14:textId="77777777" w:rsidR="003646A0" w:rsidRPr="00F93FFA" w:rsidRDefault="003646A0" w:rsidP="00DE16D0">
            <w:pPr>
              <w:widowControl w:val="0"/>
              <w:rPr>
                <w:color w:val="000000"/>
                <w:sz w:val="22"/>
                <w:szCs w:val="22"/>
                <w:lang w:val="es-ES"/>
              </w:rPr>
            </w:pPr>
          </w:p>
        </w:tc>
      </w:tr>
      <w:tr w:rsidR="003646A0" w:rsidRPr="00F93FFA" w14:paraId="73307743" w14:textId="77777777" w:rsidTr="008D67C4">
        <w:trPr>
          <w:cantSplit/>
        </w:trPr>
        <w:tc>
          <w:tcPr>
            <w:tcW w:w="4650" w:type="dxa"/>
          </w:tcPr>
          <w:p w14:paraId="6B98BA14" w14:textId="77777777" w:rsidR="003646A0" w:rsidRPr="00F93FFA" w:rsidRDefault="003646A0" w:rsidP="00DE16D0">
            <w:pPr>
              <w:widowControl w:val="0"/>
              <w:rPr>
                <w:b/>
                <w:noProof/>
                <w:color w:val="000000"/>
                <w:sz w:val="22"/>
                <w:szCs w:val="22"/>
                <w:lang w:val="es-ES"/>
              </w:rPr>
            </w:pPr>
            <w:r w:rsidRPr="00F93FFA">
              <w:rPr>
                <w:b/>
                <w:noProof/>
                <w:color w:val="000000"/>
                <w:sz w:val="22"/>
                <w:szCs w:val="22"/>
              </w:rPr>
              <w:t>България</w:t>
            </w:r>
          </w:p>
          <w:p w14:paraId="5D278E78" w14:textId="77777777" w:rsidR="003646A0" w:rsidRPr="00F93FFA" w:rsidRDefault="006703D1" w:rsidP="00DE16D0">
            <w:pPr>
              <w:widowControl w:val="0"/>
              <w:rPr>
                <w:noProof/>
                <w:color w:val="000000"/>
                <w:sz w:val="22"/>
                <w:szCs w:val="22"/>
                <w:lang w:val="es-ES"/>
              </w:rPr>
            </w:pPr>
            <w:r w:rsidRPr="00F93FFA">
              <w:rPr>
                <w:noProof/>
                <w:color w:val="000000"/>
                <w:sz w:val="22"/>
                <w:szCs w:val="22"/>
                <w:lang w:val="es-ES"/>
              </w:rPr>
              <w:t>Novartis Bulgaria EOOD</w:t>
            </w:r>
          </w:p>
          <w:p w14:paraId="51918B0D" w14:textId="77777777" w:rsidR="003646A0" w:rsidRPr="00F93FFA" w:rsidRDefault="003646A0" w:rsidP="00DE16D0">
            <w:pPr>
              <w:widowControl w:val="0"/>
              <w:rPr>
                <w:noProof/>
                <w:color w:val="000000"/>
                <w:sz w:val="22"/>
                <w:szCs w:val="22"/>
              </w:rPr>
            </w:pPr>
            <w:r w:rsidRPr="00F93FFA">
              <w:rPr>
                <w:noProof/>
                <w:color w:val="000000"/>
                <w:sz w:val="22"/>
                <w:szCs w:val="22"/>
              </w:rPr>
              <w:t>Тел.: +359 2 489 98 28</w:t>
            </w:r>
          </w:p>
          <w:p w14:paraId="57905C6B" w14:textId="77777777" w:rsidR="003646A0" w:rsidRPr="00F93FFA" w:rsidRDefault="003646A0" w:rsidP="00DE16D0">
            <w:pPr>
              <w:widowControl w:val="0"/>
              <w:rPr>
                <w:b/>
                <w:color w:val="000000"/>
                <w:sz w:val="22"/>
                <w:szCs w:val="22"/>
                <w:lang w:val="pt-BR"/>
              </w:rPr>
            </w:pPr>
          </w:p>
        </w:tc>
        <w:tc>
          <w:tcPr>
            <w:tcW w:w="4650" w:type="dxa"/>
          </w:tcPr>
          <w:p w14:paraId="583667E3"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Luxembourg/Luxemburg</w:t>
            </w:r>
          </w:p>
          <w:p w14:paraId="3A3C4256"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N.V.</w:t>
            </w:r>
          </w:p>
          <w:p w14:paraId="34C9B309" w14:textId="77777777" w:rsidR="003646A0" w:rsidRPr="00F93FFA" w:rsidRDefault="003646A0" w:rsidP="00DE16D0">
            <w:pPr>
              <w:widowControl w:val="0"/>
              <w:rPr>
                <w:color w:val="000000"/>
                <w:sz w:val="22"/>
                <w:szCs w:val="22"/>
                <w:lang w:val="de-CH"/>
              </w:rPr>
            </w:pPr>
            <w:r w:rsidRPr="00F93FFA">
              <w:rPr>
                <w:color w:val="000000"/>
                <w:sz w:val="22"/>
                <w:szCs w:val="22"/>
                <w:lang w:val="de-CH"/>
              </w:rPr>
              <w:t>Tél/Tel: +32 2 246 16 11</w:t>
            </w:r>
          </w:p>
          <w:p w14:paraId="38E63949" w14:textId="77777777" w:rsidR="003646A0" w:rsidRPr="00F93FFA" w:rsidRDefault="003646A0" w:rsidP="00DE16D0">
            <w:pPr>
              <w:widowControl w:val="0"/>
              <w:rPr>
                <w:color w:val="000000"/>
                <w:sz w:val="22"/>
                <w:szCs w:val="22"/>
                <w:lang w:val="de-CH"/>
              </w:rPr>
            </w:pPr>
          </w:p>
        </w:tc>
      </w:tr>
      <w:tr w:rsidR="003646A0" w:rsidRPr="00F93FFA" w14:paraId="64F50B93" w14:textId="77777777" w:rsidTr="008D67C4">
        <w:trPr>
          <w:cantSplit/>
        </w:trPr>
        <w:tc>
          <w:tcPr>
            <w:tcW w:w="4650" w:type="dxa"/>
          </w:tcPr>
          <w:p w14:paraId="255C4C10"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Česká republika</w:t>
            </w:r>
          </w:p>
          <w:p w14:paraId="60DECC11"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s.r.o.</w:t>
            </w:r>
          </w:p>
          <w:p w14:paraId="5E47823D" w14:textId="77777777" w:rsidR="003646A0" w:rsidRPr="00F93FFA" w:rsidRDefault="003646A0" w:rsidP="00DE16D0">
            <w:pPr>
              <w:widowControl w:val="0"/>
              <w:rPr>
                <w:color w:val="000000"/>
                <w:sz w:val="22"/>
                <w:szCs w:val="22"/>
              </w:rPr>
            </w:pPr>
            <w:r w:rsidRPr="00F93FFA">
              <w:rPr>
                <w:color w:val="000000"/>
                <w:sz w:val="22"/>
                <w:szCs w:val="22"/>
              </w:rPr>
              <w:t>Tel: +420 225 775 111</w:t>
            </w:r>
          </w:p>
          <w:p w14:paraId="785C44BC" w14:textId="77777777" w:rsidR="003646A0" w:rsidRPr="00F93FFA" w:rsidRDefault="003646A0" w:rsidP="00DE16D0">
            <w:pPr>
              <w:widowControl w:val="0"/>
              <w:rPr>
                <w:b/>
                <w:color w:val="000000"/>
                <w:sz w:val="22"/>
                <w:szCs w:val="22"/>
              </w:rPr>
            </w:pPr>
          </w:p>
        </w:tc>
        <w:tc>
          <w:tcPr>
            <w:tcW w:w="4650" w:type="dxa"/>
          </w:tcPr>
          <w:p w14:paraId="06C5D3B1" w14:textId="77777777" w:rsidR="003646A0" w:rsidRPr="00F53012" w:rsidRDefault="003646A0" w:rsidP="00DE16D0">
            <w:pPr>
              <w:widowControl w:val="0"/>
              <w:rPr>
                <w:b/>
                <w:color w:val="000000"/>
                <w:sz w:val="22"/>
                <w:szCs w:val="22"/>
              </w:rPr>
            </w:pPr>
            <w:r w:rsidRPr="00F53012">
              <w:rPr>
                <w:b/>
                <w:color w:val="000000"/>
                <w:sz w:val="22"/>
                <w:szCs w:val="22"/>
              </w:rPr>
              <w:t>Magyarország</w:t>
            </w:r>
          </w:p>
          <w:p w14:paraId="6E56D649" w14:textId="77777777" w:rsidR="003646A0" w:rsidRPr="00F53012" w:rsidRDefault="003646A0" w:rsidP="00DE16D0">
            <w:pPr>
              <w:widowControl w:val="0"/>
              <w:rPr>
                <w:color w:val="000000"/>
                <w:sz w:val="22"/>
                <w:szCs w:val="22"/>
              </w:rPr>
            </w:pPr>
            <w:r w:rsidRPr="00F53012">
              <w:rPr>
                <w:color w:val="000000"/>
                <w:sz w:val="22"/>
                <w:szCs w:val="22"/>
              </w:rPr>
              <w:t>Novartis Hungária Kft.</w:t>
            </w:r>
          </w:p>
          <w:p w14:paraId="14679613" w14:textId="77777777" w:rsidR="003646A0" w:rsidRPr="00F53012" w:rsidRDefault="003646A0" w:rsidP="00DE16D0">
            <w:pPr>
              <w:widowControl w:val="0"/>
              <w:rPr>
                <w:color w:val="000000"/>
                <w:sz w:val="22"/>
                <w:szCs w:val="22"/>
              </w:rPr>
            </w:pPr>
            <w:r w:rsidRPr="00F53012">
              <w:rPr>
                <w:color w:val="000000"/>
                <w:sz w:val="22"/>
                <w:szCs w:val="22"/>
              </w:rPr>
              <w:t>Tel.: +36 1 457 65 00</w:t>
            </w:r>
          </w:p>
        </w:tc>
      </w:tr>
      <w:tr w:rsidR="003646A0" w:rsidRPr="00F93FFA" w14:paraId="0D726012" w14:textId="77777777" w:rsidTr="008D67C4">
        <w:trPr>
          <w:cantSplit/>
        </w:trPr>
        <w:tc>
          <w:tcPr>
            <w:tcW w:w="4650" w:type="dxa"/>
          </w:tcPr>
          <w:p w14:paraId="27C9FAD8" w14:textId="77777777" w:rsidR="003646A0" w:rsidRPr="00F93FFA" w:rsidRDefault="003646A0" w:rsidP="00DE16D0">
            <w:pPr>
              <w:widowControl w:val="0"/>
              <w:rPr>
                <w:b/>
                <w:color w:val="000000"/>
                <w:sz w:val="22"/>
                <w:szCs w:val="22"/>
                <w:lang w:val="en-US"/>
              </w:rPr>
            </w:pPr>
            <w:r w:rsidRPr="00F93FFA">
              <w:rPr>
                <w:b/>
                <w:color w:val="000000"/>
                <w:sz w:val="22"/>
                <w:szCs w:val="22"/>
                <w:lang w:val="en-US"/>
              </w:rPr>
              <w:t>Danmark</w:t>
            </w:r>
          </w:p>
          <w:p w14:paraId="0AA8EE4A" w14:textId="77777777" w:rsidR="003646A0" w:rsidRPr="00F93FFA" w:rsidRDefault="003646A0" w:rsidP="00DE16D0">
            <w:pPr>
              <w:widowControl w:val="0"/>
              <w:rPr>
                <w:color w:val="000000"/>
                <w:sz w:val="22"/>
                <w:szCs w:val="22"/>
                <w:lang w:val="en-US"/>
              </w:rPr>
            </w:pPr>
            <w:r w:rsidRPr="00F93FFA">
              <w:rPr>
                <w:color w:val="000000"/>
                <w:sz w:val="22"/>
                <w:szCs w:val="22"/>
                <w:lang w:val="en-US"/>
              </w:rPr>
              <w:t>Novartis Healthcare A/S</w:t>
            </w:r>
          </w:p>
          <w:p w14:paraId="0DCA3ABE" w14:textId="77777777" w:rsidR="003646A0" w:rsidRPr="00F93FFA" w:rsidRDefault="003646A0" w:rsidP="00DE16D0">
            <w:pPr>
              <w:widowControl w:val="0"/>
              <w:rPr>
                <w:color w:val="000000"/>
                <w:sz w:val="22"/>
                <w:szCs w:val="22"/>
                <w:lang w:val="en-US"/>
              </w:rPr>
            </w:pPr>
            <w:r w:rsidRPr="00F93FFA">
              <w:rPr>
                <w:color w:val="000000"/>
                <w:sz w:val="22"/>
                <w:szCs w:val="22"/>
                <w:lang w:val="en-US"/>
              </w:rPr>
              <w:t>Tlf: +45 39 16 84 00</w:t>
            </w:r>
          </w:p>
          <w:p w14:paraId="223C44CC" w14:textId="77777777" w:rsidR="003646A0" w:rsidRPr="00F93FFA" w:rsidRDefault="003646A0" w:rsidP="00DE16D0">
            <w:pPr>
              <w:widowControl w:val="0"/>
              <w:rPr>
                <w:b/>
                <w:color w:val="000000"/>
                <w:sz w:val="22"/>
                <w:szCs w:val="22"/>
                <w:lang w:val="en-US"/>
              </w:rPr>
            </w:pPr>
          </w:p>
        </w:tc>
        <w:tc>
          <w:tcPr>
            <w:tcW w:w="4650" w:type="dxa"/>
          </w:tcPr>
          <w:p w14:paraId="7D27FB4E"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Malta</w:t>
            </w:r>
          </w:p>
          <w:p w14:paraId="01E0DE32"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Pharma Services Inc.</w:t>
            </w:r>
          </w:p>
          <w:p w14:paraId="2AB8C536" w14:textId="77777777" w:rsidR="003646A0" w:rsidRPr="00F93FFA" w:rsidRDefault="003646A0" w:rsidP="00DE16D0">
            <w:pPr>
              <w:widowControl w:val="0"/>
              <w:rPr>
                <w:color w:val="000000"/>
                <w:sz w:val="22"/>
                <w:szCs w:val="22"/>
              </w:rPr>
            </w:pPr>
            <w:r w:rsidRPr="00F93FFA">
              <w:rPr>
                <w:color w:val="000000"/>
                <w:sz w:val="22"/>
                <w:szCs w:val="22"/>
              </w:rPr>
              <w:t>Tel: +356 2122 2872</w:t>
            </w:r>
          </w:p>
        </w:tc>
      </w:tr>
      <w:tr w:rsidR="003646A0" w:rsidRPr="00F93FFA" w14:paraId="2471251B" w14:textId="77777777" w:rsidTr="008D67C4">
        <w:trPr>
          <w:cantSplit/>
        </w:trPr>
        <w:tc>
          <w:tcPr>
            <w:tcW w:w="4650" w:type="dxa"/>
          </w:tcPr>
          <w:p w14:paraId="77DC4689"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Deutschland</w:t>
            </w:r>
          </w:p>
          <w:p w14:paraId="588AF838"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GmbH</w:t>
            </w:r>
          </w:p>
          <w:p w14:paraId="66615F52" w14:textId="77777777" w:rsidR="003646A0" w:rsidRPr="00F93FFA" w:rsidRDefault="003646A0" w:rsidP="00DE16D0">
            <w:pPr>
              <w:widowControl w:val="0"/>
              <w:rPr>
                <w:color w:val="000000"/>
                <w:sz w:val="22"/>
                <w:szCs w:val="22"/>
                <w:lang w:val="de-CH"/>
              </w:rPr>
            </w:pPr>
            <w:r w:rsidRPr="00F93FFA">
              <w:rPr>
                <w:color w:val="000000"/>
                <w:sz w:val="22"/>
                <w:szCs w:val="22"/>
                <w:lang w:val="de-CH"/>
              </w:rPr>
              <w:t>Tel: +49 911 273 0</w:t>
            </w:r>
          </w:p>
          <w:p w14:paraId="4092CAF8" w14:textId="77777777" w:rsidR="003646A0" w:rsidRPr="00F93FFA" w:rsidRDefault="003646A0" w:rsidP="00DE16D0">
            <w:pPr>
              <w:widowControl w:val="0"/>
              <w:rPr>
                <w:b/>
                <w:color w:val="000000"/>
                <w:sz w:val="22"/>
                <w:szCs w:val="22"/>
                <w:lang w:val="de-CH"/>
              </w:rPr>
            </w:pPr>
          </w:p>
        </w:tc>
        <w:tc>
          <w:tcPr>
            <w:tcW w:w="4650" w:type="dxa"/>
          </w:tcPr>
          <w:p w14:paraId="5A816170"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Nederland</w:t>
            </w:r>
          </w:p>
          <w:p w14:paraId="3083DB42"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B.V.</w:t>
            </w:r>
          </w:p>
          <w:p w14:paraId="4D7F3716" w14:textId="7F6C9E06" w:rsidR="003646A0" w:rsidRPr="00F93FFA" w:rsidRDefault="003646A0" w:rsidP="00DE16D0">
            <w:pPr>
              <w:widowControl w:val="0"/>
              <w:rPr>
                <w:color w:val="000000"/>
                <w:sz w:val="22"/>
                <w:szCs w:val="22"/>
              </w:rPr>
            </w:pPr>
            <w:r w:rsidRPr="00F93FFA">
              <w:rPr>
                <w:color w:val="000000"/>
                <w:sz w:val="22"/>
                <w:szCs w:val="22"/>
              </w:rPr>
              <w:t xml:space="preserve">Tel: +31 </w:t>
            </w:r>
            <w:r w:rsidR="00481ECF" w:rsidRPr="00481ECF">
              <w:rPr>
                <w:color w:val="000000"/>
                <w:sz w:val="22"/>
                <w:szCs w:val="22"/>
                <w:lang w:val="de-CH"/>
              </w:rPr>
              <w:t>88 04 52</w:t>
            </w:r>
            <w:r w:rsidRPr="00F93FFA">
              <w:rPr>
                <w:color w:val="000000"/>
                <w:sz w:val="22"/>
                <w:szCs w:val="22"/>
              </w:rPr>
              <w:t xml:space="preserve"> </w:t>
            </w:r>
            <w:r w:rsidR="002A6D9B" w:rsidRPr="00F93FFA">
              <w:rPr>
                <w:color w:val="000000"/>
                <w:sz w:val="22"/>
                <w:szCs w:val="22"/>
              </w:rPr>
              <w:t>555</w:t>
            </w:r>
          </w:p>
        </w:tc>
      </w:tr>
      <w:tr w:rsidR="003646A0" w:rsidRPr="00F93FFA" w14:paraId="6EA04CDB" w14:textId="77777777" w:rsidTr="008D67C4">
        <w:trPr>
          <w:cantSplit/>
        </w:trPr>
        <w:tc>
          <w:tcPr>
            <w:tcW w:w="4650" w:type="dxa"/>
          </w:tcPr>
          <w:p w14:paraId="23A935AE" w14:textId="77777777" w:rsidR="003646A0" w:rsidRPr="00F93FFA" w:rsidRDefault="003646A0" w:rsidP="00DE16D0">
            <w:pPr>
              <w:widowControl w:val="0"/>
              <w:rPr>
                <w:b/>
                <w:color w:val="000000"/>
                <w:sz w:val="22"/>
                <w:szCs w:val="22"/>
                <w:lang w:val="it-IT"/>
              </w:rPr>
            </w:pPr>
            <w:r w:rsidRPr="00F93FFA">
              <w:rPr>
                <w:b/>
                <w:color w:val="000000"/>
                <w:sz w:val="22"/>
                <w:szCs w:val="22"/>
                <w:lang w:val="it-IT"/>
              </w:rPr>
              <w:lastRenderedPageBreak/>
              <w:t>Eesti</w:t>
            </w:r>
          </w:p>
          <w:p w14:paraId="2D7D28E2" w14:textId="77777777" w:rsidR="003646A0" w:rsidRPr="00F93FFA" w:rsidRDefault="005F3324" w:rsidP="00DE16D0">
            <w:pPr>
              <w:widowControl w:val="0"/>
              <w:rPr>
                <w:color w:val="000000"/>
                <w:sz w:val="22"/>
                <w:szCs w:val="22"/>
                <w:lang w:val="it-IT"/>
              </w:rPr>
            </w:pPr>
            <w:r w:rsidRPr="00F93FFA">
              <w:rPr>
                <w:color w:val="000000"/>
                <w:sz w:val="22"/>
                <w:szCs w:val="22"/>
                <w:lang w:val="it-IT"/>
              </w:rPr>
              <w:t>SIA Novartis Baltics Eesti filiaal</w:t>
            </w:r>
          </w:p>
          <w:p w14:paraId="35962352" w14:textId="77777777" w:rsidR="003646A0" w:rsidRPr="00F93FFA" w:rsidRDefault="003646A0" w:rsidP="00DE16D0">
            <w:pPr>
              <w:widowControl w:val="0"/>
              <w:rPr>
                <w:color w:val="000000"/>
                <w:sz w:val="22"/>
                <w:szCs w:val="22"/>
              </w:rPr>
            </w:pPr>
            <w:r w:rsidRPr="00F93FFA">
              <w:rPr>
                <w:color w:val="000000"/>
                <w:sz w:val="22"/>
                <w:szCs w:val="22"/>
              </w:rPr>
              <w:t>Tel: +372 66 30 810</w:t>
            </w:r>
          </w:p>
          <w:p w14:paraId="5BD5C3A0" w14:textId="77777777" w:rsidR="003646A0" w:rsidRPr="00F93FFA" w:rsidRDefault="003646A0" w:rsidP="00DE16D0">
            <w:pPr>
              <w:widowControl w:val="0"/>
              <w:rPr>
                <w:b/>
                <w:color w:val="000000"/>
                <w:sz w:val="22"/>
                <w:szCs w:val="22"/>
              </w:rPr>
            </w:pPr>
          </w:p>
        </w:tc>
        <w:tc>
          <w:tcPr>
            <w:tcW w:w="4650" w:type="dxa"/>
          </w:tcPr>
          <w:p w14:paraId="32BEABDD"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Norge</w:t>
            </w:r>
          </w:p>
          <w:p w14:paraId="57D415D9"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Norge AS</w:t>
            </w:r>
          </w:p>
          <w:p w14:paraId="7E571A7E" w14:textId="77777777" w:rsidR="003646A0" w:rsidRPr="00F93FFA" w:rsidRDefault="003646A0" w:rsidP="00DE16D0">
            <w:pPr>
              <w:widowControl w:val="0"/>
              <w:rPr>
                <w:color w:val="000000"/>
                <w:sz w:val="22"/>
                <w:szCs w:val="22"/>
                <w:lang w:val="pt-BR"/>
              </w:rPr>
            </w:pPr>
            <w:r w:rsidRPr="00F93FFA">
              <w:rPr>
                <w:color w:val="000000"/>
                <w:sz w:val="22"/>
                <w:szCs w:val="22"/>
                <w:lang w:val="pt-BR"/>
              </w:rPr>
              <w:t>Tlf: +47 23 05 20 00</w:t>
            </w:r>
          </w:p>
        </w:tc>
      </w:tr>
      <w:tr w:rsidR="003646A0" w:rsidRPr="00F93FFA" w14:paraId="338C4E4A" w14:textId="77777777" w:rsidTr="008D67C4">
        <w:trPr>
          <w:cantSplit/>
        </w:trPr>
        <w:tc>
          <w:tcPr>
            <w:tcW w:w="4650" w:type="dxa"/>
          </w:tcPr>
          <w:p w14:paraId="16B15BC8" w14:textId="77777777" w:rsidR="003646A0" w:rsidRPr="00F93FFA" w:rsidRDefault="003646A0" w:rsidP="00DE16D0">
            <w:pPr>
              <w:widowControl w:val="0"/>
              <w:rPr>
                <w:b/>
                <w:color w:val="000000"/>
                <w:sz w:val="22"/>
                <w:szCs w:val="22"/>
                <w:lang w:val="pt-BR"/>
              </w:rPr>
            </w:pPr>
            <w:r w:rsidRPr="00F93FFA">
              <w:rPr>
                <w:b/>
                <w:color w:val="000000"/>
                <w:sz w:val="22"/>
                <w:szCs w:val="22"/>
              </w:rPr>
              <w:t>Ελλάδα</w:t>
            </w:r>
          </w:p>
          <w:p w14:paraId="2D1AC2A0"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(Hellas) A.E.B.E.</w:t>
            </w:r>
          </w:p>
          <w:p w14:paraId="76A94C16" w14:textId="77777777" w:rsidR="003646A0" w:rsidRPr="00F93FFA" w:rsidRDefault="003646A0" w:rsidP="00DE16D0">
            <w:pPr>
              <w:widowControl w:val="0"/>
              <w:rPr>
                <w:color w:val="000000"/>
                <w:sz w:val="22"/>
                <w:szCs w:val="22"/>
                <w:lang w:val="pt-BR"/>
              </w:rPr>
            </w:pPr>
            <w:r w:rsidRPr="00F93FFA">
              <w:rPr>
                <w:color w:val="000000"/>
                <w:sz w:val="22"/>
                <w:szCs w:val="22"/>
              </w:rPr>
              <w:t>Τηλ</w:t>
            </w:r>
            <w:r w:rsidRPr="00F93FFA">
              <w:rPr>
                <w:color w:val="000000"/>
                <w:sz w:val="22"/>
                <w:szCs w:val="22"/>
                <w:lang w:val="pt-BR"/>
              </w:rPr>
              <w:t>: +30 210 281 17 12</w:t>
            </w:r>
          </w:p>
          <w:p w14:paraId="57D8F1A2" w14:textId="77777777" w:rsidR="003646A0" w:rsidRPr="00F93FFA" w:rsidRDefault="003646A0" w:rsidP="00DE16D0">
            <w:pPr>
              <w:widowControl w:val="0"/>
              <w:rPr>
                <w:b/>
                <w:color w:val="000000"/>
                <w:sz w:val="22"/>
                <w:szCs w:val="22"/>
                <w:lang w:val="pt-BR"/>
              </w:rPr>
            </w:pPr>
          </w:p>
        </w:tc>
        <w:tc>
          <w:tcPr>
            <w:tcW w:w="4650" w:type="dxa"/>
          </w:tcPr>
          <w:p w14:paraId="38BAC79E"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Österreich</w:t>
            </w:r>
          </w:p>
          <w:p w14:paraId="7088C439"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GmbH</w:t>
            </w:r>
          </w:p>
          <w:p w14:paraId="49DCB804" w14:textId="77777777" w:rsidR="003646A0" w:rsidRPr="00F93FFA" w:rsidRDefault="003646A0" w:rsidP="00DE16D0">
            <w:pPr>
              <w:widowControl w:val="0"/>
              <w:rPr>
                <w:color w:val="000000"/>
                <w:sz w:val="22"/>
                <w:szCs w:val="22"/>
                <w:lang w:val="de-CH"/>
              </w:rPr>
            </w:pPr>
            <w:r w:rsidRPr="00F93FFA">
              <w:rPr>
                <w:color w:val="000000"/>
                <w:sz w:val="22"/>
                <w:szCs w:val="22"/>
                <w:lang w:val="de-CH"/>
              </w:rPr>
              <w:t>Tel: +43 1 86 6570</w:t>
            </w:r>
          </w:p>
        </w:tc>
      </w:tr>
      <w:tr w:rsidR="003646A0" w:rsidRPr="00F93FFA" w14:paraId="49644E81" w14:textId="77777777" w:rsidTr="008D67C4">
        <w:trPr>
          <w:cantSplit/>
        </w:trPr>
        <w:tc>
          <w:tcPr>
            <w:tcW w:w="4650" w:type="dxa"/>
          </w:tcPr>
          <w:p w14:paraId="28A448BF" w14:textId="77777777" w:rsidR="003646A0" w:rsidRPr="00F53012" w:rsidRDefault="003646A0" w:rsidP="00DE16D0">
            <w:pPr>
              <w:widowControl w:val="0"/>
              <w:rPr>
                <w:b/>
                <w:color w:val="000000"/>
                <w:sz w:val="22"/>
                <w:szCs w:val="22"/>
                <w:lang w:val="es-ES_tradnl"/>
              </w:rPr>
            </w:pPr>
            <w:r w:rsidRPr="00F53012">
              <w:rPr>
                <w:b/>
                <w:color w:val="000000"/>
                <w:sz w:val="22"/>
                <w:szCs w:val="22"/>
                <w:lang w:val="es-ES_tradnl"/>
              </w:rPr>
              <w:t>España</w:t>
            </w:r>
          </w:p>
          <w:p w14:paraId="41879563" w14:textId="77777777" w:rsidR="003646A0" w:rsidRPr="00F53012" w:rsidRDefault="003646A0" w:rsidP="00DE16D0">
            <w:pPr>
              <w:widowControl w:val="0"/>
              <w:rPr>
                <w:color w:val="000000"/>
                <w:sz w:val="22"/>
                <w:szCs w:val="22"/>
                <w:lang w:val="es-ES_tradnl"/>
              </w:rPr>
            </w:pPr>
            <w:r w:rsidRPr="00F53012">
              <w:rPr>
                <w:color w:val="000000"/>
                <w:sz w:val="22"/>
                <w:szCs w:val="22"/>
                <w:lang w:val="es-ES_tradnl"/>
              </w:rPr>
              <w:t>Novartis Farmacéutica, S.A.</w:t>
            </w:r>
          </w:p>
          <w:p w14:paraId="097AD42E" w14:textId="77777777" w:rsidR="003646A0" w:rsidRPr="00F93FFA" w:rsidRDefault="003646A0" w:rsidP="00DE16D0">
            <w:pPr>
              <w:widowControl w:val="0"/>
              <w:rPr>
                <w:color w:val="000000"/>
                <w:sz w:val="22"/>
                <w:szCs w:val="22"/>
              </w:rPr>
            </w:pPr>
            <w:r w:rsidRPr="00F93FFA">
              <w:rPr>
                <w:color w:val="000000"/>
                <w:sz w:val="22"/>
                <w:szCs w:val="22"/>
              </w:rPr>
              <w:t>Tel: +34 93 306 42 00</w:t>
            </w:r>
          </w:p>
          <w:p w14:paraId="482A9AB0" w14:textId="77777777" w:rsidR="003646A0" w:rsidRPr="00F93FFA" w:rsidRDefault="003646A0" w:rsidP="00DE16D0">
            <w:pPr>
              <w:widowControl w:val="0"/>
              <w:rPr>
                <w:b/>
                <w:color w:val="000000"/>
                <w:sz w:val="22"/>
                <w:szCs w:val="22"/>
              </w:rPr>
            </w:pPr>
          </w:p>
        </w:tc>
        <w:tc>
          <w:tcPr>
            <w:tcW w:w="4650" w:type="dxa"/>
          </w:tcPr>
          <w:p w14:paraId="257D31B3" w14:textId="77777777" w:rsidR="003646A0" w:rsidRPr="00F53012" w:rsidRDefault="003646A0" w:rsidP="00DE16D0">
            <w:pPr>
              <w:widowControl w:val="0"/>
              <w:rPr>
                <w:b/>
                <w:color w:val="000000"/>
                <w:sz w:val="22"/>
                <w:szCs w:val="22"/>
                <w:lang w:val="pl-PL"/>
              </w:rPr>
            </w:pPr>
            <w:r w:rsidRPr="00F53012">
              <w:rPr>
                <w:b/>
                <w:color w:val="000000"/>
                <w:sz w:val="22"/>
                <w:szCs w:val="22"/>
                <w:lang w:val="pl-PL"/>
              </w:rPr>
              <w:t>Polska</w:t>
            </w:r>
          </w:p>
          <w:p w14:paraId="4EE858BF" w14:textId="77777777" w:rsidR="003646A0" w:rsidRPr="00F53012" w:rsidRDefault="003646A0" w:rsidP="00DE16D0">
            <w:pPr>
              <w:widowControl w:val="0"/>
              <w:rPr>
                <w:color w:val="000000"/>
                <w:sz w:val="22"/>
                <w:szCs w:val="22"/>
                <w:lang w:val="pl-PL"/>
              </w:rPr>
            </w:pPr>
            <w:r w:rsidRPr="00F53012">
              <w:rPr>
                <w:color w:val="000000"/>
                <w:sz w:val="22"/>
                <w:szCs w:val="22"/>
                <w:lang w:val="pl-PL"/>
              </w:rPr>
              <w:t>Novartis Poland Sp. z o.o.</w:t>
            </w:r>
          </w:p>
          <w:p w14:paraId="42A1847C" w14:textId="77777777" w:rsidR="003646A0" w:rsidRPr="00F93FFA" w:rsidRDefault="003646A0" w:rsidP="00DE16D0">
            <w:pPr>
              <w:widowControl w:val="0"/>
              <w:rPr>
                <w:color w:val="000000"/>
                <w:sz w:val="22"/>
                <w:szCs w:val="22"/>
                <w:lang w:val="pt-BR"/>
              </w:rPr>
            </w:pPr>
            <w:r w:rsidRPr="00F93FFA">
              <w:rPr>
                <w:color w:val="000000"/>
                <w:sz w:val="22"/>
                <w:szCs w:val="22"/>
                <w:lang w:val="pt-BR"/>
              </w:rPr>
              <w:t xml:space="preserve">Tel.: +48 22 </w:t>
            </w:r>
            <w:r w:rsidRPr="00F93FFA">
              <w:rPr>
                <w:sz w:val="22"/>
                <w:szCs w:val="22"/>
              </w:rPr>
              <w:t>375 4888</w:t>
            </w:r>
          </w:p>
        </w:tc>
      </w:tr>
      <w:tr w:rsidR="003646A0" w:rsidRPr="00F93FFA" w14:paraId="216307D5" w14:textId="77777777" w:rsidTr="008D67C4">
        <w:trPr>
          <w:cantSplit/>
        </w:trPr>
        <w:tc>
          <w:tcPr>
            <w:tcW w:w="4650" w:type="dxa"/>
          </w:tcPr>
          <w:p w14:paraId="28249351"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France</w:t>
            </w:r>
          </w:p>
          <w:p w14:paraId="1E3445D9"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S.A.S.</w:t>
            </w:r>
          </w:p>
          <w:p w14:paraId="56684AE1" w14:textId="77777777" w:rsidR="003646A0" w:rsidRPr="00F93FFA" w:rsidRDefault="003646A0" w:rsidP="00DE16D0">
            <w:pPr>
              <w:widowControl w:val="0"/>
              <w:rPr>
                <w:color w:val="000000"/>
                <w:sz w:val="22"/>
                <w:szCs w:val="22"/>
                <w:lang w:val="fr-FR"/>
              </w:rPr>
            </w:pPr>
            <w:r w:rsidRPr="00F93FFA">
              <w:rPr>
                <w:color w:val="000000"/>
                <w:sz w:val="22"/>
                <w:szCs w:val="22"/>
                <w:lang w:val="fr-FR"/>
              </w:rPr>
              <w:t>Tél: +33 1 55 47 66 00</w:t>
            </w:r>
          </w:p>
          <w:p w14:paraId="7A0D8AA7" w14:textId="77777777" w:rsidR="003646A0" w:rsidRPr="00F93FFA" w:rsidRDefault="003646A0" w:rsidP="00DE16D0">
            <w:pPr>
              <w:widowControl w:val="0"/>
              <w:rPr>
                <w:b/>
                <w:color w:val="000000"/>
                <w:sz w:val="22"/>
                <w:szCs w:val="22"/>
                <w:lang w:val="fr-FR"/>
              </w:rPr>
            </w:pPr>
          </w:p>
        </w:tc>
        <w:tc>
          <w:tcPr>
            <w:tcW w:w="4650" w:type="dxa"/>
          </w:tcPr>
          <w:p w14:paraId="748D1E9A"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Portugal</w:t>
            </w:r>
          </w:p>
          <w:p w14:paraId="64DBF68D"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Farma - Produtos Farmacêuticos, S.A.</w:t>
            </w:r>
          </w:p>
          <w:p w14:paraId="658E5BC2" w14:textId="77777777" w:rsidR="003646A0" w:rsidRPr="00F93FFA" w:rsidRDefault="003646A0" w:rsidP="00DE16D0">
            <w:pPr>
              <w:widowControl w:val="0"/>
              <w:rPr>
                <w:color w:val="000000"/>
                <w:sz w:val="22"/>
                <w:szCs w:val="22"/>
              </w:rPr>
            </w:pPr>
            <w:r w:rsidRPr="00F93FFA">
              <w:rPr>
                <w:color w:val="000000"/>
                <w:sz w:val="22"/>
                <w:szCs w:val="22"/>
              </w:rPr>
              <w:t>Tel: +351 21 000 8600</w:t>
            </w:r>
          </w:p>
        </w:tc>
      </w:tr>
      <w:tr w:rsidR="003646A0" w:rsidRPr="00F93FFA" w14:paraId="041A129B" w14:textId="77777777" w:rsidTr="008D67C4">
        <w:trPr>
          <w:cantSplit/>
        </w:trPr>
        <w:tc>
          <w:tcPr>
            <w:tcW w:w="4650" w:type="dxa"/>
          </w:tcPr>
          <w:p w14:paraId="6F302E7F" w14:textId="77777777" w:rsidR="003646A0" w:rsidRPr="00F93FFA" w:rsidRDefault="003646A0" w:rsidP="00DE16D0">
            <w:pPr>
              <w:widowControl w:val="0"/>
              <w:rPr>
                <w:rFonts w:eastAsia="PMingLiU"/>
                <w:b/>
                <w:sz w:val="22"/>
                <w:szCs w:val="22"/>
              </w:rPr>
            </w:pPr>
            <w:r w:rsidRPr="00F93FFA">
              <w:rPr>
                <w:rFonts w:eastAsia="PMingLiU"/>
                <w:b/>
                <w:sz w:val="22"/>
                <w:szCs w:val="22"/>
              </w:rPr>
              <w:t>Hrvatska</w:t>
            </w:r>
          </w:p>
          <w:p w14:paraId="2674C037" w14:textId="77777777" w:rsidR="003646A0" w:rsidRPr="00F93FFA" w:rsidRDefault="003646A0" w:rsidP="00DE16D0">
            <w:pPr>
              <w:widowControl w:val="0"/>
              <w:rPr>
                <w:sz w:val="22"/>
                <w:szCs w:val="22"/>
              </w:rPr>
            </w:pPr>
            <w:r w:rsidRPr="00F93FFA">
              <w:rPr>
                <w:sz w:val="22"/>
                <w:szCs w:val="22"/>
              </w:rPr>
              <w:t>Novartis Hrvatska d.o.o.</w:t>
            </w:r>
          </w:p>
          <w:p w14:paraId="67FEBE0B" w14:textId="77777777" w:rsidR="003646A0" w:rsidRPr="00F93FFA" w:rsidRDefault="003646A0" w:rsidP="00DE16D0">
            <w:pPr>
              <w:widowControl w:val="0"/>
              <w:rPr>
                <w:sz w:val="22"/>
                <w:szCs w:val="22"/>
              </w:rPr>
            </w:pPr>
            <w:r w:rsidRPr="00F93FFA">
              <w:rPr>
                <w:sz w:val="22"/>
                <w:szCs w:val="22"/>
              </w:rPr>
              <w:t>Tel. +385 1 6274 220</w:t>
            </w:r>
          </w:p>
          <w:p w14:paraId="32CD9173" w14:textId="77777777" w:rsidR="003646A0" w:rsidRPr="00F93FFA" w:rsidRDefault="003646A0" w:rsidP="00DE16D0">
            <w:pPr>
              <w:widowControl w:val="0"/>
              <w:rPr>
                <w:b/>
                <w:color w:val="000000"/>
                <w:sz w:val="22"/>
                <w:szCs w:val="22"/>
                <w:lang w:val="fr-FR"/>
              </w:rPr>
            </w:pPr>
          </w:p>
        </w:tc>
        <w:tc>
          <w:tcPr>
            <w:tcW w:w="4650" w:type="dxa"/>
          </w:tcPr>
          <w:p w14:paraId="1351C05F" w14:textId="77777777" w:rsidR="003646A0" w:rsidRPr="00F93FFA" w:rsidRDefault="003646A0" w:rsidP="00DE16D0">
            <w:pPr>
              <w:widowControl w:val="0"/>
              <w:rPr>
                <w:b/>
                <w:noProof/>
                <w:color w:val="000000"/>
                <w:sz w:val="22"/>
                <w:szCs w:val="22"/>
                <w:lang w:val="it-IT"/>
              </w:rPr>
            </w:pPr>
            <w:r w:rsidRPr="00F93FFA">
              <w:rPr>
                <w:b/>
                <w:noProof/>
                <w:color w:val="000000"/>
                <w:sz w:val="22"/>
                <w:szCs w:val="22"/>
                <w:lang w:val="it-IT"/>
              </w:rPr>
              <w:t>România</w:t>
            </w:r>
          </w:p>
          <w:p w14:paraId="424DBCF3" w14:textId="77777777" w:rsidR="003646A0" w:rsidRPr="00F93FFA" w:rsidRDefault="003646A0" w:rsidP="00DE16D0">
            <w:pPr>
              <w:widowControl w:val="0"/>
              <w:rPr>
                <w:noProof/>
                <w:color w:val="000000"/>
                <w:sz w:val="22"/>
                <w:szCs w:val="22"/>
                <w:lang w:val="it-IT"/>
              </w:rPr>
            </w:pPr>
            <w:r w:rsidRPr="00F93FFA">
              <w:rPr>
                <w:noProof/>
                <w:color w:val="000000"/>
                <w:sz w:val="22"/>
                <w:szCs w:val="22"/>
                <w:lang w:val="it-IT"/>
              </w:rPr>
              <w:t xml:space="preserve">Novartis Pharma Services </w:t>
            </w:r>
            <w:r w:rsidRPr="00F93FFA">
              <w:rPr>
                <w:color w:val="2F2F2F"/>
                <w:sz w:val="22"/>
                <w:szCs w:val="22"/>
              </w:rPr>
              <w:t>Romania SRL</w:t>
            </w:r>
          </w:p>
          <w:p w14:paraId="3B569836" w14:textId="77777777" w:rsidR="003646A0" w:rsidRPr="00F93FFA" w:rsidRDefault="003646A0" w:rsidP="00DE16D0">
            <w:pPr>
              <w:widowControl w:val="0"/>
              <w:rPr>
                <w:color w:val="000000"/>
                <w:sz w:val="22"/>
                <w:szCs w:val="22"/>
              </w:rPr>
            </w:pPr>
            <w:r w:rsidRPr="00F93FFA">
              <w:rPr>
                <w:noProof/>
                <w:color w:val="000000"/>
                <w:sz w:val="22"/>
                <w:szCs w:val="22"/>
                <w:lang w:val="it-IT"/>
              </w:rPr>
              <w:t>Tel: +40 21 31299 01</w:t>
            </w:r>
          </w:p>
        </w:tc>
      </w:tr>
      <w:tr w:rsidR="003646A0" w:rsidRPr="00F93FFA" w14:paraId="11BF3C1A" w14:textId="77777777" w:rsidTr="008D67C4">
        <w:trPr>
          <w:cantSplit/>
        </w:trPr>
        <w:tc>
          <w:tcPr>
            <w:tcW w:w="4650" w:type="dxa"/>
          </w:tcPr>
          <w:p w14:paraId="7748869E" w14:textId="77777777" w:rsidR="003646A0" w:rsidRPr="00F93FFA" w:rsidRDefault="003646A0" w:rsidP="00DE16D0">
            <w:pPr>
              <w:widowControl w:val="0"/>
              <w:rPr>
                <w:b/>
                <w:color w:val="000000"/>
                <w:sz w:val="22"/>
                <w:szCs w:val="22"/>
                <w:lang w:val="en-US"/>
              </w:rPr>
            </w:pPr>
            <w:r w:rsidRPr="00F93FFA">
              <w:rPr>
                <w:b/>
                <w:color w:val="000000"/>
                <w:sz w:val="22"/>
                <w:szCs w:val="22"/>
                <w:lang w:val="en-US"/>
              </w:rPr>
              <w:t>Ireland</w:t>
            </w:r>
          </w:p>
          <w:p w14:paraId="34615216" w14:textId="77777777" w:rsidR="003646A0" w:rsidRPr="00F93FFA" w:rsidRDefault="003646A0" w:rsidP="00DE16D0">
            <w:pPr>
              <w:widowControl w:val="0"/>
              <w:rPr>
                <w:color w:val="000000"/>
                <w:sz w:val="22"/>
                <w:szCs w:val="22"/>
                <w:lang w:val="en-US"/>
              </w:rPr>
            </w:pPr>
            <w:r w:rsidRPr="00F93FFA">
              <w:rPr>
                <w:color w:val="000000"/>
                <w:sz w:val="22"/>
                <w:szCs w:val="22"/>
                <w:lang w:val="en-US"/>
              </w:rPr>
              <w:t>Novartis Ireland Limited</w:t>
            </w:r>
          </w:p>
          <w:p w14:paraId="1496E50B" w14:textId="77777777" w:rsidR="003646A0" w:rsidRPr="00F93FFA" w:rsidRDefault="003646A0" w:rsidP="00DE16D0">
            <w:pPr>
              <w:widowControl w:val="0"/>
              <w:rPr>
                <w:color w:val="000000"/>
                <w:sz w:val="22"/>
                <w:szCs w:val="22"/>
                <w:lang w:val="en-US"/>
              </w:rPr>
            </w:pPr>
            <w:r w:rsidRPr="00F93FFA">
              <w:rPr>
                <w:color w:val="000000"/>
                <w:sz w:val="22"/>
                <w:szCs w:val="22"/>
                <w:lang w:val="en-US"/>
              </w:rPr>
              <w:t>Tel: +353 1 260 12 55</w:t>
            </w:r>
          </w:p>
          <w:p w14:paraId="7BDDA2AC" w14:textId="77777777" w:rsidR="003646A0" w:rsidRPr="00F93FFA" w:rsidRDefault="003646A0" w:rsidP="00DE16D0">
            <w:pPr>
              <w:widowControl w:val="0"/>
              <w:rPr>
                <w:b/>
                <w:color w:val="000000"/>
                <w:sz w:val="22"/>
                <w:szCs w:val="22"/>
                <w:lang w:val="en-US"/>
              </w:rPr>
            </w:pPr>
          </w:p>
        </w:tc>
        <w:tc>
          <w:tcPr>
            <w:tcW w:w="4650" w:type="dxa"/>
          </w:tcPr>
          <w:p w14:paraId="00B68BDC"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Slovenija</w:t>
            </w:r>
          </w:p>
          <w:p w14:paraId="762035A2"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Services Inc.</w:t>
            </w:r>
          </w:p>
          <w:p w14:paraId="4CB68954" w14:textId="77777777" w:rsidR="003646A0" w:rsidRPr="00F93FFA" w:rsidRDefault="003646A0" w:rsidP="00DE16D0">
            <w:pPr>
              <w:widowControl w:val="0"/>
              <w:rPr>
                <w:color w:val="000000"/>
                <w:sz w:val="22"/>
                <w:szCs w:val="22"/>
                <w:lang w:val="fr-FR"/>
              </w:rPr>
            </w:pPr>
            <w:r w:rsidRPr="00F93FFA">
              <w:rPr>
                <w:color w:val="000000"/>
                <w:sz w:val="22"/>
                <w:szCs w:val="22"/>
                <w:lang w:val="fr-FR"/>
              </w:rPr>
              <w:t>Tel: +386 1 300 75 50</w:t>
            </w:r>
          </w:p>
        </w:tc>
      </w:tr>
      <w:tr w:rsidR="003646A0" w:rsidRPr="00F93FFA" w14:paraId="727B8F91" w14:textId="77777777" w:rsidTr="008D67C4">
        <w:trPr>
          <w:cantSplit/>
        </w:trPr>
        <w:tc>
          <w:tcPr>
            <w:tcW w:w="4650" w:type="dxa"/>
          </w:tcPr>
          <w:p w14:paraId="70716A17" w14:textId="77777777" w:rsidR="003646A0" w:rsidRPr="00F93FFA" w:rsidRDefault="003646A0" w:rsidP="00DE16D0">
            <w:pPr>
              <w:widowControl w:val="0"/>
              <w:rPr>
                <w:b/>
                <w:color w:val="000000"/>
                <w:sz w:val="22"/>
                <w:szCs w:val="22"/>
              </w:rPr>
            </w:pPr>
            <w:r w:rsidRPr="00F93FFA">
              <w:rPr>
                <w:b/>
                <w:color w:val="000000"/>
                <w:sz w:val="22"/>
                <w:szCs w:val="22"/>
              </w:rPr>
              <w:t>Ísland</w:t>
            </w:r>
          </w:p>
          <w:p w14:paraId="49FFDA7C" w14:textId="77777777" w:rsidR="003646A0" w:rsidRPr="00F93FFA" w:rsidRDefault="003646A0" w:rsidP="00DE16D0">
            <w:pPr>
              <w:widowControl w:val="0"/>
              <w:rPr>
                <w:color w:val="000000"/>
                <w:sz w:val="22"/>
                <w:szCs w:val="22"/>
              </w:rPr>
            </w:pPr>
            <w:r w:rsidRPr="00F93FFA">
              <w:rPr>
                <w:color w:val="000000"/>
                <w:sz w:val="22"/>
                <w:szCs w:val="22"/>
              </w:rPr>
              <w:t>Vistor hf.</w:t>
            </w:r>
          </w:p>
          <w:p w14:paraId="776D90B3" w14:textId="77777777" w:rsidR="003646A0" w:rsidRPr="00F93FFA" w:rsidRDefault="003646A0" w:rsidP="00DE16D0">
            <w:pPr>
              <w:widowControl w:val="0"/>
              <w:rPr>
                <w:color w:val="000000"/>
                <w:sz w:val="22"/>
                <w:szCs w:val="22"/>
              </w:rPr>
            </w:pPr>
            <w:r w:rsidRPr="00F93FFA">
              <w:rPr>
                <w:noProof/>
                <w:color w:val="000000"/>
                <w:sz w:val="22"/>
                <w:szCs w:val="22"/>
                <w:lang w:val="it-IT"/>
              </w:rPr>
              <w:t>S</w:t>
            </w:r>
            <w:r w:rsidRPr="00F93FFA">
              <w:rPr>
                <w:noProof/>
                <w:color w:val="000000"/>
                <w:sz w:val="22"/>
                <w:szCs w:val="22"/>
                <w:lang w:val="cs-CZ"/>
              </w:rPr>
              <w:t>í</w:t>
            </w:r>
            <w:r w:rsidRPr="00F93FFA">
              <w:rPr>
                <w:noProof/>
                <w:color w:val="000000"/>
                <w:sz w:val="22"/>
                <w:szCs w:val="22"/>
                <w:lang w:val="it-IT"/>
              </w:rPr>
              <w:t>mi</w:t>
            </w:r>
            <w:r w:rsidRPr="00F93FFA">
              <w:rPr>
                <w:color w:val="000000"/>
                <w:sz w:val="22"/>
                <w:szCs w:val="22"/>
              </w:rPr>
              <w:t>: +354 535 7000</w:t>
            </w:r>
          </w:p>
          <w:p w14:paraId="41551212" w14:textId="77777777" w:rsidR="003646A0" w:rsidRPr="00F93FFA" w:rsidRDefault="003646A0" w:rsidP="00DE16D0">
            <w:pPr>
              <w:widowControl w:val="0"/>
              <w:rPr>
                <w:b/>
                <w:color w:val="000000"/>
                <w:sz w:val="22"/>
                <w:szCs w:val="22"/>
              </w:rPr>
            </w:pPr>
          </w:p>
        </w:tc>
        <w:tc>
          <w:tcPr>
            <w:tcW w:w="4650" w:type="dxa"/>
          </w:tcPr>
          <w:p w14:paraId="77A31DDE" w14:textId="77777777" w:rsidR="003646A0" w:rsidRPr="00F53012" w:rsidRDefault="003646A0" w:rsidP="00DE16D0">
            <w:pPr>
              <w:widowControl w:val="0"/>
              <w:rPr>
                <w:b/>
                <w:color w:val="000000"/>
                <w:sz w:val="22"/>
                <w:szCs w:val="22"/>
              </w:rPr>
            </w:pPr>
            <w:r w:rsidRPr="00F53012">
              <w:rPr>
                <w:b/>
                <w:color w:val="000000"/>
                <w:sz w:val="22"/>
                <w:szCs w:val="22"/>
              </w:rPr>
              <w:t>Slovenská republika</w:t>
            </w:r>
          </w:p>
          <w:p w14:paraId="47BDCBFA" w14:textId="77777777" w:rsidR="003646A0" w:rsidRPr="00F53012" w:rsidRDefault="003646A0" w:rsidP="00DE16D0">
            <w:pPr>
              <w:widowControl w:val="0"/>
              <w:rPr>
                <w:color w:val="000000"/>
                <w:sz w:val="22"/>
                <w:szCs w:val="22"/>
              </w:rPr>
            </w:pPr>
            <w:r w:rsidRPr="00F53012">
              <w:rPr>
                <w:color w:val="000000"/>
                <w:sz w:val="22"/>
                <w:szCs w:val="22"/>
              </w:rPr>
              <w:t>Novartis Slovakia s.r.o.</w:t>
            </w:r>
          </w:p>
          <w:p w14:paraId="57471940" w14:textId="77777777" w:rsidR="003646A0" w:rsidRPr="00F93FFA" w:rsidRDefault="003646A0" w:rsidP="00DE16D0">
            <w:pPr>
              <w:widowControl w:val="0"/>
              <w:rPr>
                <w:color w:val="000000"/>
                <w:sz w:val="22"/>
                <w:szCs w:val="22"/>
              </w:rPr>
            </w:pPr>
            <w:r w:rsidRPr="00F93FFA">
              <w:rPr>
                <w:color w:val="000000"/>
                <w:sz w:val="22"/>
                <w:szCs w:val="22"/>
              </w:rPr>
              <w:t>Tel: +421 2 5542 5439</w:t>
            </w:r>
          </w:p>
          <w:p w14:paraId="5DA08783" w14:textId="77777777" w:rsidR="003646A0" w:rsidRPr="00F93FFA" w:rsidRDefault="003646A0" w:rsidP="00DE16D0">
            <w:pPr>
              <w:widowControl w:val="0"/>
              <w:rPr>
                <w:color w:val="000000"/>
                <w:sz w:val="22"/>
                <w:szCs w:val="22"/>
              </w:rPr>
            </w:pPr>
          </w:p>
        </w:tc>
      </w:tr>
      <w:tr w:rsidR="003646A0" w:rsidRPr="00F93FFA" w14:paraId="51AAA2F0" w14:textId="77777777" w:rsidTr="008D67C4">
        <w:trPr>
          <w:cantSplit/>
        </w:trPr>
        <w:tc>
          <w:tcPr>
            <w:tcW w:w="4650" w:type="dxa"/>
          </w:tcPr>
          <w:p w14:paraId="093FABDC"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Italia</w:t>
            </w:r>
          </w:p>
          <w:p w14:paraId="6AB0C5E6"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Farma S.p.A.</w:t>
            </w:r>
          </w:p>
          <w:p w14:paraId="1AA5047D" w14:textId="77777777" w:rsidR="003646A0" w:rsidRPr="00F93FFA" w:rsidRDefault="003646A0" w:rsidP="00DE16D0">
            <w:pPr>
              <w:widowControl w:val="0"/>
              <w:rPr>
                <w:b/>
                <w:color w:val="000000"/>
                <w:sz w:val="22"/>
                <w:szCs w:val="22"/>
              </w:rPr>
            </w:pPr>
            <w:r w:rsidRPr="00F93FFA">
              <w:rPr>
                <w:color w:val="000000"/>
                <w:sz w:val="22"/>
                <w:szCs w:val="22"/>
              </w:rPr>
              <w:t>Tel: +39 02 96 54 1</w:t>
            </w:r>
          </w:p>
        </w:tc>
        <w:tc>
          <w:tcPr>
            <w:tcW w:w="4650" w:type="dxa"/>
          </w:tcPr>
          <w:p w14:paraId="47A9F385" w14:textId="77777777" w:rsidR="003646A0" w:rsidRPr="00F53012" w:rsidRDefault="003646A0" w:rsidP="00DE16D0">
            <w:pPr>
              <w:widowControl w:val="0"/>
              <w:rPr>
                <w:b/>
                <w:color w:val="000000"/>
                <w:sz w:val="22"/>
                <w:szCs w:val="22"/>
                <w:lang w:val="sv-SE"/>
              </w:rPr>
            </w:pPr>
            <w:r w:rsidRPr="00F53012">
              <w:rPr>
                <w:b/>
                <w:color w:val="000000"/>
                <w:sz w:val="22"/>
                <w:szCs w:val="22"/>
                <w:lang w:val="sv-SE"/>
              </w:rPr>
              <w:t>Suomi/Finland</w:t>
            </w:r>
          </w:p>
          <w:p w14:paraId="5DF0136D" w14:textId="77777777" w:rsidR="003646A0" w:rsidRPr="00F53012" w:rsidRDefault="003646A0" w:rsidP="00DE16D0">
            <w:pPr>
              <w:widowControl w:val="0"/>
              <w:rPr>
                <w:color w:val="000000"/>
                <w:sz w:val="22"/>
                <w:szCs w:val="22"/>
                <w:lang w:val="sv-SE"/>
              </w:rPr>
            </w:pPr>
            <w:r w:rsidRPr="00F53012">
              <w:rPr>
                <w:color w:val="000000"/>
                <w:sz w:val="22"/>
                <w:szCs w:val="22"/>
                <w:lang w:val="sv-SE"/>
              </w:rPr>
              <w:t>Novartis Finland Oy</w:t>
            </w:r>
          </w:p>
          <w:p w14:paraId="5E261BD4" w14:textId="77777777" w:rsidR="003646A0" w:rsidRPr="00F53012" w:rsidRDefault="003646A0" w:rsidP="00DE16D0">
            <w:pPr>
              <w:widowControl w:val="0"/>
              <w:rPr>
                <w:color w:val="000000"/>
                <w:sz w:val="22"/>
                <w:szCs w:val="22"/>
                <w:lang w:val="sv-SE"/>
              </w:rPr>
            </w:pPr>
            <w:r w:rsidRPr="00F53012">
              <w:rPr>
                <w:color w:val="000000"/>
                <w:sz w:val="22"/>
                <w:szCs w:val="22"/>
                <w:lang w:val="sv-SE"/>
              </w:rPr>
              <w:t xml:space="preserve">Puh/Tel: </w:t>
            </w:r>
            <w:r w:rsidRPr="00F53012">
              <w:rPr>
                <w:color w:val="000000"/>
                <w:sz w:val="22"/>
                <w:szCs w:val="22"/>
                <w:lang w:val="sv-SE" w:bidi="he-IL"/>
              </w:rPr>
              <w:t>+358 (0)10 6133 200</w:t>
            </w:r>
          </w:p>
          <w:p w14:paraId="77068F0B" w14:textId="77777777" w:rsidR="003646A0" w:rsidRPr="00F53012" w:rsidRDefault="003646A0" w:rsidP="00DE16D0">
            <w:pPr>
              <w:widowControl w:val="0"/>
              <w:rPr>
                <w:color w:val="000000"/>
                <w:sz w:val="22"/>
                <w:szCs w:val="22"/>
                <w:lang w:val="sv-SE"/>
              </w:rPr>
            </w:pPr>
          </w:p>
        </w:tc>
      </w:tr>
      <w:tr w:rsidR="003646A0" w:rsidRPr="00F93FFA" w14:paraId="0B0ED4EC" w14:textId="77777777" w:rsidTr="008D67C4">
        <w:trPr>
          <w:cantSplit/>
        </w:trPr>
        <w:tc>
          <w:tcPr>
            <w:tcW w:w="4650" w:type="dxa"/>
          </w:tcPr>
          <w:p w14:paraId="1A39BA77" w14:textId="77777777" w:rsidR="003646A0" w:rsidRPr="00F93FFA" w:rsidRDefault="003646A0" w:rsidP="00DE16D0">
            <w:pPr>
              <w:widowControl w:val="0"/>
              <w:rPr>
                <w:b/>
                <w:color w:val="000000"/>
                <w:sz w:val="22"/>
                <w:szCs w:val="22"/>
                <w:lang w:val="fr-FR"/>
              </w:rPr>
            </w:pPr>
            <w:r w:rsidRPr="00F93FFA">
              <w:rPr>
                <w:b/>
                <w:color w:val="000000"/>
                <w:sz w:val="22"/>
                <w:szCs w:val="22"/>
              </w:rPr>
              <w:t>Κύπρος</w:t>
            </w:r>
          </w:p>
          <w:p w14:paraId="33B32293" w14:textId="77777777" w:rsidR="003646A0" w:rsidRPr="00F93FFA" w:rsidRDefault="003646A0" w:rsidP="00DE16D0">
            <w:pPr>
              <w:widowControl w:val="0"/>
              <w:rPr>
                <w:color w:val="000000"/>
                <w:sz w:val="22"/>
                <w:szCs w:val="22"/>
                <w:lang w:val="fr-FR"/>
              </w:rPr>
            </w:pPr>
            <w:r w:rsidRPr="00F93FFA">
              <w:rPr>
                <w:color w:val="000000"/>
                <w:sz w:val="22"/>
                <w:szCs w:val="22"/>
                <w:lang w:val="fr-FR" w:bidi="he-IL"/>
              </w:rPr>
              <w:t>Novartis Pharma Services Inc.</w:t>
            </w:r>
          </w:p>
          <w:p w14:paraId="7A4235D8" w14:textId="77777777" w:rsidR="003646A0" w:rsidRPr="00F93FFA" w:rsidRDefault="003646A0" w:rsidP="00DE16D0">
            <w:pPr>
              <w:widowControl w:val="0"/>
              <w:rPr>
                <w:color w:val="000000"/>
                <w:sz w:val="22"/>
                <w:szCs w:val="22"/>
                <w:lang w:val="fr-FR"/>
              </w:rPr>
            </w:pPr>
            <w:r w:rsidRPr="00F93FFA">
              <w:rPr>
                <w:color w:val="000000"/>
                <w:sz w:val="22"/>
                <w:szCs w:val="22"/>
              </w:rPr>
              <w:t>Τηλ</w:t>
            </w:r>
            <w:r w:rsidRPr="00F93FFA">
              <w:rPr>
                <w:color w:val="000000"/>
                <w:sz w:val="22"/>
                <w:szCs w:val="22"/>
                <w:lang w:val="fr-FR"/>
              </w:rPr>
              <w:t>: +357 22 690 690</w:t>
            </w:r>
          </w:p>
          <w:p w14:paraId="59189481" w14:textId="77777777" w:rsidR="003646A0" w:rsidRPr="00F93FFA" w:rsidRDefault="003646A0" w:rsidP="00DE16D0">
            <w:pPr>
              <w:widowControl w:val="0"/>
              <w:rPr>
                <w:b/>
                <w:color w:val="000000"/>
                <w:sz w:val="22"/>
                <w:szCs w:val="22"/>
                <w:lang w:val="fr-FR"/>
              </w:rPr>
            </w:pPr>
          </w:p>
        </w:tc>
        <w:tc>
          <w:tcPr>
            <w:tcW w:w="4650" w:type="dxa"/>
          </w:tcPr>
          <w:p w14:paraId="1F060E94"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Sverige</w:t>
            </w:r>
          </w:p>
          <w:p w14:paraId="466A04F4"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Sverige AB</w:t>
            </w:r>
          </w:p>
          <w:p w14:paraId="6C4CDF87" w14:textId="77777777" w:rsidR="003646A0" w:rsidRPr="00F93FFA" w:rsidRDefault="003646A0" w:rsidP="00DE16D0">
            <w:pPr>
              <w:widowControl w:val="0"/>
              <w:rPr>
                <w:color w:val="000000"/>
                <w:sz w:val="22"/>
                <w:szCs w:val="22"/>
                <w:lang w:val="de-CH"/>
              </w:rPr>
            </w:pPr>
            <w:r w:rsidRPr="00F93FFA">
              <w:rPr>
                <w:color w:val="000000"/>
                <w:sz w:val="22"/>
                <w:szCs w:val="22"/>
                <w:lang w:val="de-CH"/>
              </w:rPr>
              <w:t>Tel: +46 8 732 32 00</w:t>
            </w:r>
          </w:p>
          <w:p w14:paraId="5C28248B" w14:textId="77777777" w:rsidR="003646A0" w:rsidRPr="00F93FFA" w:rsidRDefault="003646A0" w:rsidP="00DE16D0">
            <w:pPr>
              <w:widowControl w:val="0"/>
              <w:rPr>
                <w:color w:val="000000"/>
                <w:sz w:val="22"/>
                <w:szCs w:val="22"/>
                <w:lang w:val="de-CH"/>
              </w:rPr>
            </w:pPr>
          </w:p>
        </w:tc>
      </w:tr>
      <w:tr w:rsidR="003646A0" w:rsidRPr="00F93FFA" w14:paraId="5DA1FCFA" w14:textId="77777777" w:rsidTr="008D67C4">
        <w:trPr>
          <w:cantSplit/>
        </w:trPr>
        <w:tc>
          <w:tcPr>
            <w:tcW w:w="4650" w:type="dxa"/>
          </w:tcPr>
          <w:p w14:paraId="530B0ED7" w14:textId="77777777" w:rsidR="003646A0" w:rsidRPr="00F93FFA" w:rsidRDefault="003646A0" w:rsidP="00DE16D0">
            <w:pPr>
              <w:widowControl w:val="0"/>
              <w:rPr>
                <w:b/>
                <w:color w:val="000000"/>
                <w:sz w:val="22"/>
                <w:szCs w:val="22"/>
                <w:lang w:val="it-IT"/>
              </w:rPr>
            </w:pPr>
            <w:r w:rsidRPr="00F93FFA">
              <w:rPr>
                <w:b/>
                <w:color w:val="000000"/>
                <w:sz w:val="22"/>
                <w:szCs w:val="22"/>
                <w:lang w:val="it-IT"/>
              </w:rPr>
              <w:t>Latvija</w:t>
            </w:r>
          </w:p>
          <w:p w14:paraId="6A453548" w14:textId="1FA72D00" w:rsidR="003646A0" w:rsidRPr="00F93FFA" w:rsidRDefault="006703D1" w:rsidP="00DE16D0">
            <w:pPr>
              <w:widowControl w:val="0"/>
              <w:rPr>
                <w:color w:val="000000"/>
                <w:sz w:val="22"/>
                <w:szCs w:val="22"/>
                <w:lang w:val="it-IT"/>
              </w:rPr>
            </w:pPr>
            <w:r w:rsidRPr="00F93FFA">
              <w:rPr>
                <w:color w:val="000000"/>
                <w:sz w:val="22"/>
                <w:szCs w:val="22"/>
                <w:lang w:val="it-IT"/>
              </w:rPr>
              <w:t>SIA Novartis Baltics</w:t>
            </w:r>
          </w:p>
          <w:p w14:paraId="7C19E990" w14:textId="77777777" w:rsidR="003646A0" w:rsidRPr="00F93FFA" w:rsidRDefault="003646A0" w:rsidP="00DE16D0">
            <w:pPr>
              <w:widowControl w:val="0"/>
              <w:rPr>
                <w:color w:val="000000"/>
                <w:sz w:val="22"/>
                <w:szCs w:val="22"/>
              </w:rPr>
            </w:pPr>
            <w:r w:rsidRPr="00F93FFA">
              <w:rPr>
                <w:color w:val="000000"/>
                <w:sz w:val="22"/>
                <w:szCs w:val="22"/>
              </w:rPr>
              <w:t>Tel: +371 67 887 070</w:t>
            </w:r>
          </w:p>
          <w:p w14:paraId="0922346C" w14:textId="77777777" w:rsidR="003646A0" w:rsidRPr="00F93FFA" w:rsidRDefault="003646A0" w:rsidP="00DE16D0">
            <w:pPr>
              <w:widowControl w:val="0"/>
              <w:rPr>
                <w:b/>
                <w:color w:val="000000"/>
                <w:sz w:val="22"/>
                <w:szCs w:val="22"/>
              </w:rPr>
            </w:pPr>
          </w:p>
        </w:tc>
        <w:tc>
          <w:tcPr>
            <w:tcW w:w="4650" w:type="dxa"/>
          </w:tcPr>
          <w:p w14:paraId="0041D780" w14:textId="77777777" w:rsidR="003646A0" w:rsidRPr="00F53012" w:rsidRDefault="003646A0" w:rsidP="00DE16D0">
            <w:pPr>
              <w:widowControl w:val="0"/>
              <w:rPr>
                <w:b/>
                <w:color w:val="000000"/>
                <w:sz w:val="22"/>
                <w:szCs w:val="22"/>
              </w:rPr>
            </w:pPr>
            <w:r w:rsidRPr="00F53012">
              <w:rPr>
                <w:b/>
                <w:color w:val="000000"/>
                <w:sz w:val="22"/>
                <w:szCs w:val="22"/>
              </w:rPr>
              <w:t>United Kingdom</w:t>
            </w:r>
          </w:p>
          <w:p w14:paraId="78F4E8D1" w14:textId="77777777" w:rsidR="003646A0" w:rsidRPr="00F53012" w:rsidRDefault="003646A0" w:rsidP="00DE16D0">
            <w:pPr>
              <w:widowControl w:val="0"/>
              <w:rPr>
                <w:color w:val="000000"/>
                <w:sz w:val="22"/>
                <w:szCs w:val="22"/>
              </w:rPr>
            </w:pPr>
            <w:r w:rsidRPr="00F53012">
              <w:rPr>
                <w:color w:val="000000"/>
                <w:sz w:val="22"/>
                <w:szCs w:val="22"/>
              </w:rPr>
              <w:t>Novartis Pharmaceuticals UK Ltd.</w:t>
            </w:r>
          </w:p>
          <w:p w14:paraId="66949748" w14:textId="77777777" w:rsidR="003646A0" w:rsidRPr="00F93FFA" w:rsidRDefault="003646A0" w:rsidP="00DE16D0">
            <w:pPr>
              <w:widowControl w:val="0"/>
              <w:rPr>
                <w:color w:val="000000"/>
                <w:sz w:val="22"/>
                <w:szCs w:val="22"/>
              </w:rPr>
            </w:pPr>
            <w:r w:rsidRPr="00F93FFA">
              <w:rPr>
                <w:color w:val="000000"/>
                <w:sz w:val="22"/>
                <w:szCs w:val="22"/>
              </w:rPr>
              <w:t>Tel: +44 1276 698370</w:t>
            </w:r>
          </w:p>
          <w:p w14:paraId="6D7C8909" w14:textId="77777777" w:rsidR="003646A0" w:rsidRPr="00F93FFA" w:rsidRDefault="003646A0" w:rsidP="00DE16D0">
            <w:pPr>
              <w:widowControl w:val="0"/>
              <w:rPr>
                <w:color w:val="000000"/>
                <w:sz w:val="22"/>
                <w:szCs w:val="22"/>
              </w:rPr>
            </w:pPr>
          </w:p>
        </w:tc>
      </w:tr>
    </w:tbl>
    <w:p w14:paraId="2A72F370" w14:textId="77777777" w:rsidR="003646A0" w:rsidRPr="00F93FFA" w:rsidRDefault="003646A0" w:rsidP="00DE16D0">
      <w:pPr>
        <w:widowControl w:val="0"/>
        <w:ind w:right="-449"/>
        <w:rPr>
          <w:color w:val="000000"/>
          <w:sz w:val="22"/>
          <w:szCs w:val="22"/>
        </w:rPr>
      </w:pPr>
    </w:p>
    <w:p w14:paraId="16F1E9C1" w14:textId="77777777" w:rsidR="003646A0" w:rsidRPr="00F93FFA" w:rsidRDefault="003646A0" w:rsidP="00DE16D0">
      <w:pPr>
        <w:widowControl w:val="0"/>
        <w:ind w:left="567" w:hanging="567"/>
        <w:rPr>
          <w:b/>
          <w:color w:val="000000"/>
          <w:sz w:val="22"/>
          <w:szCs w:val="22"/>
        </w:rPr>
      </w:pPr>
      <w:r w:rsidRPr="00F93FFA">
        <w:rPr>
          <w:b/>
          <w:color w:val="000000"/>
          <w:sz w:val="22"/>
          <w:szCs w:val="22"/>
        </w:rPr>
        <w:t>Šis pakuotės lapelis paskutinį kartą peržiūrėtas</w:t>
      </w:r>
    </w:p>
    <w:p w14:paraId="59A15153" w14:textId="77777777" w:rsidR="003646A0" w:rsidRPr="00F93FFA" w:rsidRDefault="003646A0" w:rsidP="00DE16D0">
      <w:pPr>
        <w:widowControl w:val="0"/>
        <w:ind w:left="567" w:hanging="567"/>
        <w:rPr>
          <w:color w:val="000000"/>
          <w:sz w:val="22"/>
          <w:szCs w:val="22"/>
        </w:rPr>
      </w:pPr>
    </w:p>
    <w:p w14:paraId="1CB9D08B" w14:textId="77777777" w:rsidR="003646A0" w:rsidRPr="00F93FFA" w:rsidRDefault="003646A0" w:rsidP="009A4400">
      <w:pPr>
        <w:keepNext/>
        <w:widowControl w:val="0"/>
        <w:ind w:left="567" w:hanging="567"/>
        <w:rPr>
          <w:b/>
          <w:bCs/>
          <w:color w:val="000000"/>
          <w:sz w:val="22"/>
          <w:szCs w:val="22"/>
        </w:rPr>
      </w:pPr>
      <w:r w:rsidRPr="00F93FFA">
        <w:rPr>
          <w:b/>
          <w:bCs/>
          <w:color w:val="000000"/>
          <w:sz w:val="22"/>
          <w:szCs w:val="22"/>
        </w:rPr>
        <w:t>Kiti informacijos šaltiniai</w:t>
      </w:r>
    </w:p>
    <w:p w14:paraId="1F8233D9" w14:textId="77777777" w:rsidR="003646A0" w:rsidRPr="00F93FFA" w:rsidRDefault="003646A0" w:rsidP="009A4400">
      <w:pPr>
        <w:keepLines/>
        <w:widowControl w:val="0"/>
        <w:rPr>
          <w:color w:val="000000"/>
          <w:sz w:val="22"/>
          <w:szCs w:val="22"/>
        </w:rPr>
      </w:pPr>
      <w:r w:rsidRPr="00F93FFA">
        <w:rPr>
          <w:iCs/>
          <w:sz w:val="22"/>
          <w:szCs w:val="22"/>
        </w:rPr>
        <w:t xml:space="preserve">Išsami informacija apie šį </w:t>
      </w:r>
      <w:r w:rsidRPr="00F93FFA">
        <w:rPr>
          <w:sz w:val="22"/>
          <w:szCs w:val="22"/>
        </w:rPr>
        <w:t>vaistą</w:t>
      </w:r>
      <w:r w:rsidRPr="00F93FFA">
        <w:rPr>
          <w:iCs/>
          <w:sz w:val="22"/>
          <w:szCs w:val="22"/>
        </w:rPr>
        <w:t xml:space="preserve"> pateikiama Europos vaistų agentūros tinklalapyje </w:t>
      </w:r>
      <w:r w:rsidRPr="00F93FFA">
        <w:rPr>
          <w:sz w:val="22"/>
          <w:szCs w:val="22"/>
        </w:rPr>
        <w:t>http://www.ema.europa.eu</w:t>
      </w:r>
      <w:r w:rsidR="00510466" w:rsidRPr="00F93FFA">
        <w:rPr>
          <w:sz w:val="22"/>
          <w:szCs w:val="22"/>
        </w:rPr>
        <w:t>/</w:t>
      </w:r>
    </w:p>
    <w:p w14:paraId="610BCD05" w14:textId="77777777" w:rsidR="003646A0" w:rsidRPr="00F93FFA" w:rsidRDefault="003646A0" w:rsidP="00DE16D0">
      <w:pPr>
        <w:widowControl w:val="0"/>
        <w:ind w:left="567" w:hanging="567"/>
        <w:jc w:val="center"/>
        <w:rPr>
          <w:b/>
          <w:caps/>
          <w:color w:val="000000"/>
          <w:sz w:val="22"/>
          <w:szCs w:val="22"/>
        </w:rPr>
      </w:pPr>
      <w:r w:rsidRPr="00F93FFA">
        <w:rPr>
          <w:color w:val="000000"/>
          <w:sz w:val="22"/>
          <w:szCs w:val="22"/>
        </w:rPr>
        <w:br w:type="page"/>
      </w:r>
      <w:r w:rsidRPr="00F93FFA">
        <w:rPr>
          <w:b/>
          <w:color w:val="000000"/>
          <w:sz w:val="22"/>
          <w:szCs w:val="22"/>
        </w:rPr>
        <w:lastRenderedPageBreak/>
        <w:t>Pakuotės lapelis: informacija vartotojui</w:t>
      </w:r>
    </w:p>
    <w:p w14:paraId="1CC513B5" w14:textId="77777777" w:rsidR="003646A0" w:rsidRPr="00F93FFA" w:rsidRDefault="003646A0" w:rsidP="00DE16D0">
      <w:pPr>
        <w:widowControl w:val="0"/>
        <w:ind w:left="567" w:hanging="567"/>
        <w:jc w:val="center"/>
        <w:rPr>
          <w:color w:val="000000"/>
          <w:sz w:val="22"/>
          <w:szCs w:val="22"/>
        </w:rPr>
      </w:pPr>
    </w:p>
    <w:p w14:paraId="4F91C6E4" w14:textId="4CA73F9C" w:rsidR="003646A0" w:rsidRDefault="003646A0" w:rsidP="00DE16D0">
      <w:pPr>
        <w:widowControl w:val="0"/>
        <w:ind w:left="567" w:hanging="567"/>
        <w:jc w:val="center"/>
        <w:rPr>
          <w:b/>
          <w:color w:val="000000"/>
          <w:sz w:val="22"/>
          <w:szCs w:val="22"/>
        </w:rPr>
      </w:pPr>
      <w:r w:rsidRPr="00F93FFA">
        <w:rPr>
          <w:b/>
          <w:color w:val="000000"/>
          <w:sz w:val="22"/>
          <w:szCs w:val="22"/>
        </w:rPr>
        <w:t>Glivec 100 mg plėvele dengtos tabletės</w:t>
      </w:r>
    </w:p>
    <w:p w14:paraId="4740163E" w14:textId="7A74965E" w:rsidR="00481ECF" w:rsidRPr="00F93FFA" w:rsidRDefault="00481ECF" w:rsidP="00DE16D0">
      <w:pPr>
        <w:widowControl w:val="0"/>
        <w:ind w:left="567" w:hanging="567"/>
        <w:jc w:val="center"/>
        <w:rPr>
          <w:b/>
          <w:color w:val="000000"/>
          <w:sz w:val="22"/>
          <w:szCs w:val="22"/>
        </w:rPr>
      </w:pPr>
      <w:r w:rsidRPr="00F93FFA">
        <w:rPr>
          <w:b/>
          <w:color w:val="000000"/>
          <w:sz w:val="22"/>
          <w:szCs w:val="22"/>
        </w:rPr>
        <w:t xml:space="preserve">Glivec </w:t>
      </w:r>
      <w:r>
        <w:rPr>
          <w:b/>
          <w:color w:val="000000"/>
          <w:sz w:val="22"/>
          <w:szCs w:val="22"/>
        </w:rPr>
        <w:t>4</w:t>
      </w:r>
      <w:r w:rsidRPr="00F93FFA">
        <w:rPr>
          <w:b/>
          <w:color w:val="000000"/>
          <w:sz w:val="22"/>
          <w:szCs w:val="22"/>
        </w:rPr>
        <w:t>00 mg plėvele dengtos tabletės</w:t>
      </w:r>
    </w:p>
    <w:p w14:paraId="26880540" w14:textId="2E55FBCA" w:rsidR="003646A0" w:rsidRPr="00F93FFA" w:rsidRDefault="006846B3" w:rsidP="00DE16D0">
      <w:pPr>
        <w:widowControl w:val="0"/>
        <w:ind w:left="567" w:hanging="567"/>
        <w:jc w:val="center"/>
        <w:rPr>
          <w:color w:val="000000"/>
          <w:sz w:val="22"/>
          <w:szCs w:val="22"/>
        </w:rPr>
      </w:pPr>
      <w:r w:rsidRPr="00F93FFA">
        <w:rPr>
          <w:color w:val="000000"/>
          <w:sz w:val="22"/>
          <w:szCs w:val="22"/>
        </w:rPr>
        <w:t>i</w:t>
      </w:r>
      <w:r w:rsidR="003646A0" w:rsidRPr="00F93FFA">
        <w:rPr>
          <w:color w:val="000000"/>
          <w:sz w:val="22"/>
          <w:szCs w:val="22"/>
        </w:rPr>
        <w:t>matinibas</w:t>
      </w:r>
      <w:r w:rsidR="00510466" w:rsidRPr="00F93FFA">
        <w:rPr>
          <w:color w:val="000000"/>
          <w:sz w:val="22"/>
          <w:szCs w:val="22"/>
        </w:rPr>
        <w:t xml:space="preserve"> (</w:t>
      </w:r>
      <w:r w:rsidRPr="00F93FFA">
        <w:rPr>
          <w:i/>
          <w:color w:val="000000"/>
          <w:sz w:val="22"/>
          <w:szCs w:val="22"/>
        </w:rPr>
        <w:t>i</w:t>
      </w:r>
      <w:r w:rsidR="00510466" w:rsidRPr="00F93FFA">
        <w:rPr>
          <w:i/>
          <w:color w:val="000000"/>
          <w:sz w:val="22"/>
          <w:szCs w:val="22"/>
        </w:rPr>
        <w:t>matinibum</w:t>
      </w:r>
      <w:r w:rsidR="00510466" w:rsidRPr="00F93FFA">
        <w:rPr>
          <w:color w:val="000000"/>
          <w:sz w:val="22"/>
          <w:szCs w:val="22"/>
        </w:rPr>
        <w:t>)</w:t>
      </w:r>
    </w:p>
    <w:p w14:paraId="4B3E3BB8" w14:textId="77777777" w:rsidR="003646A0" w:rsidRPr="00F93FFA" w:rsidRDefault="003646A0" w:rsidP="00DE16D0">
      <w:pPr>
        <w:widowControl w:val="0"/>
        <w:rPr>
          <w:color w:val="000000"/>
          <w:sz w:val="22"/>
          <w:szCs w:val="22"/>
        </w:rPr>
      </w:pPr>
    </w:p>
    <w:p w14:paraId="2D85E905" w14:textId="77777777" w:rsidR="001608BA" w:rsidRPr="00F93FFA" w:rsidRDefault="00C3077F" w:rsidP="00DE16D0">
      <w:pPr>
        <w:widowControl w:val="0"/>
        <w:tabs>
          <w:tab w:val="left" w:pos="567"/>
        </w:tabs>
        <w:rPr>
          <w:snapToGrid w:val="0"/>
          <w:sz w:val="22"/>
        </w:rPr>
      </w:pPr>
      <w:r w:rsidRPr="00F93FFA">
        <w:rPr>
          <w:noProof/>
          <w:snapToGrid w:val="0"/>
          <w:sz w:val="22"/>
          <w:szCs w:val="20"/>
          <w:lang w:val="en-US"/>
        </w:rPr>
        <w:drawing>
          <wp:inline distT="0" distB="0" distL="0" distR="0" wp14:anchorId="7C77C77C" wp14:editId="1A2CDB75">
            <wp:extent cx="198120" cy="17272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1608BA" w:rsidRPr="00F93FFA">
        <w:rPr>
          <w:noProof/>
          <w:snapToGrid w:val="0"/>
          <w:sz w:val="22"/>
        </w:rPr>
        <w:t>Vykdoma papildoma šio vaisto stebėsena. Tai padės greitai nustatyti naują saugumo informaciją.</w:t>
      </w:r>
      <w:r w:rsidR="001608BA" w:rsidRPr="00F93FFA">
        <w:rPr>
          <w:snapToGrid w:val="0"/>
          <w:sz w:val="22"/>
        </w:rPr>
        <w:t xml:space="preserve"> </w:t>
      </w:r>
      <w:r w:rsidR="001608BA" w:rsidRPr="00F93FFA">
        <w:rPr>
          <w:noProof/>
          <w:snapToGrid w:val="0"/>
          <w:sz w:val="22"/>
        </w:rPr>
        <w:t>Mums galite padėti pranešdami apie bet kokį Jums pasireiškiantį šalutinį poveikį.</w:t>
      </w:r>
      <w:r w:rsidR="001608BA" w:rsidRPr="00F93FFA">
        <w:rPr>
          <w:snapToGrid w:val="0"/>
          <w:sz w:val="22"/>
        </w:rPr>
        <w:t xml:space="preserve"> </w:t>
      </w:r>
      <w:r w:rsidR="001608BA" w:rsidRPr="00F93FFA">
        <w:rPr>
          <w:noProof/>
          <w:snapToGrid w:val="0"/>
          <w:sz w:val="22"/>
        </w:rPr>
        <w:t>Apie tai, kaip pranešti apie šalutinį poveikį, žr.</w:t>
      </w:r>
      <w:r w:rsidR="001608BA" w:rsidRPr="00F93FFA">
        <w:rPr>
          <w:snapToGrid w:val="0"/>
          <w:sz w:val="22"/>
        </w:rPr>
        <w:t xml:space="preserve"> </w:t>
      </w:r>
      <w:r w:rsidR="001608BA" w:rsidRPr="00F93FFA">
        <w:rPr>
          <w:noProof/>
          <w:snapToGrid w:val="0"/>
          <w:sz w:val="22"/>
        </w:rPr>
        <w:t>4</w:t>
      </w:r>
      <w:r w:rsidR="00510466" w:rsidRPr="00F93FFA">
        <w:rPr>
          <w:noProof/>
          <w:snapToGrid w:val="0"/>
          <w:sz w:val="22"/>
        </w:rPr>
        <w:t> </w:t>
      </w:r>
      <w:r w:rsidR="001608BA" w:rsidRPr="00F93FFA">
        <w:rPr>
          <w:noProof/>
          <w:snapToGrid w:val="0"/>
          <w:sz w:val="22"/>
        </w:rPr>
        <w:t>skyriaus pabaigoje.</w:t>
      </w:r>
    </w:p>
    <w:p w14:paraId="0549433B" w14:textId="77777777" w:rsidR="003646A0" w:rsidRPr="00F93FFA" w:rsidRDefault="003646A0" w:rsidP="00DE16D0">
      <w:pPr>
        <w:widowControl w:val="0"/>
        <w:rPr>
          <w:color w:val="000000"/>
          <w:sz w:val="22"/>
          <w:szCs w:val="22"/>
        </w:rPr>
      </w:pPr>
    </w:p>
    <w:p w14:paraId="66A4DCD0" w14:textId="77777777" w:rsidR="003646A0" w:rsidRPr="00F93FFA" w:rsidRDefault="003646A0" w:rsidP="00DE16D0">
      <w:pPr>
        <w:widowControl w:val="0"/>
        <w:suppressAutoHyphens/>
        <w:rPr>
          <w:b/>
          <w:color w:val="000000"/>
          <w:sz w:val="22"/>
          <w:szCs w:val="22"/>
        </w:rPr>
      </w:pPr>
      <w:r w:rsidRPr="00F93FFA">
        <w:rPr>
          <w:b/>
          <w:noProof/>
          <w:sz w:val="22"/>
          <w:szCs w:val="22"/>
        </w:rPr>
        <w:t xml:space="preserve">Atidžiai perskaitykite visą šį lapelį, </w:t>
      </w:r>
      <w:r w:rsidRPr="00F93FFA">
        <w:rPr>
          <w:b/>
          <w:color w:val="000000"/>
          <w:sz w:val="22"/>
          <w:szCs w:val="22"/>
        </w:rPr>
        <w:t>prieš pradėdami vartoti vaistą</w:t>
      </w:r>
      <w:r w:rsidRPr="00F93FFA">
        <w:rPr>
          <w:b/>
          <w:sz w:val="22"/>
          <w:szCs w:val="22"/>
        </w:rPr>
        <w:t>, nes jame pateikiama Jums svarbi informacija</w:t>
      </w:r>
      <w:r w:rsidRPr="00F93FFA">
        <w:rPr>
          <w:b/>
          <w:color w:val="000000"/>
          <w:sz w:val="22"/>
          <w:szCs w:val="22"/>
        </w:rPr>
        <w:t>.</w:t>
      </w:r>
    </w:p>
    <w:p w14:paraId="5DB8021C" w14:textId="77777777"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Neišmeskite šio lapelio, nes vėl gali prireikti jį perskaityti.</w:t>
      </w:r>
    </w:p>
    <w:p w14:paraId="7735D13F" w14:textId="77777777" w:rsidR="003646A0" w:rsidRPr="00F93FFA" w:rsidRDefault="003646A0" w:rsidP="00DE16D0">
      <w:pPr>
        <w:widowControl w:val="0"/>
        <w:numPr>
          <w:ilvl w:val="0"/>
          <w:numId w:val="1"/>
        </w:numPr>
        <w:rPr>
          <w:color w:val="000000"/>
          <w:sz w:val="22"/>
          <w:szCs w:val="22"/>
        </w:rPr>
      </w:pPr>
      <w:r w:rsidRPr="00F93FFA">
        <w:rPr>
          <w:color w:val="000000"/>
          <w:sz w:val="22"/>
          <w:szCs w:val="22"/>
        </w:rPr>
        <w:t>Jeigu kiltų daugiau klausimų, kreipkitės į gydytoją, vaistininką</w:t>
      </w:r>
      <w:r w:rsidRPr="00F93FFA">
        <w:rPr>
          <w:sz w:val="22"/>
          <w:szCs w:val="22"/>
        </w:rPr>
        <w:t xml:space="preserve"> arba slaugytoją</w:t>
      </w:r>
      <w:r w:rsidRPr="00F93FFA">
        <w:rPr>
          <w:color w:val="000000"/>
          <w:sz w:val="22"/>
          <w:szCs w:val="22"/>
        </w:rPr>
        <w:t>.</w:t>
      </w:r>
    </w:p>
    <w:p w14:paraId="66A95F5C" w14:textId="77777777" w:rsidR="003646A0" w:rsidRPr="00F93FFA" w:rsidRDefault="003646A0" w:rsidP="00DE16D0">
      <w:pPr>
        <w:widowControl w:val="0"/>
        <w:numPr>
          <w:ilvl w:val="0"/>
          <w:numId w:val="1"/>
        </w:numPr>
        <w:tabs>
          <w:tab w:val="num" w:pos="540"/>
        </w:tabs>
        <w:ind w:left="540"/>
        <w:rPr>
          <w:color w:val="000000"/>
          <w:sz w:val="22"/>
          <w:szCs w:val="22"/>
        </w:rPr>
      </w:pPr>
      <w:r w:rsidRPr="00F93FFA">
        <w:rPr>
          <w:color w:val="000000"/>
          <w:sz w:val="22"/>
          <w:szCs w:val="22"/>
        </w:rPr>
        <w:t xml:space="preserve">Šis vaistas skirtas tik Jums, todėl kitiems žmonėms jo duoti negalima. Vaistas gali jiems pakenkti (net tiems, kurių ligos </w:t>
      </w:r>
      <w:r w:rsidRPr="00F93FFA">
        <w:rPr>
          <w:sz w:val="22"/>
          <w:szCs w:val="22"/>
        </w:rPr>
        <w:t xml:space="preserve">požymiai </w:t>
      </w:r>
      <w:r w:rsidRPr="00F93FFA">
        <w:rPr>
          <w:color w:val="000000"/>
          <w:sz w:val="22"/>
          <w:szCs w:val="22"/>
        </w:rPr>
        <w:t>yra tokie patys kaip Jūsų).</w:t>
      </w:r>
    </w:p>
    <w:p w14:paraId="0ABC47D5" w14:textId="77777777" w:rsidR="003646A0" w:rsidRPr="00F93FFA" w:rsidRDefault="003646A0" w:rsidP="00DE16D0">
      <w:pPr>
        <w:widowControl w:val="0"/>
        <w:numPr>
          <w:ilvl w:val="0"/>
          <w:numId w:val="1"/>
        </w:numPr>
        <w:tabs>
          <w:tab w:val="num" w:pos="540"/>
        </w:tabs>
        <w:ind w:left="540"/>
        <w:rPr>
          <w:color w:val="000000"/>
          <w:sz w:val="22"/>
          <w:szCs w:val="22"/>
        </w:rPr>
      </w:pPr>
      <w:r w:rsidRPr="00F93FFA">
        <w:rPr>
          <w:color w:val="000000"/>
          <w:sz w:val="22"/>
          <w:szCs w:val="22"/>
        </w:rPr>
        <w:t xml:space="preserve">Jeigu pasireiškė šalutinis poveikis </w:t>
      </w:r>
      <w:r w:rsidRPr="00F93FFA">
        <w:rPr>
          <w:sz w:val="22"/>
          <w:szCs w:val="22"/>
        </w:rPr>
        <w:t xml:space="preserve">(net jeigu jis šiame lapelyje nenurodytas), kreipkitės </w:t>
      </w:r>
      <w:r w:rsidRPr="00F93FFA">
        <w:rPr>
          <w:color w:val="000000"/>
          <w:sz w:val="22"/>
          <w:szCs w:val="22"/>
        </w:rPr>
        <w:t xml:space="preserve">į gydytoją, vaistininką arba </w:t>
      </w:r>
      <w:r w:rsidRPr="00F93FFA">
        <w:rPr>
          <w:sz w:val="22"/>
          <w:szCs w:val="22"/>
        </w:rPr>
        <w:t>slaugytoją</w:t>
      </w:r>
      <w:r w:rsidRPr="00F93FFA">
        <w:rPr>
          <w:color w:val="000000"/>
          <w:sz w:val="22"/>
          <w:szCs w:val="22"/>
        </w:rPr>
        <w:t>.</w:t>
      </w:r>
      <w:r w:rsidR="002A6D9B" w:rsidRPr="00F93FFA">
        <w:rPr>
          <w:color w:val="000000"/>
          <w:sz w:val="22"/>
          <w:szCs w:val="22"/>
        </w:rPr>
        <w:t xml:space="preserve"> Žr. 4</w:t>
      </w:r>
      <w:r w:rsidR="00510466" w:rsidRPr="00F93FFA">
        <w:rPr>
          <w:color w:val="000000"/>
          <w:sz w:val="22"/>
          <w:szCs w:val="22"/>
        </w:rPr>
        <w:t> </w:t>
      </w:r>
      <w:r w:rsidR="002A6D9B" w:rsidRPr="00F93FFA">
        <w:rPr>
          <w:color w:val="000000"/>
          <w:sz w:val="22"/>
          <w:szCs w:val="22"/>
        </w:rPr>
        <w:t>skyrių.</w:t>
      </w:r>
    </w:p>
    <w:p w14:paraId="741C7012" w14:textId="77777777" w:rsidR="003646A0" w:rsidRPr="00F93FFA" w:rsidRDefault="003646A0" w:rsidP="00DE16D0">
      <w:pPr>
        <w:widowControl w:val="0"/>
        <w:rPr>
          <w:color w:val="000000"/>
          <w:sz w:val="22"/>
          <w:szCs w:val="22"/>
        </w:rPr>
      </w:pPr>
    </w:p>
    <w:p w14:paraId="02045D80" w14:textId="77777777" w:rsidR="003646A0" w:rsidRPr="00F93FFA" w:rsidRDefault="003646A0" w:rsidP="00DE16D0">
      <w:pPr>
        <w:widowControl w:val="0"/>
        <w:ind w:left="567" w:hanging="567"/>
        <w:rPr>
          <w:color w:val="000000"/>
          <w:sz w:val="22"/>
          <w:szCs w:val="22"/>
        </w:rPr>
      </w:pPr>
    </w:p>
    <w:p w14:paraId="7C83ADD2" w14:textId="77777777" w:rsidR="003646A0" w:rsidRPr="00F93FFA" w:rsidRDefault="003646A0" w:rsidP="009A4400">
      <w:pPr>
        <w:keepNext/>
        <w:widowControl w:val="0"/>
        <w:ind w:left="567" w:hanging="567"/>
        <w:rPr>
          <w:b/>
          <w:color w:val="000000"/>
          <w:sz w:val="22"/>
          <w:szCs w:val="22"/>
        </w:rPr>
      </w:pPr>
      <w:r w:rsidRPr="00F93FFA">
        <w:rPr>
          <w:b/>
          <w:sz w:val="22"/>
          <w:szCs w:val="22"/>
        </w:rPr>
        <w:t>Apie ką rašoma šiame lapelyje?</w:t>
      </w:r>
    </w:p>
    <w:p w14:paraId="62B04594"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1.</w:t>
      </w:r>
      <w:r w:rsidRPr="00F93FFA">
        <w:rPr>
          <w:color w:val="000000"/>
          <w:sz w:val="22"/>
          <w:szCs w:val="22"/>
        </w:rPr>
        <w:tab/>
        <w:t>Kas yra Glivec ir kam jis vartojamas</w:t>
      </w:r>
    </w:p>
    <w:p w14:paraId="1F6A2C17"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2.</w:t>
      </w:r>
      <w:r w:rsidRPr="00F93FFA">
        <w:rPr>
          <w:color w:val="000000"/>
          <w:sz w:val="22"/>
          <w:szCs w:val="22"/>
        </w:rPr>
        <w:tab/>
        <w:t>Kas žinotina prieš vartojant Glivec</w:t>
      </w:r>
    </w:p>
    <w:p w14:paraId="472A225B"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3.</w:t>
      </w:r>
      <w:r w:rsidRPr="00F93FFA">
        <w:rPr>
          <w:color w:val="000000"/>
          <w:sz w:val="22"/>
          <w:szCs w:val="22"/>
        </w:rPr>
        <w:tab/>
        <w:t>Kaip vartoti Glivec</w:t>
      </w:r>
    </w:p>
    <w:p w14:paraId="3674D925"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4.</w:t>
      </w:r>
      <w:r w:rsidRPr="00F93FFA">
        <w:rPr>
          <w:color w:val="000000"/>
          <w:sz w:val="22"/>
          <w:szCs w:val="22"/>
        </w:rPr>
        <w:tab/>
        <w:t>Galimas šalutinis poveikis</w:t>
      </w:r>
    </w:p>
    <w:p w14:paraId="3BBB4359" w14:textId="77777777" w:rsidR="003646A0" w:rsidRPr="00F93FFA" w:rsidRDefault="003646A0" w:rsidP="009A4400">
      <w:pPr>
        <w:keepNext/>
        <w:widowControl w:val="0"/>
        <w:ind w:left="567" w:hanging="567"/>
        <w:rPr>
          <w:color w:val="000000"/>
          <w:sz w:val="22"/>
          <w:szCs w:val="22"/>
        </w:rPr>
      </w:pPr>
      <w:r w:rsidRPr="00F93FFA">
        <w:rPr>
          <w:color w:val="000000"/>
          <w:sz w:val="22"/>
          <w:szCs w:val="22"/>
        </w:rPr>
        <w:t>5.</w:t>
      </w:r>
      <w:r w:rsidRPr="00F93FFA">
        <w:rPr>
          <w:color w:val="000000"/>
          <w:sz w:val="22"/>
          <w:szCs w:val="22"/>
        </w:rPr>
        <w:tab/>
        <w:t>Kaip laikyti Glivec</w:t>
      </w:r>
    </w:p>
    <w:p w14:paraId="1A137E2F" w14:textId="77777777" w:rsidR="003646A0" w:rsidRPr="00F93FFA" w:rsidRDefault="003646A0" w:rsidP="00DE16D0">
      <w:pPr>
        <w:widowControl w:val="0"/>
        <w:ind w:left="567" w:hanging="567"/>
        <w:rPr>
          <w:color w:val="000000"/>
          <w:sz w:val="22"/>
          <w:szCs w:val="22"/>
        </w:rPr>
      </w:pPr>
      <w:r w:rsidRPr="00F93FFA">
        <w:rPr>
          <w:color w:val="000000"/>
          <w:sz w:val="22"/>
          <w:szCs w:val="22"/>
        </w:rPr>
        <w:t>6.</w:t>
      </w:r>
      <w:r w:rsidRPr="00F93FFA">
        <w:rPr>
          <w:color w:val="000000"/>
          <w:sz w:val="22"/>
          <w:szCs w:val="22"/>
        </w:rPr>
        <w:tab/>
      </w:r>
      <w:r w:rsidRPr="00F93FFA">
        <w:rPr>
          <w:sz w:val="22"/>
          <w:szCs w:val="22"/>
        </w:rPr>
        <w:t xml:space="preserve">Pakuotės turinys ir </w:t>
      </w:r>
      <w:r w:rsidRPr="00F93FFA">
        <w:rPr>
          <w:color w:val="000000"/>
          <w:sz w:val="22"/>
          <w:szCs w:val="22"/>
        </w:rPr>
        <w:t>kita informacija</w:t>
      </w:r>
    </w:p>
    <w:p w14:paraId="78DC842C" w14:textId="77777777" w:rsidR="003646A0" w:rsidRPr="00F93FFA" w:rsidRDefault="003646A0" w:rsidP="00DE16D0">
      <w:pPr>
        <w:widowControl w:val="0"/>
        <w:rPr>
          <w:color w:val="000000"/>
          <w:sz w:val="22"/>
          <w:szCs w:val="22"/>
        </w:rPr>
      </w:pPr>
    </w:p>
    <w:p w14:paraId="3EC7878B" w14:textId="77777777" w:rsidR="003646A0" w:rsidRPr="00F93FFA" w:rsidRDefault="003646A0" w:rsidP="00DE16D0">
      <w:pPr>
        <w:widowControl w:val="0"/>
        <w:ind w:left="567" w:hanging="567"/>
        <w:rPr>
          <w:color w:val="000000"/>
          <w:sz w:val="22"/>
          <w:szCs w:val="22"/>
        </w:rPr>
      </w:pPr>
    </w:p>
    <w:p w14:paraId="07A7A735"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1.</w:t>
      </w:r>
      <w:r w:rsidRPr="00F93FFA">
        <w:rPr>
          <w:b/>
          <w:color w:val="000000"/>
          <w:sz w:val="22"/>
          <w:szCs w:val="22"/>
        </w:rPr>
        <w:tab/>
      </w:r>
      <w:r w:rsidRPr="00F93FFA">
        <w:rPr>
          <w:b/>
          <w:sz w:val="22"/>
          <w:szCs w:val="22"/>
        </w:rPr>
        <w:t xml:space="preserve">Kas yra </w:t>
      </w:r>
      <w:r w:rsidRPr="00F93FFA">
        <w:rPr>
          <w:b/>
          <w:caps/>
          <w:color w:val="000000"/>
          <w:sz w:val="22"/>
          <w:szCs w:val="22"/>
        </w:rPr>
        <w:t>G</w:t>
      </w:r>
      <w:r w:rsidRPr="00F93FFA">
        <w:rPr>
          <w:b/>
          <w:color w:val="000000"/>
          <w:sz w:val="22"/>
          <w:szCs w:val="22"/>
        </w:rPr>
        <w:t xml:space="preserve">livec </w:t>
      </w:r>
      <w:r w:rsidRPr="00F93FFA">
        <w:rPr>
          <w:b/>
          <w:sz w:val="22"/>
          <w:szCs w:val="22"/>
        </w:rPr>
        <w:t>ir kam jis vartojamas</w:t>
      </w:r>
    </w:p>
    <w:p w14:paraId="45C64936" w14:textId="77777777" w:rsidR="003646A0" w:rsidRPr="00F93FFA" w:rsidRDefault="003646A0" w:rsidP="009A4400">
      <w:pPr>
        <w:keepNext/>
        <w:widowControl w:val="0"/>
        <w:rPr>
          <w:color w:val="000000"/>
          <w:sz w:val="22"/>
          <w:szCs w:val="22"/>
        </w:rPr>
      </w:pPr>
    </w:p>
    <w:p w14:paraId="62F375DB" w14:textId="7E8450E5" w:rsidR="003646A0" w:rsidRPr="00F93FFA" w:rsidRDefault="003646A0" w:rsidP="00DE16D0">
      <w:pPr>
        <w:widowControl w:val="0"/>
        <w:rPr>
          <w:color w:val="000000"/>
          <w:sz w:val="22"/>
          <w:szCs w:val="22"/>
        </w:rPr>
      </w:pPr>
      <w:r w:rsidRPr="00F93FFA">
        <w:rPr>
          <w:color w:val="000000"/>
          <w:sz w:val="22"/>
          <w:szCs w:val="22"/>
        </w:rPr>
        <w:t xml:space="preserve">Glivec yra </w:t>
      </w:r>
      <w:r w:rsidR="00A61375" w:rsidRPr="00F93FFA">
        <w:rPr>
          <w:color w:val="000000"/>
          <w:sz w:val="22"/>
          <w:szCs w:val="22"/>
        </w:rPr>
        <w:t>vaistas</w:t>
      </w:r>
      <w:r w:rsidRPr="00F93FFA">
        <w:rPr>
          <w:color w:val="000000"/>
          <w:sz w:val="22"/>
          <w:szCs w:val="22"/>
        </w:rPr>
        <w:t xml:space="preserve">, kurio sudėtyje yra veikliosios medžiagos imatinibo. Šis </w:t>
      </w:r>
      <w:r w:rsidR="00A61375" w:rsidRPr="00F93FFA">
        <w:rPr>
          <w:color w:val="000000"/>
          <w:sz w:val="22"/>
          <w:szCs w:val="22"/>
        </w:rPr>
        <w:t>vaistas</w:t>
      </w:r>
      <w:r w:rsidRPr="00F93FFA">
        <w:rPr>
          <w:color w:val="000000"/>
          <w:sz w:val="22"/>
          <w:szCs w:val="22"/>
        </w:rPr>
        <w:t xml:space="preserve"> veikia slopindamas nenormalių ląstelių augimą, sergant toliau išvardytomis ligomis. Jos apima ir kai kurių tipų vėžinius susirgimus.</w:t>
      </w:r>
    </w:p>
    <w:p w14:paraId="30FD3936" w14:textId="77777777" w:rsidR="003646A0" w:rsidRPr="00F93FFA" w:rsidRDefault="003646A0" w:rsidP="00DE16D0">
      <w:pPr>
        <w:widowControl w:val="0"/>
        <w:rPr>
          <w:color w:val="000000"/>
          <w:sz w:val="22"/>
          <w:szCs w:val="22"/>
        </w:rPr>
      </w:pPr>
    </w:p>
    <w:p w14:paraId="7D88A09C" w14:textId="77777777" w:rsidR="003646A0" w:rsidRPr="00F93FFA" w:rsidRDefault="003646A0" w:rsidP="009A4400">
      <w:pPr>
        <w:keepNext/>
        <w:widowControl w:val="0"/>
        <w:rPr>
          <w:b/>
          <w:color w:val="000000"/>
          <w:sz w:val="22"/>
          <w:szCs w:val="22"/>
        </w:rPr>
      </w:pPr>
      <w:r w:rsidRPr="00F93FFA">
        <w:rPr>
          <w:b/>
          <w:color w:val="000000"/>
          <w:sz w:val="22"/>
          <w:szCs w:val="22"/>
        </w:rPr>
        <w:t>Glivec vartojama gydyti suaugusiųjų ir vaikų:</w:t>
      </w:r>
    </w:p>
    <w:p w14:paraId="7D867242" w14:textId="77777777" w:rsidR="003646A0" w:rsidRPr="00F93FFA" w:rsidRDefault="003646A0" w:rsidP="009A4400">
      <w:pPr>
        <w:keepNext/>
        <w:widowControl w:val="0"/>
        <w:rPr>
          <w:color w:val="000000"/>
          <w:sz w:val="22"/>
          <w:szCs w:val="22"/>
        </w:rPr>
      </w:pPr>
    </w:p>
    <w:p w14:paraId="29DA5C44" w14:textId="77777777" w:rsidR="003646A0" w:rsidRPr="00F93FFA" w:rsidRDefault="003646A0" w:rsidP="00DE16D0">
      <w:pPr>
        <w:widowControl w:val="0"/>
        <w:numPr>
          <w:ilvl w:val="0"/>
          <w:numId w:val="14"/>
        </w:numPr>
        <w:tabs>
          <w:tab w:val="clear" w:pos="360"/>
        </w:tabs>
        <w:ind w:left="540" w:hanging="540"/>
        <w:rPr>
          <w:color w:val="000000"/>
          <w:sz w:val="22"/>
          <w:szCs w:val="22"/>
        </w:rPr>
      </w:pPr>
      <w:r w:rsidRPr="00F93FFA">
        <w:rPr>
          <w:b/>
          <w:color w:val="000000"/>
          <w:sz w:val="22"/>
          <w:szCs w:val="22"/>
        </w:rPr>
        <w:t>Lėtinę mieloleukemiją (LML).</w:t>
      </w:r>
      <w:r w:rsidRPr="00F93FFA">
        <w:rPr>
          <w:color w:val="000000"/>
          <w:sz w:val="22"/>
          <w:szCs w:val="22"/>
        </w:rPr>
        <w:t xml:space="preserve"> Leukemija – tai baltųjų kraujo kūnelių vėžys. Paprastai šios baltosios ląstelės padeda organizmui kovoti su infekcija. Lėtinė mieloleukemija yra tokia leukemijos forma, kai dažniausiai nenormalios ląstelės (vadinamos mieloidinėmis ląstelėmis), pradeda nekontroliuojamai augti.</w:t>
      </w:r>
    </w:p>
    <w:p w14:paraId="39127425" w14:textId="77777777" w:rsidR="003646A0" w:rsidRPr="00F93FFA" w:rsidRDefault="003646A0" w:rsidP="00DE16D0">
      <w:pPr>
        <w:pStyle w:val="Text"/>
        <w:widowControl w:val="0"/>
        <w:numPr>
          <w:ilvl w:val="0"/>
          <w:numId w:val="14"/>
        </w:numPr>
        <w:tabs>
          <w:tab w:val="clear" w:pos="360"/>
        </w:tabs>
        <w:spacing w:before="0"/>
        <w:ind w:left="540" w:hanging="540"/>
        <w:jc w:val="left"/>
        <w:rPr>
          <w:color w:val="000000"/>
          <w:sz w:val="22"/>
          <w:szCs w:val="22"/>
          <w:lang w:val="lt-LT"/>
        </w:rPr>
      </w:pPr>
      <w:r w:rsidRPr="00F93FFA">
        <w:rPr>
          <w:b/>
          <w:i/>
          <w:color w:val="000000"/>
          <w:sz w:val="22"/>
          <w:szCs w:val="22"/>
          <w:lang w:val="lt-LT"/>
        </w:rPr>
        <w:t>Philadelphia</w:t>
      </w:r>
      <w:r w:rsidRPr="00F93FFA">
        <w:rPr>
          <w:b/>
          <w:color w:val="000000"/>
          <w:sz w:val="22"/>
          <w:szCs w:val="22"/>
          <w:lang w:val="lt-LT"/>
        </w:rPr>
        <w:t xml:space="preserve"> chromosomai teigiamai ūminei limfoleukemijai (Ph teigiama ŪLL) gydyti.</w:t>
      </w:r>
      <w:r w:rsidRPr="00F93FFA">
        <w:rPr>
          <w:color w:val="000000"/>
          <w:sz w:val="22"/>
          <w:szCs w:val="22"/>
          <w:lang w:val="lt-LT"/>
        </w:rPr>
        <w:t xml:space="preserve"> Leukemija – tai baltųjų kraujo kūnelių vėžys. Paprastai šios baltosios ląstelės padeda organizmui kovoti su infekcija. Ūminė limfoleukemija yra tokia leukemijos forma, kai tam tikros nenormalios ląstelės (vadinamos limfoblastais) pradeda nekontroliuojamai augti. Glivec slopina šių ląstelių augimą.</w:t>
      </w:r>
    </w:p>
    <w:p w14:paraId="13FE884F" w14:textId="77777777" w:rsidR="003646A0" w:rsidRPr="00F93FFA" w:rsidRDefault="003646A0" w:rsidP="00DE16D0">
      <w:pPr>
        <w:widowControl w:val="0"/>
        <w:rPr>
          <w:color w:val="000000"/>
          <w:sz w:val="22"/>
          <w:szCs w:val="22"/>
        </w:rPr>
      </w:pPr>
    </w:p>
    <w:p w14:paraId="26C00283" w14:textId="77777777" w:rsidR="003646A0" w:rsidRPr="00F93FFA" w:rsidRDefault="003646A0" w:rsidP="009A4400">
      <w:pPr>
        <w:keepNext/>
        <w:widowControl w:val="0"/>
        <w:rPr>
          <w:b/>
          <w:color w:val="000000"/>
          <w:sz w:val="22"/>
          <w:szCs w:val="22"/>
        </w:rPr>
      </w:pPr>
      <w:r w:rsidRPr="00F93FFA">
        <w:rPr>
          <w:b/>
          <w:color w:val="000000"/>
          <w:sz w:val="22"/>
          <w:szCs w:val="22"/>
        </w:rPr>
        <w:t>Glivec taip pat vartojama gydyti suaugusiųjų:</w:t>
      </w:r>
    </w:p>
    <w:p w14:paraId="2F2D1DD4" w14:textId="77777777" w:rsidR="003646A0" w:rsidRPr="00F93FFA" w:rsidRDefault="003646A0" w:rsidP="009A4400">
      <w:pPr>
        <w:pStyle w:val="Text"/>
        <w:keepNext/>
        <w:widowControl w:val="0"/>
        <w:spacing w:before="0"/>
        <w:jc w:val="left"/>
        <w:rPr>
          <w:i/>
          <w:color w:val="000000"/>
          <w:sz w:val="22"/>
          <w:szCs w:val="22"/>
          <w:lang w:val="lt-LT"/>
        </w:rPr>
      </w:pPr>
    </w:p>
    <w:p w14:paraId="70DE175E" w14:textId="77777777" w:rsidR="003646A0" w:rsidRPr="00F93FFA" w:rsidRDefault="003646A0" w:rsidP="00DE16D0">
      <w:pPr>
        <w:pStyle w:val="Listlevel1"/>
        <w:widowControl w:val="0"/>
        <w:numPr>
          <w:ilvl w:val="0"/>
          <w:numId w:val="14"/>
        </w:numPr>
        <w:tabs>
          <w:tab w:val="clear" w:pos="360"/>
        </w:tabs>
        <w:spacing w:before="0" w:after="0"/>
        <w:ind w:left="540" w:hanging="540"/>
        <w:rPr>
          <w:color w:val="000000"/>
          <w:sz w:val="22"/>
          <w:szCs w:val="22"/>
          <w:lang w:val="lt-LT"/>
        </w:rPr>
      </w:pPr>
      <w:r w:rsidRPr="00F93FFA">
        <w:rPr>
          <w:b/>
          <w:color w:val="000000"/>
          <w:sz w:val="22"/>
          <w:szCs w:val="22"/>
          <w:lang w:val="lt-LT"/>
        </w:rPr>
        <w:t>Mielodisplazinėms ar mieloproliferacinėms ligoms (MDS/MPL) gydyti.</w:t>
      </w:r>
      <w:r w:rsidRPr="00F93FFA">
        <w:rPr>
          <w:color w:val="000000"/>
          <w:sz w:val="22"/>
          <w:szCs w:val="22"/>
          <w:lang w:val="lt-LT"/>
        </w:rPr>
        <w:t xml:space="preserve"> Tai kraujo ligos, kurių metu kai kurios kraujo ląstelės pradeda daugintis nekontroliuojamos. Glivec slopina šių ląstelių augimą, sergant tam tikrais šių ligų potipiais.</w:t>
      </w:r>
    </w:p>
    <w:p w14:paraId="13336AAF" w14:textId="77777777" w:rsidR="003646A0" w:rsidRPr="00F93FFA" w:rsidRDefault="003646A0" w:rsidP="00DE16D0">
      <w:pPr>
        <w:pStyle w:val="Listlevel1"/>
        <w:widowControl w:val="0"/>
        <w:numPr>
          <w:ilvl w:val="0"/>
          <w:numId w:val="14"/>
        </w:numPr>
        <w:tabs>
          <w:tab w:val="clear" w:pos="360"/>
          <w:tab w:val="num" w:pos="-1980"/>
        </w:tabs>
        <w:spacing w:before="0" w:after="0"/>
        <w:ind w:left="540" w:hanging="540"/>
        <w:rPr>
          <w:color w:val="000000"/>
          <w:sz w:val="22"/>
          <w:szCs w:val="22"/>
          <w:lang w:val="lt-LT"/>
        </w:rPr>
      </w:pPr>
      <w:r w:rsidRPr="00F93FFA">
        <w:rPr>
          <w:b/>
          <w:color w:val="000000"/>
          <w:sz w:val="22"/>
          <w:szCs w:val="22"/>
          <w:lang w:val="lt-LT"/>
        </w:rPr>
        <w:t>Hipereozinofilijos sindromui (HES) ir (arba) lėtinei eozinofilinei leukemijai (LEL) gydyti.</w:t>
      </w:r>
      <w:r w:rsidRPr="00F93FFA">
        <w:rPr>
          <w:color w:val="000000"/>
          <w:sz w:val="22"/>
          <w:szCs w:val="22"/>
          <w:lang w:val="lt-LT"/>
        </w:rPr>
        <w:t xml:space="preserve"> Tai yra kraujo ligos, kurių metu kai kurios kraujo ląstelės (vadinamos eozinofilais) pradeda daugintis nekontroliuojamos. Glivec slopina šių ląstelių augimą, sergant tam tikrais šių ligų potipiais.</w:t>
      </w:r>
    </w:p>
    <w:p w14:paraId="36908707" w14:textId="77777777" w:rsidR="003646A0" w:rsidRPr="00F93FFA" w:rsidRDefault="003646A0" w:rsidP="00DE16D0">
      <w:pPr>
        <w:widowControl w:val="0"/>
        <w:numPr>
          <w:ilvl w:val="0"/>
          <w:numId w:val="14"/>
        </w:numPr>
        <w:tabs>
          <w:tab w:val="clear" w:pos="360"/>
        </w:tabs>
        <w:ind w:left="540" w:hanging="540"/>
        <w:rPr>
          <w:color w:val="000000"/>
          <w:sz w:val="22"/>
          <w:szCs w:val="22"/>
        </w:rPr>
      </w:pPr>
      <w:r w:rsidRPr="00F93FFA">
        <w:rPr>
          <w:b/>
          <w:color w:val="000000"/>
          <w:sz w:val="22"/>
          <w:szCs w:val="22"/>
        </w:rPr>
        <w:t>Virškinimo trakto stromos naviką (VTSN).</w:t>
      </w:r>
      <w:r w:rsidRPr="00F93FFA">
        <w:rPr>
          <w:color w:val="000000"/>
          <w:sz w:val="22"/>
          <w:szCs w:val="22"/>
        </w:rPr>
        <w:t xml:space="preserve"> VTSN – tai skrandžio ir žarnyno vėžys. Jis </w:t>
      </w:r>
      <w:r w:rsidRPr="00F93FFA">
        <w:rPr>
          <w:color w:val="000000"/>
          <w:sz w:val="22"/>
          <w:szCs w:val="22"/>
        </w:rPr>
        <w:lastRenderedPageBreak/>
        <w:t>atsiranda dėl nekontroliuojamo šių organų pagalbinio audinio ląstelių augimo.</w:t>
      </w:r>
    </w:p>
    <w:p w14:paraId="6198EE02" w14:textId="77777777" w:rsidR="003646A0" w:rsidRPr="00F93FFA" w:rsidRDefault="003646A0" w:rsidP="00DE16D0">
      <w:pPr>
        <w:pStyle w:val="Text"/>
        <w:widowControl w:val="0"/>
        <w:numPr>
          <w:ilvl w:val="0"/>
          <w:numId w:val="14"/>
        </w:numPr>
        <w:tabs>
          <w:tab w:val="clear" w:pos="360"/>
        </w:tabs>
        <w:spacing w:before="0"/>
        <w:ind w:left="540" w:hanging="540"/>
        <w:jc w:val="left"/>
        <w:rPr>
          <w:color w:val="000000"/>
          <w:sz w:val="22"/>
          <w:szCs w:val="22"/>
          <w:lang w:val="lt-LT"/>
        </w:rPr>
      </w:pPr>
      <w:r w:rsidRPr="00F93FFA">
        <w:rPr>
          <w:b/>
          <w:snapToGrid w:val="0"/>
          <w:color w:val="000000"/>
          <w:sz w:val="22"/>
          <w:szCs w:val="22"/>
          <w:lang w:val="lt-LT" w:eastAsia="de-DE"/>
        </w:rPr>
        <w:t>Iškiliajai dermatofibrosarkomai</w:t>
      </w:r>
      <w:r w:rsidRPr="00F93FFA">
        <w:rPr>
          <w:i/>
          <w:color w:val="000000"/>
          <w:sz w:val="22"/>
          <w:szCs w:val="22"/>
          <w:lang w:val="lt-LT"/>
        </w:rPr>
        <w:t xml:space="preserve"> (dermatofibrosarcoma protuberans</w:t>
      </w:r>
      <w:r w:rsidRPr="00F93FFA">
        <w:rPr>
          <w:color w:val="000000"/>
          <w:sz w:val="22"/>
          <w:szCs w:val="22"/>
          <w:lang w:val="lt-LT"/>
        </w:rPr>
        <w:t xml:space="preserve"> - </w:t>
      </w:r>
      <w:r w:rsidRPr="00F93FFA">
        <w:rPr>
          <w:b/>
          <w:color w:val="000000"/>
          <w:sz w:val="22"/>
          <w:szCs w:val="22"/>
          <w:lang w:val="lt-LT"/>
        </w:rPr>
        <w:t>DFSP</w:t>
      </w:r>
      <w:r w:rsidRPr="00F93FFA">
        <w:rPr>
          <w:color w:val="000000"/>
          <w:sz w:val="22"/>
          <w:szCs w:val="22"/>
          <w:lang w:val="lt-LT"/>
        </w:rPr>
        <w:t>) gydyti. DFSP - tai po oda esančio audinio vėžys, kurio metu kai kurios ląstelės pradeda nekontroliuojamai augti. Glivec slopina šių ląstelių augimą.</w:t>
      </w:r>
    </w:p>
    <w:p w14:paraId="42EFB418" w14:textId="77777777" w:rsidR="003646A0" w:rsidRPr="00F93FFA" w:rsidRDefault="003646A0" w:rsidP="00DE16D0">
      <w:pPr>
        <w:widowControl w:val="0"/>
        <w:rPr>
          <w:color w:val="000000"/>
          <w:sz w:val="22"/>
          <w:szCs w:val="22"/>
        </w:rPr>
      </w:pPr>
      <w:r w:rsidRPr="00F93FFA">
        <w:rPr>
          <w:color w:val="000000"/>
          <w:sz w:val="22"/>
          <w:szCs w:val="22"/>
        </w:rPr>
        <w:t>Toliau šiame lapelyje apibūdinant minėtas ligas bus naudojamos nurodytos santrumpos.</w:t>
      </w:r>
    </w:p>
    <w:p w14:paraId="00DCCFBE" w14:textId="77777777" w:rsidR="003646A0" w:rsidRPr="00F93FFA" w:rsidRDefault="003646A0" w:rsidP="00DE16D0">
      <w:pPr>
        <w:widowControl w:val="0"/>
        <w:rPr>
          <w:color w:val="000000"/>
          <w:sz w:val="22"/>
          <w:szCs w:val="22"/>
        </w:rPr>
      </w:pPr>
    </w:p>
    <w:p w14:paraId="321A6964" w14:textId="77777777" w:rsidR="003646A0" w:rsidRPr="00F93FFA" w:rsidRDefault="003646A0" w:rsidP="00DE16D0">
      <w:pPr>
        <w:widowControl w:val="0"/>
        <w:rPr>
          <w:color w:val="000000"/>
          <w:sz w:val="22"/>
          <w:szCs w:val="22"/>
        </w:rPr>
      </w:pPr>
      <w:r w:rsidRPr="00F93FFA">
        <w:rPr>
          <w:color w:val="000000"/>
          <w:sz w:val="22"/>
          <w:szCs w:val="22"/>
        </w:rPr>
        <w:t>Jei Jums kiltų kokių nors klausimų apie Glivec veikimą arba kodėl Jums jį paskyrė, klauskite gydytojo.</w:t>
      </w:r>
    </w:p>
    <w:p w14:paraId="3A49F21A" w14:textId="77777777" w:rsidR="003646A0" w:rsidRPr="00F93FFA" w:rsidRDefault="003646A0" w:rsidP="00DE16D0">
      <w:pPr>
        <w:widowControl w:val="0"/>
        <w:rPr>
          <w:color w:val="000000"/>
          <w:sz w:val="22"/>
          <w:szCs w:val="22"/>
        </w:rPr>
      </w:pPr>
    </w:p>
    <w:p w14:paraId="41D9AD71" w14:textId="77777777" w:rsidR="003646A0" w:rsidRPr="00F93FFA" w:rsidRDefault="003646A0" w:rsidP="00DE16D0">
      <w:pPr>
        <w:widowControl w:val="0"/>
        <w:ind w:left="567" w:hanging="567"/>
        <w:rPr>
          <w:color w:val="000000"/>
          <w:sz w:val="22"/>
          <w:szCs w:val="22"/>
        </w:rPr>
      </w:pPr>
    </w:p>
    <w:p w14:paraId="56DFB00D"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2.</w:t>
      </w:r>
      <w:r w:rsidRPr="00F93FFA">
        <w:rPr>
          <w:b/>
          <w:color w:val="000000"/>
          <w:sz w:val="22"/>
          <w:szCs w:val="22"/>
        </w:rPr>
        <w:tab/>
      </w:r>
      <w:r w:rsidRPr="00F93FFA">
        <w:rPr>
          <w:b/>
          <w:sz w:val="22"/>
          <w:szCs w:val="22"/>
        </w:rPr>
        <w:t xml:space="preserve">Kas žinotina prieš vartojant </w:t>
      </w:r>
      <w:r w:rsidRPr="00F93FFA">
        <w:rPr>
          <w:b/>
          <w:caps/>
          <w:color w:val="000000"/>
          <w:sz w:val="22"/>
          <w:szCs w:val="22"/>
        </w:rPr>
        <w:t>G</w:t>
      </w:r>
      <w:r w:rsidRPr="00F93FFA">
        <w:rPr>
          <w:b/>
          <w:color w:val="000000"/>
          <w:sz w:val="22"/>
          <w:szCs w:val="22"/>
        </w:rPr>
        <w:t>livec</w:t>
      </w:r>
    </w:p>
    <w:p w14:paraId="5E71C10E" w14:textId="77777777" w:rsidR="003646A0" w:rsidRPr="00F93FFA" w:rsidRDefault="003646A0" w:rsidP="009A4400">
      <w:pPr>
        <w:keepNext/>
        <w:widowControl w:val="0"/>
        <w:ind w:left="567" w:hanging="567"/>
        <w:rPr>
          <w:color w:val="000000"/>
          <w:sz w:val="22"/>
          <w:szCs w:val="22"/>
        </w:rPr>
      </w:pPr>
    </w:p>
    <w:p w14:paraId="4D082A39" w14:textId="77777777" w:rsidR="003646A0" w:rsidRPr="00F93FFA" w:rsidRDefault="003646A0" w:rsidP="00DE16D0">
      <w:pPr>
        <w:widowControl w:val="0"/>
        <w:rPr>
          <w:color w:val="000000"/>
          <w:sz w:val="22"/>
          <w:szCs w:val="22"/>
        </w:rPr>
      </w:pPr>
      <w:r w:rsidRPr="00F93FFA">
        <w:rPr>
          <w:color w:val="000000"/>
          <w:sz w:val="22"/>
          <w:szCs w:val="22"/>
        </w:rPr>
        <w:t>Glivec Jums paskirs tik gydytojas, turintis kraujo vėžių arba solidinių navikų gydymo vaistais patirties.</w:t>
      </w:r>
    </w:p>
    <w:p w14:paraId="4D48BB60" w14:textId="77777777" w:rsidR="003646A0" w:rsidRPr="00F93FFA" w:rsidRDefault="003646A0" w:rsidP="00DE16D0">
      <w:pPr>
        <w:widowControl w:val="0"/>
        <w:rPr>
          <w:color w:val="000000"/>
          <w:sz w:val="22"/>
          <w:szCs w:val="22"/>
        </w:rPr>
      </w:pPr>
    </w:p>
    <w:p w14:paraId="7A493693" w14:textId="77777777" w:rsidR="003646A0" w:rsidRPr="00F93FFA" w:rsidRDefault="003646A0" w:rsidP="00DE16D0">
      <w:pPr>
        <w:widowControl w:val="0"/>
        <w:rPr>
          <w:color w:val="000000"/>
          <w:sz w:val="22"/>
          <w:szCs w:val="22"/>
        </w:rPr>
      </w:pPr>
      <w:r w:rsidRPr="00F93FFA">
        <w:rPr>
          <w:color w:val="000000"/>
          <w:sz w:val="22"/>
          <w:szCs w:val="22"/>
        </w:rPr>
        <w:t>Tiksliai laikykitės visų gydytojo nurodymų, net jei jie skiriasi nuo bendrosios šiame lapelyje esančios informacijos.</w:t>
      </w:r>
    </w:p>
    <w:p w14:paraId="65BFAA66" w14:textId="77777777" w:rsidR="003646A0" w:rsidRPr="00F93FFA" w:rsidRDefault="003646A0" w:rsidP="00DE16D0">
      <w:pPr>
        <w:widowControl w:val="0"/>
        <w:ind w:left="567" w:hanging="567"/>
        <w:rPr>
          <w:color w:val="000000"/>
          <w:sz w:val="22"/>
          <w:szCs w:val="22"/>
        </w:rPr>
      </w:pPr>
    </w:p>
    <w:p w14:paraId="04F8F4C8" w14:textId="77777777" w:rsidR="003646A0" w:rsidRPr="00F93FFA" w:rsidRDefault="003646A0" w:rsidP="009A4400">
      <w:pPr>
        <w:keepNext/>
        <w:widowControl w:val="0"/>
        <w:ind w:left="567" w:hanging="567"/>
        <w:rPr>
          <w:b/>
          <w:caps/>
          <w:color w:val="000000"/>
          <w:sz w:val="22"/>
          <w:szCs w:val="22"/>
        </w:rPr>
      </w:pPr>
      <w:r w:rsidRPr="00F93FFA">
        <w:rPr>
          <w:b/>
          <w:color w:val="000000"/>
          <w:sz w:val="22"/>
          <w:szCs w:val="22"/>
        </w:rPr>
        <w:t>Glivec vartoti negalima:</w:t>
      </w:r>
    </w:p>
    <w:p w14:paraId="5DD35B72"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 xml:space="preserve">jeigu yra alergija imatinibui arba bet kuriai pagalbinei </w:t>
      </w:r>
      <w:r w:rsidRPr="00F93FFA">
        <w:rPr>
          <w:sz w:val="22"/>
          <w:szCs w:val="22"/>
        </w:rPr>
        <w:t xml:space="preserve">šio vaisto </w:t>
      </w:r>
      <w:r w:rsidRPr="00F93FFA">
        <w:rPr>
          <w:color w:val="000000"/>
          <w:sz w:val="22"/>
          <w:szCs w:val="22"/>
        </w:rPr>
        <w:t xml:space="preserve">medžiagai </w:t>
      </w:r>
      <w:r w:rsidRPr="00F93FFA">
        <w:rPr>
          <w:sz w:val="22"/>
          <w:szCs w:val="22"/>
        </w:rPr>
        <w:t xml:space="preserve">(jos išvardytos </w:t>
      </w:r>
      <w:r w:rsidRPr="00F93FFA">
        <w:rPr>
          <w:color w:val="000000"/>
          <w:sz w:val="22"/>
          <w:szCs w:val="22"/>
        </w:rPr>
        <w:t>6 skyriuje).</w:t>
      </w:r>
    </w:p>
    <w:p w14:paraId="10680680" w14:textId="77777777" w:rsidR="003646A0" w:rsidRPr="00F93FFA" w:rsidRDefault="003646A0" w:rsidP="00DE16D0">
      <w:pPr>
        <w:widowControl w:val="0"/>
        <w:rPr>
          <w:color w:val="000000"/>
          <w:sz w:val="22"/>
          <w:szCs w:val="22"/>
        </w:rPr>
      </w:pPr>
      <w:r w:rsidRPr="00F93FFA">
        <w:rPr>
          <w:color w:val="000000"/>
          <w:sz w:val="22"/>
          <w:szCs w:val="22"/>
        </w:rPr>
        <w:t xml:space="preserve">Jei ši sąlyga Jums tinka, </w:t>
      </w:r>
      <w:r w:rsidRPr="00F93FFA">
        <w:rPr>
          <w:b/>
          <w:color w:val="000000"/>
          <w:sz w:val="22"/>
          <w:szCs w:val="22"/>
        </w:rPr>
        <w:t>nevartokite Glivec ir apie tai pasakykite gydytojui.</w:t>
      </w:r>
    </w:p>
    <w:p w14:paraId="01CE0710" w14:textId="77777777" w:rsidR="003646A0" w:rsidRPr="00F93FFA" w:rsidRDefault="003646A0" w:rsidP="00DE16D0">
      <w:pPr>
        <w:widowControl w:val="0"/>
        <w:rPr>
          <w:color w:val="000000"/>
          <w:sz w:val="22"/>
          <w:szCs w:val="22"/>
        </w:rPr>
      </w:pPr>
    </w:p>
    <w:p w14:paraId="57F1AAE1" w14:textId="77777777" w:rsidR="003646A0" w:rsidRPr="00F93FFA" w:rsidRDefault="003646A0" w:rsidP="00DE16D0">
      <w:pPr>
        <w:widowControl w:val="0"/>
        <w:rPr>
          <w:color w:val="000000"/>
          <w:sz w:val="22"/>
          <w:szCs w:val="22"/>
        </w:rPr>
      </w:pPr>
      <w:r w:rsidRPr="00F93FFA">
        <w:rPr>
          <w:color w:val="000000"/>
          <w:sz w:val="22"/>
          <w:szCs w:val="22"/>
        </w:rPr>
        <w:t>Jeigu manote, kad galite būti alergiškas, bet nesate tikras, kreipkitės patarimo į gydytoją.</w:t>
      </w:r>
    </w:p>
    <w:p w14:paraId="6D35712D" w14:textId="77777777" w:rsidR="003646A0" w:rsidRPr="00F93FFA" w:rsidRDefault="003646A0" w:rsidP="00DE16D0">
      <w:pPr>
        <w:widowControl w:val="0"/>
        <w:ind w:left="567" w:hanging="567"/>
        <w:rPr>
          <w:color w:val="000000"/>
          <w:sz w:val="22"/>
          <w:szCs w:val="22"/>
        </w:rPr>
      </w:pPr>
    </w:p>
    <w:p w14:paraId="3643AA5C" w14:textId="77777777" w:rsidR="003646A0" w:rsidRPr="00F93FFA" w:rsidRDefault="003646A0" w:rsidP="009A4400">
      <w:pPr>
        <w:keepNext/>
        <w:widowControl w:val="0"/>
        <w:ind w:left="567" w:hanging="567"/>
        <w:rPr>
          <w:b/>
          <w:color w:val="000000"/>
          <w:sz w:val="22"/>
          <w:szCs w:val="22"/>
        </w:rPr>
      </w:pPr>
      <w:r w:rsidRPr="00F93FFA">
        <w:rPr>
          <w:b/>
          <w:sz w:val="22"/>
          <w:szCs w:val="22"/>
        </w:rPr>
        <w:t>Įspėjimai ir atsargumo priemonės</w:t>
      </w:r>
    </w:p>
    <w:p w14:paraId="5CEB4B2F" w14:textId="77777777" w:rsidR="003646A0" w:rsidRPr="00F93FFA" w:rsidRDefault="003646A0" w:rsidP="009A4400">
      <w:pPr>
        <w:keepNext/>
        <w:widowControl w:val="0"/>
        <w:ind w:left="567" w:hanging="567"/>
        <w:rPr>
          <w:bCs/>
          <w:color w:val="000000"/>
          <w:sz w:val="22"/>
          <w:szCs w:val="22"/>
        </w:rPr>
      </w:pPr>
      <w:r w:rsidRPr="00F93FFA">
        <w:rPr>
          <w:sz w:val="22"/>
          <w:szCs w:val="22"/>
        </w:rPr>
        <w:t xml:space="preserve">Pasitarkite su gydytoju, </w:t>
      </w:r>
      <w:r w:rsidRPr="00F93FFA">
        <w:rPr>
          <w:bCs/>
          <w:color w:val="000000"/>
          <w:sz w:val="22"/>
          <w:szCs w:val="22"/>
        </w:rPr>
        <w:t>prieš pradėdami vartoti Glivec:</w:t>
      </w:r>
    </w:p>
    <w:p w14:paraId="49B03A04" w14:textId="77777777" w:rsidR="003646A0" w:rsidRPr="00F93FFA" w:rsidRDefault="003646A0" w:rsidP="00DE16D0">
      <w:pPr>
        <w:widowControl w:val="0"/>
        <w:numPr>
          <w:ilvl w:val="12"/>
          <w:numId w:val="0"/>
        </w:numPr>
        <w:ind w:left="567" w:hanging="567"/>
        <w:rPr>
          <w:color w:val="000000"/>
          <w:sz w:val="22"/>
          <w:szCs w:val="22"/>
        </w:rPr>
      </w:pPr>
      <w:r w:rsidRPr="00F93FFA">
        <w:rPr>
          <w:color w:val="000000"/>
          <w:sz w:val="22"/>
          <w:szCs w:val="22"/>
        </w:rPr>
        <w:t>-</w:t>
      </w:r>
      <w:r w:rsidRPr="00F93FFA">
        <w:rPr>
          <w:color w:val="000000"/>
          <w:sz w:val="22"/>
          <w:szCs w:val="22"/>
        </w:rPr>
        <w:tab/>
        <w:t>jeigu Jums yra ar kada nors yra buvę kepenų, inkstų ar širdies sutrikimų,</w:t>
      </w:r>
    </w:p>
    <w:p w14:paraId="08AE9388" w14:textId="35206E6F" w:rsidR="00812F8D" w:rsidRPr="00F93FFA" w:rsidRDefault="003646A0" w:rsidP="00DE16D0">
      <w:pPr>
        <w:widowControl w:val="0"/>
        <w:numPr>
          <w:ilvl w:val="12"/>
          <w:numId w:val="0"/>
        </w:numPr>
        <w:ind w:left="567" w:hanging="567"/>
        <w:rPr>
          <w:color w:val="000000"/>
          <w:sz w:val="22"/>
          <w:szCs w:val="22"/>
        </w:rPr>
      </w:pPr>
      <w:r w:rsidRPr="00F93FFA">
        <w:rPr>
          <w:color w:val="000000"/>
          <w:sz w:val="22"/>
          <w:szCs w:val="22"/>
        </w:rPr>
        <w:t>-</w:t>
      </w:r>
      <w:r w:rsidRPr="00F93FFA">
        <w:rPr>
          <w:color w:val="000000"/>
          <w:sz w:val="22"/>
          <w:szCs w:val="22"/>
        </w:rPr>
        <w:tab/>
        <w:t xml:space="preserve">jeigu dėl pašalintos skydliaukės vartojate </w:t>
      </w:r>
      <w:r w:rsidR="00A61375" w:rsidRPr="00F93FFA">
        <w:rPr>
          <w:color w:val="000000"/>
          <w:sz w:val="22"/>
          <w:szCs w:val="22"/>
        </w:rPr>
        <w:t>vaisto</w:t>
      </w:r>
      <w:r w:rsidRPr="00F93FFA">
        <w:rPr>
          <w:color w:val="000000"/>
          <w:sz w:val="22"/>
          <w:szCs w:val="22"/>
        </w:rPr>
        <w:t xml:space="preserve"> levotiroksino</w:t>
      </w:r>
      <w:r w:rsidR="00812F8D" w:rsidRPr="00F93FFA">
        <w:rPr>
          <w:color w:val="000000"/>
          <w:sz w:val="22"/>
          <w:szCs w:val="22"/>
        </w:rPr>
        <w:t>,</w:t>
      </w:r>
    </w:p>
    <w:p w14:paraId="2C5E8759" w14:textId="77777777" w:rsidR="00073EF6" w:rsidRPr="00F93FFA" w:rsidRDefault="00812F8D" w:rsidP="00DE16D0">
      <w:pPr>
        <w:widowControl w:val="0"/>
        <w:numPr>
          <w:ilvl w:val="0"/>
          <w:numId w:val="27"/>
        </w:numPr>
        <w:ind w:left="567" w:hanging="567"/>
        <w:rPr>
          <w:color w:val="000000"/>
          <w:sz w:val="22"/>
          <w:szCs w:val="22"/>
        </w:rPr>
      </w:pPr>
      <w:r w:rsidRPr="00F93FFA">
        <w:rPr>
          <w:color w:val="000000"/>
          <w:sz w:val="22"/>
          <w:szCs w:val="22"/>
        </w:rPr>
        <w:t xml:space="preserve">Jums kada nors buvo diagnozuota hepatito B infekcija arba šiuo metu galite būti užsikrėtę šiuo virusu. Tai būtina, nes </w:t>
      </w:r>
      <w:r w:rsidR="00EE25B9" w:rsidRPr="00F93FFA">
        <w:rPr>
          <w:color w:val="000000"/>
          <w:sz w:val="22"/>
          <w:szCs w:val="22"/>
        </w:rPr>
        <w:t>Glivec</w:t>
      </w:r>
      <w:r w:rsidRPr="00F93FFA">
        <w:rPr>
          <w:color w:val="000000"/>
          <w:sz w:val="22"/>
          <w:szCs w:val="22"/>
        </w:rPr>
        <w:t xml:space="preserve"> gali vėl suaktyvinti hepatito B virusą, o kai kuriais atvejais tai gali būti mirtina. Prieš pradedant gydymą, gydytojas atidžiai patikrins, ar pacientas neturi šios infekcijos požymių</w:t>
      </w:r>
      <w:r w:rsidR="00073EF6" w:rsidRPr="00F93FFA">
        <w:rPr>
          <w:color w:val="000000"/>
          <w:sz w:val="22"/>
          <w:szCs w:val="22"/>
        </w:rPr>
        <w:t>,</w:t>
      </w:r>
    </w:p>
    <w:p w14:paraId="417B2AFD" w14:textId="77777777" w:rsidR="003646A0" w:rsidRPr="00F93FFA" w:rsidRDefault="00073EF6" w:rsidP="00DE16D0">
      <w:pPr>
        <w:widowControl w:val="0"/>
        <w:numPr>
          <w:ilvl w:val="0"/>
          <w:numId w:val="27"/>
        </w:numPr>
        <w:ind w:left="567" w:hanging="567"/>
        <w:rPr>
          <w:color w:val="000000"/>
          <w:sz w:val="22"/>
          <w:szCs w:val="22"/>
        </w:rPr>
      </w:pPr>
      <w:r w:rsidRPr="00F93FFA">
        <w:rPr>
          <w:color w:val="000000"/>
          <w:spacing w:val="-2"/>
          <w:sz w:val="22"/>
          <w:szCs w:val="22"/>
        </w:rPr>
        <w:t>jeigu Jums vartojant Glivec susidaro kraujosruvų, pasireiškia kraujavimas, karščiavimas, nuovargis ir sumišimas, kreipkitės į gydytoją. Tai gali būti kraujagyslių pažaidos, vadinamos trombine mikroangiopatija (TMA), požymis</w:t>
      </w:r>
      <w:r w:rsidR="003646A0" w:rsidRPr="00F93FFA">
        <w:rPr>
          <w:color w:val="000000"/>
          <w:sz w:val="22"/>
          <w:szCs w:val="22"/>
        </w:rPr>
        <w:t>.</w:t>
      </w:r>
    </w:p>
    <w:p w14:paraId="2D2CF498" w14:textId="77777777" w:rsidR="003646A0" w:rsidRPr="00F93FFA" w:rsidRDefault="003646A0" w:rsidP="00DE16D0">
      <w:pPr>
        <w:widowControl w:val="0"/>
        <w:rPr>
          <w:color w:val="000000"/>
          <w:sz w:val="22"/>
          <w:szCs w:val="22"/>
        </w:rPr>
      </w:pPr>
      <w:r w:rsidRPr="00F93FFA">
        <w:rPr>
          <w:color w:val="000000"/>
          <w:sz w:val="22"/>
          <w:szCs w:val="22"/>
        </w:rPr>
        <w:t xml:space="preserve">Jei bet kuri šių sąlygų Jums tinka, </w:t>
      </w:r>
      <w:r w:rsidRPr="00F93FFA">
        <w:rPr>
          <w:b/>
          <w:color w:val="000000"/>
          <w:sz w:val="22"/>
          <w:szCs w:val="22"/>
        </w:rPr>
        <w:t>prieš pradėdami vartoti Glivec, pasakykite gydytojui</w:t>
      </w:r>
      <w:r w:rsidRPr="00F93FFA">
        <w:rPr>
          <w:color w:val="000000"/>
          <w:sz w:val="22"/>
          <w:szCs w:val="22"/>
        </w:rPr>
        <w:t>.</w:t>
      </w:r>
    </w:p>
    <w:p w14:paraId="30B0260A" w14:textId="77777777" w:rsidR="005F3324" w:rsidRPr="00F93FFA" w:rsidRDefault="005F3324" w:rsidP="00DE16D0">
      <w:pPr>
        <w:widowControl w:val="0"/>
        <w:rPr>
          <w:color w:val="000000"/>
          <w:sz w:val="22"/>
          <w:szCs w:val="22"/>
        </w:rPr>
      </w:pPr>
    </w:p>
    <w:p w14:paraId="70B017A9" w14:textId="38395AF0" w:rsidR="005F3324" w:rsidRPr="00F93FFA" w:rsidRDefault="007D4981" w:rsidP="00DE16D0">
      <w:pPr>
        <w:widowControl w:val="0"/>
        <w:rPr>
          <w:color w:val="000000"/>
          <w:sz w:val="22"/>
          <w:szCs w:val="22"/>
        </w:rPr>
      </w:pPr>
      <w:r w:rsidRPr="00F93FFA">
        <w:rPr>
          <w:color w:val="000000"/>
          <w:sz w:val="22"/>
          <w:szCs w:val="22"/>
        </w:rPr>
        <w:t>Glivec vartojimo metu galite tapti jautresnis</w:t>
      </w:r>
      <w:r w:rsidR="007012A8" w:rsidRPr="00F93FFA">
        <w:rPr>
          <w:color w:val="000000"/>
          <w:sz w:val="22"/>
          <w:szCs w:val="22"/>
        </w:rPr>
        <w:t xml:space="preserve"> </w:t>
      </w:r>
      <w:r w:rsidRPr="00F93FFA">
        <w:rPr>
          <w:color w:val="000000"/>
          <w:sz w:val="22"/>
          <w:szCs w:val="22"/>
        </w:rPr>
        <w:t xml:space="preserve">saulės poveikiui. Svarbu apsaugoti atviras odos vietas nuo tiesioginių saulės spindulių ir naudoti </w:t>
      </w:r>
      <w:r w:rsidR="00A61375" w:rsidRPr="00F93FFA">
        <w:rPr>
          <w:color w:val="000000"/>
          <w:sz w:val="22"/>
          <w:szCs w:val="22"/>
        </w:rPr>
        <w:t xml:space="preserve">vaistą </w:t>
      </w:r>
      <w:r w:rsidRPr="00F93FFA">
        <w:rPr>
          <w:color w:val="000000"/>
          <w:sz w:val="22"/>
          <w:szCs w:val="22"/>
        </w:rPr>
        <w:t>nuo saulės nudegimo, kurio aukštas apsaugos faktorius</w:t>
      </w:r>
      <w:r w:rsidR="005F3324" w:rsidRPr="00F93FFA">
        <w:rPr>
          <w:color w:val="000000"/>
          <w:sz w:val="22"/>
          <w:szCs w:val="22"/>
        </w:rPr>
        <w:t xml:space="preserve"> (SPF).</w:t>
      </w:r>
      <w:r w:rsidR="005F3324" w:rsidRPr="00F93FFA">
        <w:rPr>
          <w:rFonts w:ascii="Arial" w:hAnsi="Arial" w:cs="Arial"/>
          <w:color w:val="222222"/>
        </w:rPr>
        <w:t xml:space="preserve"> </w:t>
      </w:r>
      <w:r w:rsidR="005F3324" w:rsidRPr="00F93FFA">
        <w:rPr>
          <w:color w:val="000000"/>
          <w:sz w:val="22"/>
          <w:szCs w:val="22"/>
        </w:rPr>
        <w:t>Šios atsargumo priemonės taip pat turi būti taikomos vaikams.</w:t>
      </w:r>
    </w:p>
    <w:p w14:paraId="2E8899EB" w14:textId="77777777" w:rsidR="003646A0" w:rsidRPr="00F93FFA" w:rsidRDefault="003646A0" w:rsidP="00DE16D0">
      <w:pPr>
        <w:widowControl w:val="0"/>
        <w:rPr>
          <w:color w:val="000000"/>
          <w:sz w:val="22"/>
          <w:szCs w:val="22"/>
        </w:rPr>
      </w:pPr>
    </w:p>
    <w:p w14:paraId="49859906" w14:textId="77777777" w:rsidR="003646A0" w:rsidRPr="00F93FFA" w:rsidRDefault="003646A0" w:rsidP="00DE16D0">
      <w:pPr>
        <w:widowControl w:val="0"/>
        <w:rPr>
          <w:color w:val="000000"/>
          <w:sz w:val="22"/>
          <w:szCs w:val="22"/>
        </w:rPr>
      </w:pPr>
      <w:r w:rsidRPr="00F93FFA">
        <w:rPr>
          <w:b/>
          <w:color w:val="000000"/>
          <w:sz w:val="22"/>
          <w:szCs w:val="22"/>
        </w:rPr>
        <w:t xml:space="preserve">Glivec vartojimo metu nedelsdami kreipkitės į gydytoją, </w:t>
      </w:r>
      <w:r w:rsidRPr="00F93FFA">
        <w:rPr>
          <w:color w:val="000000"/>
          <w:sz w:val="22"/>
          <w:szCs w:val="22"/>
        </w:rPr>
        <w:t>jeigu Jums labai greitai padidėjo kūno svoris. Dėl Glivec poveikio Jūsų kūne gali kauptis skysčių (pasireikšti sunkus skysčių susilaikymas).</w:t>
      </w:r>
    </w:p>
    <w:p w14:paraId="254C4E0D" w14:textId="77777777" w:rsidR="003646A0" w:rsidRPr="00F93FFA" w:rsidRDefault="003646A0" w:rsidP="00DE16D0">
      <w:pPr>
        <w:widowControl w:val="0"/>
        <w:rPr>
          <w:color w:val="000000"/>
          <w:sz w:val="22"/>
          <w:szCs w:val="22"/>
        </w:rPr>
      </w:pPr>
    </w:p>
    <w:p w14:paraId="7B5B1E83" w14:textId="5A49F7BE" w:rsidR="003646A0" w:rsidRPr="00F93FFA" w:rsidRDefault="003646A0" w:rsidP="00DE16D0">
      <w:pPr>
        <w:widowControl w:val="0"/>
        <w:rPr>
          <w:color w:val="000000"/>
          <w:sz w:val="22"/>
          <w:szCs w:val="22"/>
        </w:rPr>
      </w:pPr>
      <w:r w:rsidRPr="00F93FFA">
        <w:rPr>
          <w:color w:val="000000"/>
          <w:sz w:val="22"/>
          <w:szCs w:val="22"/>
        </w:rPr>
        <w:t xml:space="preserve">Jums vartojant Glivec, gydytojas reguliariai tikrins, ar </w:t>
      </w:r>
      <w:r w:rsidR="00A61375" w:rsidRPr="00F93FFA">
        <w:rPr>
          <w:color w:val="000000"/>
          <w:sz w:val="22"/>
          <w:szCs w:val="22"/>
        </w:rPr>
        <w:t>vaistas</w:t>
      </w:r>
      <w:r w:rsidRPr="00F93FFA">
        <w:rPr>
          <w:color w:val="000000"/>
          <w:sz w:val="22"/>
          <w:szCs w:val="22"/>
        </w:rPr>
        <w:t xml:space="preserve"> veikia. Jums taip pat reguliariai tirs kraują ir kūno svorį.</w:t>
      </w:r>
    </w:p>
    <w:p w14:paraId="71AE86F7" w14:textId="77777777" w:rsidR="003646A0" w:rsidRPr="00F93FFA" w:rsidRDefault="003646A0" w:rsidP="00DE16D0">
      <w:pPr>
        <w:widowControl w:val="0"/>
        <w:ind w:left="567" w:hanging="567"/>
        <w:rPr>
          <w:color w:val="000000"/>
          <w:sz w:val="22"/>
          <w:szCs w:val="22"/>
        </w:rPr>
      </w:pPr>
    </w:p>
    <w:p w14:paraId="4F7CA9D7" w14:textId="77777777" w:rsidR="003646A0" w:rsidRPr="00F93FFA" w:rsidRDefault="003646A0" w:rsidP="009A4400">
      <w:pPr>
        <w:keepNext/>
        <w:widowControl w:val="0"/>
        <w:ind w:left="567" w:hanging="567"/>
        <w:rPr>
          <w:b/>
          <w:color w:val="000000"/>
          <w:sz w:val="22"/>
          <w:szCs w:val="22"/>
        </w:rPr>
      </w:pPr>
      <w:r w:rsidRPr="00F93FFA">
        <w:rPr>
          <w:b/>
          <w:sz w:val="22"/>
          <w:szCs w:val="22"/>
        </w:rPr>
        <w:t>Vaikams ir paaugliams</w:t>
      </w:r>
    </w:p>
    <w:p w14:paraId="7C8C7D89" w14:textId="77777777" w:rsidR="003646A0" w:rsidRPr="00F93FFA" w:rsidRDefault="003646A0" w:rsidP="00DE16D0">
      <w:pPr>
        <w:widowControl w:val="0"/>
        <w:rPr>
          <w:color w:val="000000"/>
          <w:sz w:val="22"/>
          <w:szCs w:val="22"/>
        </w:rPr>
      </w:pPr>
      <w:r w:rsidRPr="00F93FFA">
        <w:rPr>
          <w:color w:val="000000"/>
          <w:sz w:val="22"/>
          <w:szCs w:val="22"/>
        </w:rPr>
        <w:t>Glivec taip pat gydomi vaikai, sergantys LML. Vartojimo patirties vaikams, jaunesniems kaip 2 metų ir sergantiems LML, nėra. Vartojimo patirties vaikams, sergantiems Ph teigiama ŪLL, yra nedaug, o vartojimo patirties vaikams, sergantiems MDS/MPL, DFSP, VTSN ir HES/LEL, yra labai nedaug.</w:t>
      </w:r>
    </w:p>
    <w:p w14:paraId="34B8E835" w14:textId="77777777" w:rsidR="003646A0" w:rsidRPr="00F93FFA" w:rsidRDefault="003646A0" w:rsidP="00DE16D0">
      <w:pPr>
        <w:widowControl w:val="0"/>
        <w:ind w:left="567" w:hanging="567"/>
        <w:rPr>
          <w:color w:val="000000"/>
          <w:sz w:val="22"/>
          <w:szCs w:val="22"/>
        </w:rPr>
      </w:pPr>
    </w:p>
    <w:p w14:paraId="34B10169" w14:textId="77777777" w:rsidR="003646A0" w:rsidRPr="00F93FFA" w:rsidRDefault="003646A0" w:rsidP="00DE16D0">
      <w:pPr>
        <w:widowControl w:val="0"/>
        <w:rPr>
          <w:color w:val="000000"/>
          <w:sz w:val="22"/>
          <w:szCs w:val="22"/>
        </w:rPr>
      </w:pPr>
      <w:r w:rsidRPr="00F93FFA">
        <w:rPr>
          <w:color w:val="000000"/>
          <w:sz w:val="22"/>
          <w:szCs w:val="22"/>
        </w:rPr>
        <w:t>Kai kurių vaikų ir paauglių, vartojančių Glivec, augimas gali būti lėtesnis nei įprasta. Todėl gydytojas tikrins augimą įprastų vizitų metu.</w:t>
      </w:r>
    </w:p>
    <w:p w14:paraId="058FEFEA" w14:textId="77777777" w:rsidR="003646A0" w:rsidRPr="00F93FFA" w:rsidRDefault="003646A0" w:rsidP="00DE16D0">
      <w:pPr>
        <w:widowControl w:val="0"/>
        <w:ind w:left="567" w:hanging="567"/>
        <w:rPr>
          <w:color w:val="000000"/>
          <w:sz w:val="22"/>
          <w:szCs w:val="22"/>
        </w:rPr>
      </w:pPr>
    </w:p>
    <w:p w14:paraId="7DF3A485" w14:textId="77777777" w:rsidR="003646A0" w:rsidRPr="00F93FFA" w:rsidRDefault="003646A0" w:rsidP="00DE16D0">
      <w:pPr>
        <w:keepNext/>
        <w:widowControl w:val="0"/>
        <w:ind w:left="567" w:hanging="567"/>
        <w:rPr>
          <w:b/>
          <w:color w:val="000000"/>
          <w:sz w:val="22"/>
          <w:szCs w:val="22"/>
        </w:rPr>
      </w:pPr>
      <w:r w:rsidRPr="00F93FFA">
        <w:rPr>
          <w:b/>
          <w:color w:val="000000"/>
          <w:sz w:val="22"/>
          <w:szCs w:val="22"/>
        </w:rPr>
        <w:lastRenderedPageBreak/>
        <w:t>Kiti vaistai ir Glivec</w:t>
      </w:r>
    </w:p>
    <w:p w14:paraId="06FB6B38" w14:textId="67A49C99" w:rsidR="003646A0" w:rsidRPr="00F93FFA" w:rsidRDefault="003646A0" w:rsidP="00DE16D0">
      <w:pPr>
        <w:widowControl w:val="0"/>
        <w:rPr>
          <w:color w:val="000000"/>
          <w:sz w:val="22"/>
          <w:szCs w:val="22"/>
        </w:rPr>
      </w:pPr>
      <w:r w:rsidRPr="00F93FFA">
        <w:rPr>
          <w:color w:val="000000"/>
          <w:sz w:val="22"/>
          <w:szCs w:val="22"/>
        </w:rPr>
        <w:t>Jeigu vartojate ar neseniai vartojote kitų vaistų</w:t>
      </w:r>
      <w:r w:rsidRPr="00F93FFA">
        <w:rPr>
          <w:sz w:val="22"/>
          <w:szCs w:val="22"/>
        </w:rPr>
        <w:t xml:space="preserve"> arba dėl to nesate tikri</w:t>
      </w:r>
      <w:r w:rsidRPr="00F93FFA">
        <w:rPr>
          <w:color w:val="000000"/>
          <w:sz w:val="22"/>
          <w:szCs w:val="22"/>
        </w:rPr>
        <w:t xml:space="preserve">, įskaitant įsigytus be recepto (tokių kaip paracetamolio) ir taip pat augalinių (tokių kaip jonažolės preparatų), apie tai pasakykite gydytojui arba vaistininkui. Kai kurie </w:t>
      </w:r>
      <w:r w:rsidR="00A61375" w:rsidRPr="00F93FFA">
        <w:rPr>
          <w:color w:val="000000"/>
          <w:sz w:val="22"/>
          <w:szCs w:val="22"/>
        </w:rPr>
        <w:t>vaistai</w:t>
      </w:r>
      <w:r w:rsidRPr="00F93FFA">
        <w:rPr>
          <w:color w:val="000000"/>
          <w:sz w:val="22"/>
          <w:szCs w:val="22"/>
        </w:rPr>
        <w:t xml:space="preserve"> vartojami kartu gali sąveikauti su Glivec. Jie gali padidinti arba sumažinti Glivec poveikį, arba padidindami nepageidaujamų reiškinių pasireiškimo dažnį, arba mažindami Glivec veiksmingumą. Glivec gali panašiai veikti kai kuriuos kitus </w:t>
      </w:r>
      <w:r w:rsidR="00A61375" w:rsidRPr="00F93FFA">
        <w:rPr>
          <w:color w:val="000000"/>
          <w:sz w:val="22"/>
          <w:szCs w:val="22"/>
        </w:rPr>
        <w:t>vaistus</w:t>
      </w:r>
      <w:r w:rsidRPr="00F93FFA">
        <w:rPr>
          <w:color w:val="000000"/>
          <w:sz w:val="22"/>
          <w:szCs w:val="22"/>
        </w:rPr>
        <w:t>.</w:t>
      </w:r>
    </w:p>
    <w:p w14:paraId="764D0235" w14:textId="77777777" w:rsidR="003646A0" w:rsidRPr="00F93FFA" w:rsidRDefault="003646A0" w:rsidP="00DE16D0">
      <w:pPr>
        <w:widowControl w:val="0"/>
        <w:rPr>
          <w:color w:val="000000"/>
          <w:sz w:val="22"/>
          <w:szCs w:val="22"/>
        </w:rPr>
      </w:pPr>
    </w:p>
    <w:p w14:paraId="035A944F" w14:textId="77777777" w:rsidR="003646A0" w:rsidRPr="00F93FFA" w:rsidRDefault="003646A0" w:rsidP="00DE16D0">
      <w:pPr>
        <w:widowControl w:val="0"/>
        <w:rPr>
          <w:color w:val="000000"/>
          <w:sz w:val="22"/>
          <w:szCs w:val="22"/>
        </w:rPr>
      </w:pPr>
      <w:r w:rsidRPr="00F93FFA">
        <w:rPr>
          <w:color w:val="000000"/>
          <w:sz w:val="22"/>
          <w:szCs w:val="22"/>
        </w:rPr>
        <w:t>Pasakykite gydytojui, jei vartojate vaistų, kurie apsaugo nuo kraujo krešulių susidarymo.</w:t>
      </w:r>
    </w:p>
    <w:p w14:paraId="44F8414A" w14:textId="77777777" w:rsidR="003646A0" w:rsidRPr="00F93FFA" w:rsidRDefault="003646A0" w:rsidP="00DE16D0">
      <w:pPr>
        <w:widowControl w:val="0"/>
        <w:rPr>
          <w:color w:val="000000"/>
          <w:sz w:val="22"/>
          <w:szCs w:val="22"/>
        </w:rPr>
      </w:pPr>
    </w:p>
    <w:p w14:paraId="02ED7C45" w14:textId="77777777" w:rsidR="003646A0" w:rsidRPr="00F93FFA" w:rsidRDefault="003646A0" w:rsidP="009A4400">
      <w:pPr>
        <w:keepNext/>
        <w:widowControl w:val="0"/>
        <w:rPr>
          <w:b/>
          <w:color w:val="000000"/>
          <w:sz w:val="22"/>
          <w:szCs w:val="22"/>
        </w:rPr>
      </w:pPr>
      <w:r w:rsidRPr="00F93FFA">
        <w:rPr>
          <w:b/>
          <w:color w:val="000000"/>
          <w:sz w:val="22"/>
          <w:szCs w:val="22"/>
        </w:rPr>
        <w:t>Nėštumas, žindymo laikotarpis</w:t>
      </w:r>
      <w:r w:rsidRPr="00F93FFA">
        <w:rPr>
          <w:b/>
          <w:sz w:val="22"/>
          <w:szCs w:val="22"/>
        </w:rPr>
        <w:t xml:space="preserve"> ir vaisingumas</w:t>
      </w:r>
    </w:p>
    <w:p w14:paraId="6BC50202"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sz w:val="22"/>
          <w:szCs w:val="22"/>
        </w:rPr>
        <w:t>Jeigu esate nėščia, žindote kūdikį, manote, kad galbūt esate nėščia arba planuojate pastoti, tai prieš vartodama šį vaistą pasitarkite su gydytoju</w:t>
      </w:r>
      <w:r w:rsidRPr="00F93FFA">
        <w:rPr>
          <w:color w:val="000000"/>
          <w:sz w:val="22"/>
          <w:szCs w:val="22"/>
        </w:rPr>
        <w:t>.</w:t>
      </w:r>
    </w:p>
    <w:p w14:paraId="7FEB079A"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Glivec nerekomenduojama vartoti nėščiosioms, nebent neišvengiama, nes tai gali pakenkti Jūsų kūdikiui. Gydytojas supažindins Jus su galima Glivec vartojimo nėštumo laikotarpiu rizika.</w:t>
      </w:r>
    </w:p>
    <w:p w14:paraId="768FA00B"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 xml:space="preserve">Moterims, galinčioms pastoti, gydantis šiuo vaistu </w:t>
      </w:r>
      <w:r w:rsidR="00150A2A" w:rsidRPr="00F93FFA">
        <w:rPr>
          <w:color w:val="000000"/>
          <w:sz w:val="22"/>
          <w:szCs w:val="22"/>
        </w:rPr>
        <w:t xml:space="preserve">ir 15 dienų po gydymo pabaigos, </w:t>
      </w:r>
      <w:r w:rsidRPr="00F93FFA">
        <w:rPr>
          <w:color w:val="000000"/>
          <w:sz w:val="22"/>
          <w:szCs w:val="22"/>
        </w:rPr>
        <w:t>rekomenduojama taikyti efektyvias kontracepcijos priemones.</w:t>
      </w:r>
    </w:p>
    <w:p w14:paraId="7EFBC4FF" w14:textId="12E29E78"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Vartodama Glivec</w:t>
      </w:r>
      <w:r w:rsidR="00150A2A" w:rsidRPr="00F93FFA">
        <w:rPr>
          <w:color w:val="000000"/>
          <w:sz w:val="22"/>
          <w:szCs w:val="22"/>
        </w:rPr>
        <w:t xml:space="preserve"> ir 15 dienų po gydymo pabaigos</w:t>
      </w:r>
      <w:r w:rsidRPr="00F93FFA">
        <w:rPr>
          <w:color w:val="000000"/>
          <w:sz w:val="22"/>
          <w:szCs w:val="22"/>
        </w:rPr>
        <w:t xml:space="preserve"> nežindykite</w:t>
      </w:r>
      <w:r w:rsidR="00150A2A" w:rsidRPr="00F93FFA">
        <w:rPr>
          <w:color w:val="000000"/>
          <w:sz w:val="22"/>
          <w:szCs w:val="22"/>
        </w:rPr>
        <w:t>, nes tai gali pakenkti Jūsų kūdikiui</w:t>
      </w:r>
      <w:r w:rsidRPr="00F93FFA">
        <w:rPr>
          <w:color w:val="000000"/>
          <w:sz w:val="22"/>
          <w:szCs w:val="22"/>
        </w:rPr>
        <w:t>.</w:t>
      </w:r>
    </w:p>
    <w:p w14:paraId="1BC16659" w14:textId="77777777" w:rsidR="003646A0" w:rsidRPr="00F93FFA" w:rsidRDefault="003646A0" w:rsidP="00DE16D0">
      <w:pPr>
        <w:widowControl w:val="0"/>
        <w:numPr>
          <w:ilvl w:val="0"/>
          <w:numId w:val="14"/>
        </w:numPr>
        <w:tabs>
          <w:tab w:val="clear" w:pos="360"/>
          <w:tab w:val="num" w:pos="540"/>
        </w:tabs>
        <w:ind w:left="540" w:hanging="540"/>
        <w:rPr>
          <w:color w:val="000000"/>
          <w:sz w:val="22"/>
          <w:szCs w:val="22"/>
        </w:rPr>
      </w:pPr>
      <w:r w:rsidRPr="00F93FFA">
        <w:rPr>
          <w:color w:val="000000"/>
          <w:sz w:val="22"/>
          <w:szCs w:val="22"/>
        </w:rPr>
        <w:t>Pacientai Glivec vartojimo laikotarpiu dėl savo vaisingumo turi konsultuotis su gydytoju.</w:t>
      </w:r>
    </w:p>
    <w:p w14:paraId="6580139C" w14:textId="77777777" w:rsidR="003646A0" w:rsidRPr="00F93FFA" w:rsidRDefault="003646A0" w:rsidP="00DE16D0">
      <w:pPr>
        <w:widowControl w:val="0"/>
        <w:rPr>
          <w:color w:val="000000"/>
          <w:sz w:val="22"/>
          <w:szCs w:val="22"/>
        </w:rPr>
      </w:pPr>
    </w:p>
    <w:p w14:paraId="7D7D391C"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Vairavimas ir mechanizmų valdymas</w:t>
      </w:r>
    </w:p>
    <w:p w14:paraId="4804E786" w14:textId="77777777" w:rsidR="003646A0" w:rsidRPr="00F93FFA" w:rsidRDefault="003646A0" w:rsidP="00DE16D0">
      <w:pPr>
        <w:widowControl w:val="0"/>
        <w:rPr>
          <w:color w:val="000000"/>
          <w:sz w:val="22"/>
          <w:szCs w:val="22"/>
        </w:rPr>
      </w:pPr>
      <w:r w:rsidRPr="00F93FFA">
        <w:rPr>
          <w:color w:val="000000"/>
          <w:sz w:val="22"/>
          <w:szCs w:val="22"/>
        </w:rPr>
        <w:t>Vartodami šio vaisto galite jausti galvos svaigimą ar mieguistumą arba Jums gali pasireikšti neryškus matymas. Jeigu taip atsitiktų, nevairuokite ir nevaldykite bet kokios rūšies mechanizmų, kol vėl nepasijusite gerai.</w:t>
      </w:r>
    </w:p>
    <w:p w14:paraId="7F32DF5C" w14:textId="77777777" w:rsidR="003646A0" w:rsidRPr="00F93FFA" w:rsidRDefault="003646A0" w:rsidP="00DE16D0">
      <w:pPr>
        <w:widowControl w:val="0"/>
        <w:rPr>
          <w:color w:val="000000"/>
          <w:sz w:val="22"/>
          <w:szCs w:val="22"/>
        </w:rPr>
      </w:pPr>
    </w:p>
    <w:p w14:paraId="5DAFCAE6" w14:textId="77777777" w:rsidR="003646A0" w:rsidRPr="00F93FFA" w:rsidRDefault="003646A0" w:rsidP="00DE16D0">
      <w:pPr>
        <w:widowControl w:val="0"/>
        <w:rPr>
          <w:color w:val="000000"/>
          <w:sz w:val="22"/>
          <w:szCs w:val="22"/>
        </w:rPr>
      </w:pPr>
    </w:p>
    <w:p w14:paraId="3C07CAC6"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olor w:val="000000"/>
          <w:sz w:val="22"/>
          <w:szCs w:val="22"/>
        </w:rPr>
        <w:t>3.</w:t>
      </w:r>
      <w:r w:rsidRPr="00F93FFA">
        <w:rPr>
          <w:b/>
          <w:color w:val="000000"/>
          <w:sz w:val="22"/>
          <w:szCs w:val="22"/>
        </w:rPr>
        <w:tab/>
      </w:r>
      <w:r w:rsidRPr="00F93FFA">
        <w:rPr>
          <w:b/>
          <w:caps/>
          <w:color w:val="000000"/>
          <w:sz w:val="22"/>
          <w:szCs w:val="22"/>
        </w:rPr>
        <w:t>K</w:t>
      </w:r>
      <w:r w:rsidRPr="00F93FFA">
        <w:rPr>
          <w:b/>
          <w:color w:val="000000"/>
          <w:sz w:val="22"/>
          <w:szCs w:val="22"/>
        </w:rPr>
        <w:t>aip vartoti Glivec</w:t>
      </w:r>
    </w:p>
    <w:p w14:paraId="11FAD304" w14:textId="77777777" w:rsidR="003646A0" w:rsidRPr="00F93FFA" w:rsidRDefault="003646A0" w:rsidP="009A4400">
      <w:pPr>
        <w:keepNext/>
        <w:widowControl w:val="0"/>
        <w:ind w:left="567" w:hanging="567"/>
        <w:rPr>
          <w:color w:val="000000"/>
          <w:sz w:val="22"/>
          <w:szCs w:val="22"/>
        </w:rPr>
      </w:pPr>
    </w:p>
    <w:p w14:paraId="5E7E060F" w14:textId="77777777" w:rsidR="003646A0" w:rsidRPr="00F93FFA" w:rsidRDefault="003646A0" w:rsidP="00DE16D0">
      <w:pPr>
        <w:widowControl w:val="0"/>
        <w:rPr>
          <w:color w:val="000000"/>
          <w:sz w:val="22"/>
          <w:szCs w:val="22"/>
        </w:rPr>
      </w:pPr>
      <w:r w:rsidRPr="00F93FFA">
        <w:rPr>
          <w:color w:val="000000"/>
          <w:sz w:val="22"/>
          <w:szCs w:val="22"/>
        </w:rPr>
        <w:t>Jūsų gydytojas Jums paskyrė Glivec, kadangi sergate sunkia liga. Glivec gali Jums padėti kovojant su šia būkle.</w:t>
      </w:r>
    </w:p>
    <w:p w14:paraId="23BB63D7" w14:textId="77777777" w:rsidR="003646A0" w:rsidRPr="00F93FFA" w:rsidRDefault="003646A0" w:rsidP="00DE16D0">
      <w:pPr>
        <w:widowControl w:val="0"/>
        <w:rPr>
          <w:color w:val="000000"/>
          <w:sz w:val="22"/>
          <w:szCs w:val="22"/>
        </w:rPr>
      </w:pPr>
    </w:p>
    <w:p w14:paraId="66F1E248" w14:textId="77777777" w:rsidR="003646A0" w:rsidRPr="00F93FFA" w:rsidRDefault="003646A0" w:rsidP="00DE16D0">
      <w:pPr>
        <w:widowControl w:val="0"/>
        <w:rPr>
          <w:color w:val="000000"/>
          <w:sz w:val="22"/>
          <w:szCs w:val="22"/>
        </w:rPr>
      </w:pPr>
      <w:r w:rsidRPr="00F93FFA">
        <w:rPr>
          <w:color w:val="000000"/>
          <w:sz w:val="22"/>
          <w:szCs w:val="22"/>
        </w:rPr>
        <w:t xml:space="preserve">Tačiau visada vartokite </w:t>
      </w:r>
      <w:r w:rsidRPr="00F93FFA">
        <w:rPr>
          <w:sz w:val="22"/>
          <w:szCs w:val="22"/>
        </w:rPr>
        <w:t>šį vaistą</w:t>
      </w:r>
      <w:r w:rsidRPr="00F93FFA">
        <w:rPr>
          <w:color w:val="000000"/>
          <w:sz w:val="22"/>
          <w:szCs w:val="22"/>
        </w:rPr>
        <w:t xml:space="preserve"> tiksliai kaip nurodė gydytojas</w:t>
      </w:r>
      <w:r w:rsidRPr="00F93FFA">
        <w:rPr>
          <w:sz w:val="22"/>
          <w:szCs w:val="22"/>
        </w:rPr>
        <w:t xml:space="preserve"> arba vaistininkas</w:t>
      </w:r>
      <w:r w:rsidRPr="00F93FFA">
        <w:rPr>
          <w:color w:val="000000"/>
          <w:sz w:val="22"/>
          <w:szCs w:val="22"/>
        </w:rPr>
        <w:t>. Svarbu, kad vaisto vartotumėte tiek laiko, kiek nurodė Jūsų gydytojas</w:t>
      </w:r>
      <w:r w:rsidRPr="00F93FFA">
        <w:rPr>
          <w:sz w:val="22"/>
          <w:szCs w:val="22"/>
        </w:rPr>
        <w:t xml:space="preserve"> arba vaistininkas</w:t>
      </w:r>
      <w:r w:rsidRPr="00F93FFA">
        <w:rPr>
          <w:color w:val="000000"/>
          <w:sz w:val="22"/>
          <w:szCs w:val="22"/>
        </w:rPr>
        <w:t>. Jeigu abejojate, kreipkitės į gydytoją arba vaistininką.</w:t>
      </w:r>
    </w:p>
    <w:p w14:paraId="6882C051" w14:textId="77777777" w:rsidR="003646A0" w:rsidRPr="00F93FFA" w:rsidRDefault="003646A0" w:rsidP="00DE16D0">
      <w:pPr>
        <w:widowControl w:val="0"/>
        <w:rPr>
          <w:color w:val="000000"/>
          <w:sz w:val="22"/>
          <w:szCs w:val="22"/>
        </w:rPr>
      </w:pPr>
    </w:p>
    <w:p w14:paraId="7B18CD4C" w14:textId="77777777" w:rsidR="003646A0" w:rsidRPr="00F93FFA" w:rsidRDefault="003646A0" w:rsidP="00DE16D0">
      <w:pPr>
        <w:widowControl w:val="0"/>
        <w:rPr>
          <w:color w:val="000000"/>
          <w:sz w:val="22"/>
          <w:szCs w:val="22"/>
        </w:rPr>
      </w:pPr>
      <w:r w:rsidRPr="00F93FFA">
        <w:rPr>
          <w:color w:val="000000"/>
          <w:sz w:val="22"/>
          <w:szCs w:val="22"/>
        </w:rPr>
        <w:t>Nenustokite vartoti Glivec, nebent taip nurodytų Jūsų gydytojas. Nedelsdami kreipkitės į gydytoją, jeigu negalite vartoti vaisto taip, kaip paskyrė gydytojas, arba jaučiate, kad šio vaisto Jums daugiau nereikia.</w:t>
      </w:r>
    </w:p>
    <w:p w14:paraId="0188CFB4" w14:textId="77777777" w:rsidR="003646A0" w:rsidRPr="00F93FFA" w:rsidRDefault="003646A0" w:rsidP="00DE16D0">
      <w:pPr>
        <w:widowControl w:val="0"/>
        <w:rPr>
          <w:color w:val="000000"/>
          <w:sz w:val="22"/>
          <w:szCs w:val="22"/>
        </w:rPr>
      </w:pPr>
    </w:p>
    <w:p w14:paraId="7894DFDD" w14:textId="77777777" w:rsidR="003646A0" w:rsidRPr="00F93FFA" w:rsidRDefault="003646A0" w:rsidP="009A4400">
      <w:pPr>
        <w:keepNext/>
        <w:widowControl w:val="0"/>
        <w:rPr>
          <w:b/>
          <w:color w:val="000000"/>
          <w:sz w:val="22"/>
          <w:szCs w:val="22"/>
        </w:rPr>
      </w:pPr>
      <w:r w:rsidRPr="00F93FFA">
        <w:rPr>
          <w:b/>
          <w:color w:val="000000"/>
          <w:sz w:val="22"/>
          <w:szCs w:val="22"/>
        </w:rPr>
        <w:t>Kiek Glivec vartoti</w:t>
      </w:r>
    </w:p>
    <w:p w14:paraId="025D1953" w14:textId="77777777" w:rsidR="003646A0" w:rsidRPr="00F93FFA" w:rsidRDefault="003646A0" w:rsidP="009A4400">
      <w:pPr>
        <w:keepNext/>
        <w:widowControl w:val="0"/>
        <w:rPr>
          <w:color w:val="000000"/>
          <w:sz w:val="22"/>
          <w:szCs w:val="22"/>
        </w:rPr>
      </w:pPr>
    </w:p>
    <w:p w14:paraId="48A143B8" w14:textId="77777777" w:rsidR="003646A0" w:rsidRPr="00F93FFA" w:rsidRDefault="003646A0" w:rsidP="009A4400">
      <w:pPr>
        <w:keepNext/>
        <w:widowControl w:val="0"/>
        <w:rPr>
          <w:b/>
          <w:color w:val="000000"/>
          <w:sz w:val="22"/>
          <w:szCs w:val="22"/>
        </w:rPr>
      </w:pPr>
      <w:r w:rsidRPr="00F93FFA">
        <w:rPr>
          <w:b/>
          <w:color w:val="000000"/>
          <w:sz w:val="22"/>
          <w:szCs w:val="22"/>
        </w:rPr>
        <w:t>Vartojimas suaugusiesiems</w:t>
      </w:r>
    </w:p>
    <w:p w14:paraId="6DAFB705" w14:textId="77777777" w:rsidR="003646A0" w:rsidRPr="00F93FFA" w:rsidRDefault="003646A0" w:rsidP="00DE16D0">
      <w:pPr>
        <w:widowControl w:val="0"/>
        <w:rPr>
          <w:color w:val="000000"/>
          <w:sz w:val="22"/>
          <w:szCs w:val="22"/>
        </w:rPr>
      </w:pPr>
      <w:r w:rsidRPr="00F93FFA">
        <w:rPr>
          <w:color w:val="000000"/>
          <w:sz w:val="22"/>
          <w:szCs w:val="22"/>
        </w:rPr>
        <w:t>Gydytojas Jums tiksliai nurodys, kiek Glivec tablečių gerti.</w:t>
      </w:r>
    </w:p>
    <w:p w14:paraId="090D2F1C" w14:textId="77777777" w:rsidR="003646A0" w:rsidRPr="00F93FFA" w:rsidRDefault="003646A0" w:rsidP="00DE16D0">
      <w:pPr>
        <w:widowControl w:val="0"/>
        <w:rPr>
          <w:color w:val="000000"/>
          <w:sz w:val="22"/>
          <w:szCs w:val="22"/>
        </w:rPr>
      </w:pPr>
    </w:p>
    <w:p w14:paraId="59D4F50D" w14:textId="77777777" w:rsidR="003646A0" w:rsidRPr="00F93FFA" w:rsidRDefault="003646A0" w:rsidP="009A4400">
      <w:pPr>
        <w:keepNext/>
        <w:widowControl w:val="0"/>
        <w:numPr>
          <w:ilvl w:val="0"/>
          <w:numId w:val="14"/>
        </w:numPr>
        <w:tabs>
          <w:tab w:val="clear" w:pos="360"/>
          <w:tab w:val="num" w:pos="-2160"/>
        </w:tabs>
        <w:ind w:left="540" w:hanging="540"/>
        <w:rPr>
          <w:b/>
          <w:color w:val="000000"/>
          <w:sz w:val="22"/>
          <w:szCs w:val="22"/>
        </w:rPr>
      </w:pPr>
      <w:r w:rsidRPr="00F93FFA">
        <w:rPr>
          <w:b/>
          <w:color w:val="000000"/>
          <w:sz w:val="22"/>
          <w:szCs w:val="22"/>
        </w:rPr>
        <w:t>Jei gydoma LML:</w:t>
      </w:r>
    </w:p>
    <w:p w14:paraId="59C9D02F" w14:textId="6B7627AC" w:rsidR="003646A0" w:rsidRPr="00F93FFA" w:rsidRDefault="003646A0" w:rsidP="008F0B4D">
      <w:pPr>
        <w:keepNext/>
        <w:widowControl w:val="0"/>
        <w:ind w:left="567"/>
        <w:rPr>
          <w:color w:val="000000"/>
          <w:sz w:val="22"/>
          <w:szCs w:val="22"/>
        </w:rPr>
      </w:pPr>
      <w:r w:rsidRPr="00F93FFA">
        <w:rPr>
          <w:color w:val="000000"/>
          <w:sz w:val="22"/>
          <w:szCs w:val="22"/>
        </w:rPr>
        <w:t>Priklausomai nuo Jūsų būklės, įprasta pradinė dozė yra arba 400 mg, arba 600 mg</w:t>
      </w:r>
      <w:r w:rsidR="00481ECF" w:rsidRPr="00481ECF">
        <w:rPr>
          <w:color w:val="000000"/>
          <w:sz w:val="22"/>
          <w:szCs w:val="22"/>
        </w:rPr>
        <w:t xml:space="preserve"> vartojant </w:t>
      </w:r>
      <w:r w:rsidR="00481ECF" w:rsidRPr="00481ECF">
        <w:rPr>
          <w:b/>
          <w:color w:val="000000"/>
          <w:sz w:val="22"/>
          <w:szCs w:val="22"/>
        </w:rPr>
        <w:t>kartą</w:t>
      </w:r>
      <w:r w:rsidR="00481ECF" w:rsidRPr="00481ECF">
        <w:rPr>
          <w:color w:val="000000"/>
          <w:sz w:val="22"/>
          <w:szCs w:val="22"/>
        </w:rPr>
        <w:t xml:space="preserve"> per parą</w:t>
      </w:r>
      <w:r w:rsidR="00481ECF">
        <w:rPr>
          <w:color w:val="000000"/>
          <w:sz w:val="22"/>
          <w:szCs w:val="22"/>
        </w:rPr>
        <w:t>.</w:t>
      </w:r>
    </w:p>
    <w:p w14:paraId="60D5B682" w14:textId="77777777" w:rsidR="003646A0" w:rsidRPr="00F93FFA" w:rsidRDefault="003646A0" w:rsidP="00DE16D0">
      <w:pPr>
        <w:widowControl w:val="0"/>
        <w:rPr>
          <w:color w:val="000000"/>
          <w:sz w:val="22"/>
          <w:szCs w:val="22"/>
        </w:rPr>
      </w:pPr>
    </w:p>
    <w:p w14:paraId="01C7832E" w14:textId="77777777" w:rsidR="003646A0" w:rsidRPr="00F93FFA" w:rsidRDefault="003646A0" w:rsidP="009A4400">
      <w:pPr>
        <w:keepNext/>
        <w:widowControl w:val="0"/>
        <w:numPr>
          <w:ilvl w:val="0"/>
          <w:numId w:val="14"/>
        </w:numPr>
        <w:tabs>
          <w:tab w:val="clear" w:pos="360"/>
          <w:tab w:val="num" w:pos="-2160"/>
        </w:tabs>
        <w:ind w:left="540" w:hanging="540"/>
        <w:rPr>
          <w:b/>
          <w:color w:val="000000"/>
          <w:sz w:val="22"/>
          <w:szCs w:val="22"/>
        </w:rPr>
      </w:pPr>
      <w:r w:rsidRPr="00F93FFA">
        <w:rPr>
          <w:b/>
          <w:color w:val="000000"/>
          <w:sz w:val="22"/>
          <w:szCs w:val="22"/>
        </w:rPr>
        <w:t>Jei gydoma VTSN:</w:t>
      </w:r>
    </w:p>
    <w:p w14:paraId="5E00290B" w14:textId="773C1A25" w:rsidR="003646A0" w:rsidRPr="00F93FFA" w:rsidRDefault="003646A0" w:rsidP="00DE16D0">
      <w:pPr>
        <w:widowControl w:val="0"/>
        <w:ind w:firstLine="540"/>
        <w:rPr>
          <w:color w:val="000000"/>
          <w:sz w:val="22"/>
          <w:szCs w:val="22"/>
        </w:rPr>
      </w:pPr>
      <w:r w:rsidRPr="00F93FFA">
        <w:rPr>
          <w:color w:val="000000"/>
          <w:sz w:val="22"/>
          <w:szCs w:val="22"/>
        </w:rPr>
        <w:t xml:space="preserve">Pradinė dozė yra 400 mg, vartojant </w:t>
      </w:r>
      <w:r w:rsidRPr="00F93FFA">
        <w:rPr>
          <w:b/>
          <w:color w:val="000000"/>
          <w:sz w:val="22"/>
          <w:szCs w:val="22"/>
        </w:rPr>
        <w:t>kartą</w:t>
      </w:r>
      <w:r w:rsidRPr="00F93FFA">
        <w:rPr>
          <w:color w:val="000000"/>
          <w:sz w:val="22"/>
          <w:szCs w:val="22"/>
        </w:rPr>
        <w:t xml:space="preserve"> per parą.</w:t>
      </w:r>
    </w:p>
    <w:p w14:paraId="473360B7" w14:textId="77777777" w:rsidR="003646A0" w:rsidRPr="00F93FFA" w:rsidRDefault="003646A0" w:rsidP="00DE16D0">
      <w:pPr>
        <w:widowControl w:val="0"/>
        <w:rPr>
          <w:color w:val="000000"/>
          <w:sz w:val="22"/>
          <w:szCs w:val="22"/>
        </w:rPr>
      </w:pPr>
    </w:p>
    <w:p w14:paraId="19123588" w14:textId="2317EFED" w:rsidR="003646A0" w:rsidRPr="00F93FFA" w:rsidRDefault="003646A0" w:rsidP="00DE16D0">
      <w:pPr>
        <w:widowControl w:val="0"/>
        <w:rPr>
          <w:color w:val="000000"/>
          <w:sz w:val="22"/>
          <w:szCs w:val="22"/>
        </w:rPr>
      </w:pPr>
      <w:r w:rsidRPr="00F93FFA">
        <w:rPr>
          <w:color w:val="000000"/>
          <w:sz w:val="22"/>
          <w:szCs w:val="22"/>
        </w:rPr>
        <w:t xml:space="preserve">Jeigu sergate LML ar VTSN, gydytojas gali paskirti vartoti didesnę arba mažesnę dozę, atsižvelgdamas į Jūsų atsaką į gydymą. Jeigu vartojate 800 mg paros dozę, reikia gerti </w:t>
      </w:r>
      <w:r w:rsidR="00481ECF" w:rsidRPr="00F53012">
        <w:rPr>
          <w:color w:val="000000"/>
          <w:sz w:val="22"/>
          <w:szCs w:val="22"/>
        </w:rPr>
        <w:t>400 mg</w:t>
      </w:r>
      <w:r w:rsidRPr="00F93FFA">
        <w:rPr>
          <w:color w:val="000000"/>
          <w:sz w:val="22"/>
          <w:szCs w:val="22"/>
        </w:rPr>
        <w:t xml:space="preserve"> ryte </w:t>
      </w:r>
      <w:r w:rsidR="00481ECF">
        <w:rPr>
          <w:color w:val="000000"/>
          <w:sz w:val="22"/>
          <w:szCs w:val="22"/>
        </w:rPr>
        <w:t xml:space="preserve">ir </w:t>
      </w:r>
      <w:r w:rsidR="00481ECF" w:rsidRPr="00F53012">
        <w:rPr>
          <w:color w:val="000000"/>
          <w:sz w:val="22"/>
          <w:szCs w:val="22"/>
        </w:rPr>
        <w:t>400 mg</w:t>
      </w:r>
      <w:r w:rsidRPr="00F93FFA">
        <w:rPr>
          <w:color w:val="000000"/>
          <w:sz w:val="22"/>
          <w:szCs w:val="22"/>
        </w:rPr>
        <w:t xml:space="preserve"> vakare.</w:t>
      </w:r>
    </w:p>
    <w:p w14:paraId="6A9C6F35" w14:textId="77777777" w:rsidR="003646A0" w:rsidRPr="00F93FFA" w:rsidRDefault="003646A0" w:rsidP="00DE16D0">
      <w:pPr>
        <w:widowControl w:val="0"/>
        <w:rPr>
          <w:color w:val="000000"/>
          <w:sz w:val="22"/>
          <w:szCs w:val="22"/>
        </w:rPr>
      </w:pPr>
    </w:p>
    <w:p w14:paraId="0E632511" w14:textId="77777777" w:rsidR="003646A0" w:rsidRPr="00F93FFA" w:rsidRDefault="003646A0" w:rsidP="00DE16D0">
      <w:pPr>
        <w:keepNext/>
        <w:widowControl w:val="0"/>
        <w:numPr>
          <w:ilvl w:val="0"/>
          <w:numId w:val="14"/>
        </w:numPr>
        <w:tabs>
          <w:tab w:val="clear" w:pos="360"/>
          <w:tab w:val="num" w:pos="-2160"/>
        </w:tabs>
        <w:ind w:left="539" w:hanging="539"/>
        <w:rPr>
          <w:b/>
          <w:color w:val="000000"/>
          <w:sz w:val="22"/>
          <w:szCs w:val="22"/>
        </w:rPr>
      </w:pPr>
      <w:r w:rsidRPr="00F93FFA">
        <w:rPr>
          <w:b/>
          <w:color w:val="000000"/>
          <w:sz w:val="22"/>
          <w:szCs w:val="22"/>
        </w:rPr>
        <w:t>Jeigu gydoma Ph teigiama ŪLL:</w:t>
      </w:r>
    </w:p>
    <w:p w14:paraId="0C91A45E" w14:textId="685C09D2" w:rsidR="003646A0" w:rsidRPr="00F93FFA" w:rsidRDefault="003646A0" w:rsidP="00DE16D0">
      <w:pPr>
        <w:widowControl w:val="0"/>
        <w:ind w:firstLine="540"/>
        <w:rPr>
          <w:color w:val="000000"/>
          <w:sz w:val="22"/>
          <w:szCs w:val="22"/>
        </w:rPr>
      </w:pPr>
      <w:r w:rsidRPr="00F93FFA">
        <w:rPr>
          <w:color w:val="000000"/>
          <w:sz w:val="22"/>
          <w:szCs w:val="22"/>
        </w:rPr>
        <w:t xml:space="preserve">Pradinė dozė yra 600 mg, vartojant </w:t>
      </w:r>
      <w:r w:rsidRPr="00F93FFA">
        <w:rPr>
          <w:b/>
          <w:color w:val="000000"/>
          <w:sz w:val="22"/>
          <w:szCs w:val="22"/>
        </w:rPr>
        <w:t>kartą</w:t>
      </w:r>
      <w:r w:rsidRPr="00F93FFA">
        <w:rPr>
          <w:color w:val="000000"/>
          <w:sz w:val="22"/>
          <w:szCs w:val="22"/>
        </w:rPr>
        <w:t xml:space="preserve"> per parą.</w:t>
      </w:r>
    </w:p>
    <w:p w14:paraId="4A5B5D8D" w14:textId="77777777" w:rsidR="003646A0" w:rsidRPr="00F93FFA" w:rsidRDefault="003646A0" w:rsidP="00DE16D0">
      <w:pPr>
        <w:widowControl w:val="0"/>
        <w:rPr>
          <w:color w:val="000000"/>
          <w:sz w:val="22"/>
          <w:szCs w:val="22"/>
        </w:rPr>
      </w:pPr>
    </w:p>
    <w:p w14:paraId="2E20B4ED" w14:textId="77777777" w:rsidR="003646A0" w:rsidRPr="00F93FFA" w:rsidRDefault="003646A0" w:rsidP="009A4400">
      <w:pPr>
        <w:keepNext/>
        <w:widowControl w:val="0"/>
        <w:numPr>
          <w:ilvl w:val="0"/>
          <w:numId w:val="14"/>
        </w:numPr>
        <w:tabs>
          <w:tab w:val="clear" w:pos="360"/>
          <w:tab w:val="num" w:pos="-2160"/>
        </w:tabs>
        <w:ind w:left="540" w:hanging="540"/>
        <w:rPr>
          <w:b/>
          <w:color w:val="000000"/>
          <w:sz w:val="22"/>
          <w:szCs w:val="22"/>
        </w:rPr>
      </w:pPr>
      <w:r w:rsidRPr="00F93FFA">
        <w:rPr>
          <w:b/>
          <w:color w:val="000000"/>
          <w:sz w:val="22"/>
          <w:szCs w:val="22"/>
        </w:rPr>
        <w:t>Jeigu gydoma MDS/MPL:</w:t>
      </w:r>
    </w:p>
    <w:p w14:paraId="37C9C59C" w14:textId="2DF1BC5E" w:rsidR="003646A0" w:rsidRPr="00F93FFA" w:rsidRDefault="003646A0" w:rsidP="00DE16D0">
      <w:pPr>
        <w:pStyle w:val="Listlevel1"/>
        <w:widowControl w:val="0"/>
        <w:tabs>
          <w:tab w:val="left" w:pos="720"/>
        </w:tabs>
        <w:spacing w:before="0" w:after="0"/>
        <w:ind w:left="0" w:firstLine="540"/>
        <w:rPr>
          <w:color w:val="000000"/>
          <w:sz w:val="22"/>
          <w:szCs w:val="22"/>
          <w:lang w:val="lt-LT"/>
        </w:rPr>
      </w:pPr>
      <w:r w:rsidRPr="00F93FFA">
        <w:rPr>
          <w:color w:val="000000"/>
          <w:sz w:val="22"/>
          <w:szCs w:val="22"/>
          <w:lang w:val="lt-LT"/>
        </w:rPr>
        <w:t xml:space="preserve">Pradinė dozė yra 400 mg, vartojant </w:t>
      </w:r>
      <w:r w:rsidRPr="00F93FFA">
        <w:rPr>
          <w:b/>
          <w:color w:val="000000"/>
          <w:sz w:val="22"/>
          <w:szCs w:val="22"/>
          <w:lang w:val="lt-LT"/>
        </w:rPr>
        <w:t>kartą</w:t>
      </w:r>
      <w:r w:rsidRPr="00F93FFA">
        <w:rPr>
          <w:color w:val="000000"/>
          <w:sz w:val="22"/>
          <w:szCs w:val="22"/>
          <w:lang w:val="lt-LT"/>
        </w:rPr>
        <w:t xml:space="preserve"> per parą.</w:t>
      </w:r>
    </w:p>
    <w:p w14:paraId="52AEBF86" w14:textId="77777777" w:rsidR="003646A0" w:rsidRPr="00F93FFA" w:rsidRDefault="003646A0" w:rsidP="00DE16D0">
      <w:pPr>
        <w:pStyle w:val="Listlevel1"/>
        <w:widowControl w:val="0"/>
        <w:spacing w:before="0" w:after="0"/>
        <w:ind w:left="0" w:firstLine="0"/>
        <w:rPr>
          <w:color w:val="000000"/>
          <w:sz w:val="22"/>
          <w:szCs w:val="22"/>
          <w:lang w:val="lt-LT"/>
        </w:rPr>
      </w:pPr>
    </w:p>
    <w:p w14:paraId="14F646F5" w14:textId="77777777" w:rsidR="003646A0" w:rsidRPr="00F93FFA" w:rsidRDefault="003646A0" w:rsidP="009A4400">
      <w:pPr>
        <w:keepNext/>
        <w:widowControl w:val="0"/>
        <w:numPr>
          <w:ilvl w:val="0"/>
          <w:numId w:val="14"/>
        </w:numPr>
        <w:tabs>
          <w:tab w:val="clear" w:pos="360"/>
          <w:tab w:val="num" w:pos="-2160"/>
        </w:tabs>
        <w:ind w:left="540" w:hanging="540"/>
        <w:rPr>
          <w:b/>
          <w:color w:val="000000"/>
          <w:sz w:val="22"/>
          <w:szCs w:val="22"/>
        </w:rPr>
      </w:pPr>
      <w:r w:rsidRPr="00F93FFA">
        <w:rPr>
          <w:b/>
          <w:color w:val="000000"/>
          <w:sz w:val="22"/>
          <w:szCs w:val="22"/>
        </w:rPr>
        <w:t>Jeigu gydoma HES/LEL:</w:t>
      </w:r>
    </w:p>
    <w:p w14:paraId="470CDF39" w14:textId="426A2672" w:rsidR="003646A0" w:rsidRPr="00F93FFA" w:rsidRDefault="003646A0" w:rsidP="00DE16D0">
      <w:pPr>
        <w:widowControl w:val="0"/>
        <w:ind w:left="540"/>
        <w:rPr>
          <w:rFonts w:eastAsia="MS Mincho"/>
          <w:color w:val="000000"/>
          <w:sz w:val="22"/>
          <w:szCs w:val="22"/>
          <w:lang w:eastAsia="ja-JP"/>
        </w:rPr>
      </w:pPr>
      <w:r w:rsidRPr="00F93FFA">
        <w:rPr>
          <w:color w:val="000000"/>
          <w:sz w:val="22"/>
          <w:szCs w:val="22"/>
        </w:rPr>
        <w:t>Pradinė dozė yra 100 mg, t.</w:t>
      </w:r>
      <w:r w:rsidR="00957B98" w:rsidRPr="00F93FFA">
        <w:rPr>
          <w:color w:val="000000"/>
          <w:sz w:val="22"/>
          <w:szCs w:val="22"/>
        </w:rPr>
        <w:t> </w:t>
      </w:r>
      <w:r w:rsidRPr="00F93FFA">
        <w:rPr>
          <w:color w:val="000000"/>
          <w:sz w:val="22"/>
          <w:szCs w:val="22"/>
        </w:rPr>
        <w:t xml:space="preserve">y. vartojant </w:t>
      </w:r>
      <w:r w:rsidRPr="00F93FFA">
        <w:rPr>
          <w:b/>
          <w:color w:val="000000"/>
          <w:sz w:val="22"/>
          <w:szCs w:val="22"/>
        </w:rPr>
        <w:t>kartą</w:t>
      </w:r>
      <w:r w:rsidRPr="00F93FFA">
        <w:rPr>
          <w:color w:val="000000"/>
          <w:sz w:val="22"/>
          <w:szCs w:val="22"/>
        </w:rPr>
        <w:t xml:space="preserve"> per parą. </w:t>
      </w:r>
      <w:r w:rsidRPr="00F93FFA">
        <w:rPr>
          <w:rFonts w:eastAsia="MS Mincho"/>
          <w:color w:val="000000"/>
          <w:sz w:val="22"/>
          <w:szCs w:val="22"/>
          <w:lang w:eastAsia="ja-JP"/>
        </w:rPr>
        <w:t xml:space="preserve">Priklausomai nuo Jūsų atsako į gydymą, Jūsų gydytojas gali nuspręsti padidinti dozę iki 400 mg, vartojant </w:t>
      </w:r>
      <w:r w:rsidRPr="00F93FFA">
        <w:rPr>
          <w:rFonts w:eastAsia="MS Mincho"/>
          <w:b/>
          <w:color w:val="000000"/>
          <w:sz w:val="22"/>
          <w:szCs w:val="22"/>
          <w:lang w:eastAsia="ja-JP"/>
        </w:rPr>
        <w:t>kartą</w:t>
      </w:r>
      <w:r w:rsidRPr="00F93FFA">
        <w:rPr>
          <w:rFonts w:eastAsia="MS Mincho"/>
          <w:color w:val="000000"/>
          <w:sz w:val="22"/>
          <w:szCs w:val="22"/>
          <w:lang w:eastAsia="ja-JP"/>
        </w:rPr>
        <w:t xml:space="preserve"> per parą.</w:t>
      </w:r>
    </w:p>
    <w:p w14:paraId="53DC6CB7" w14:textId="77777777" w:rsidR="003646A0" w:rsidRPr="00F93FFA" w:rsidRDefault="003646A0" w:rsidP="00DE16D0">
      <w:pPr>
        <w:widowControl w:val="0"/>
        <w:rPr>
          <w:color w:val="000000"/>
          <w:sz w:val="22"/>
          <w:szCs w:val="22"/>
        </w:rPr>
      </w:pPr>
    </w:p>
    <w:p w14:paraId="4A438E9C" w14:textId="77777777" w:rsidR="003646A0" w:rsidRPr="00F93FFA" w:rsidRDefault="003646A0" w:rsidP="009A4400">
      <w:pPr>
        <w:keepNext/>
        <w:widowControl w:val="0"/>
        <w:numPr>
          <w:ilvl w:val="0"/>
          <w:numId w:val="14"/>
        </w:numPr>
        <w:tabs>
          <w:tab w:val="clear" w:pos="360"/>
          <w:tab w:val="num" w:pos="-2160"/>
        </w:tabs>
        <w:ind w:left="540" w:hanging="540"/>
        <w:rPr>
          <w:b/>
          <w:color w:val="000000"/>
          <w:sz w:val="22"/>
          <w:szCs w:val="22"/>
        </w:rPr>
      </w:pPr>
      <w:r w:rsidRPr="00F93FFA">
        <w:rPr>
          <w:b/>
          <w:color w:val="000000"/>
          <w:sz w:val="22"/>
          <w:szCs w:val="22"/>
        </w:rPr>
        <w:t>Jeigu gydoma DFSP:</w:t>
      </w:r>
    </w:p>
    <w:p w14:paraId="1CC2C041" w14:textId="78F6FF0E" w:rsidR="003646A0" w:rsidRPr="00F93FFA" w:rsidRDefault="003646A0" w:rsidP="00DE16D0">
      <w:pPr>
        <w:widowControl w:val="0"/>
        <w:ind w:firstLine="540"/>
        <w:rPr>
          <w:color w:val="000000"/>
          <w:sz w:val="22"/>
          <w:szCs w:val="22"/>
        </w:rPr>
      </w:pPr>
      <w:r w:rsidRPr="00F93FFA">
        <w:rPr>
          <w:color w:val="000000"/>
          <w:sz w:val="22"/>
          <w:szCs w:val="22"/>
        </w:rPr>
        <w:t xml:space="preserve">Dozė yra 800 mg per parą, vartojant </w:t>
      </w:r>
      <w:r w:rsidR="00552E8A" w:rsidRPr="00F53012">
        <w:rPr>
          <w:color w:val="000000"/>
          <w:sz w:val="22"/>
          <w:szCs w:val="22"/>
        </w:rPr>
        <w:t>400 mg</w:t>
      </w:r>
      <w:r w:rsidR="00552E8A" w:rsidRPr="00552E8A" w:rsidDel="00552E8A">
        <w:rPr>
          <w:color w:val="000000"/>
          <w:sz w:val="22"/>
          <w:szCs w:val="22"/>
        </w:rPr>
        <w:t xml:space="preserve"> </w:t>
      </w:r>
      <w:r w:rsidRPr="00F93FFA">
        <w:rPr>
          <w:color w:val="000000"/>
          <w:sz w:val="22"/>
          <w:szCs w:val="22"/>
        </w:rPr>
        <w:t xml:space="preserve">ryte ir </w:t>
      </w:r>
      <w:r w:rsidR="00552E8A" w:rsidRPr="00F53012">
        <w:rPr>
          <w:color w:val="000000"/>
          <w:sz w:val="22"/>
          <w:szCs w:val="22"/>
        </w:rPr>
        <w:t>400 mg</w:t>
      </w:r>
      <w:r w:rsidR="00552E8A" w:rsidRPr="00552E8A" w:rsidDel="00552E8A">
        <w:rPr>
          <w:color w:val="000000"/>
          <w:sz w:val="22"/>
          <w:szCs w:val="22"/>
        </w:rPr>
        <w:t xml:space="preserve"> </w:t>
      </w:r>
      <w:r w:rsidRPr="00F93FFA">
        <w:rPr>
          <w:color w:val="000000"/>
          <w:sz w:val="22"/>
          <w:szCs w:val="22"/>
        </w:rPr>
        <w:t>vakare.</w:t>
      </w:r>
    </w:p>
    <w:p w14:paraId="76563F53" w14:textId="1750289A" w:rsidR="003646A0" w:rsidRDefault="003646A0" w:rsidP="00DE16D0">
      <w:pPr>
        <w:widowControl w:val="0"/>
        <w:rPr>
          <w:color w:val="000000"/>
          <w:sz w:val="22"/>
          <w:szCs w:val="22"/>
        </w:rPr>
      </w:pPr>
    </w:p>
    <w:p w14:paraId="793269B8" w14:textId="05280ED0" w:rsidR="00552E8A" w:rsidRDefault="00552E8A" w:rsidP="00DE16D0">
      <w:pPr>
        <w:widowControl w:val="0"/>
        <w:rPr>
          <w:color w:val="000000"/>
          <w:sz w:val="22"/>
          <w:szCs w:val="22"/>
        </w:rPr>
      </w:pPr>
      <w:r w:rsidRPr="00552E8A">
        <w:rPr>
          <w:color w:val="000000"/>
          <w:sz w:val="22"/>
          <w:szCs w:val="22"/>
        </w:rPr>
        <w:t>400</w:t>
      </w:r>
      <w:r>
        <w:rPr>
          <w:color w:val="000000"/>
          <w:sz w:val="22"/>
          <w:szCs w:val="22"/>
        </w:rPr>
        <w:t> </w:t>
      </w:r>
      <w:r w:rsidRPr="00552E8A">
        <w:rPr>
          <w:color w:val="000000"/>
          <w:sz w:val="22"/>
          <w:szCs w:val="22"/>
        </w:rPr>
        <w:t xml:space="preserve">mg dozę galima vartoti </w:t>
      </w:r>
      <w:r>
        <w:rPr>
          <w:color w:val="000000"/>
          <w:sz w:val="22"/>
          <w:szCs w:val="22"/>
        </w:rPr>
        <w:t>kaip</w:t>
      </w:r>
      <w:r w:rsidRPr="00552E8A">
        <w:rPr>
          <w:color w:val="000000"/>
          <w:sz w:val="22"/>
          <w:szCs w:val="22"/>
        </w:rPr>
        <w:t xml:space="preserve"> 1</w:t>
      </w:r>
      <w:r>
        <w:rPr>
          <w:color w:val="000000"/>
          <w:sz w:val="22"/>
          <w:szCs w:val="22"/>
        </w:rPr>
        <w:t> </w:t>
      </w:r>
      <w:r w:rsidRPr="00552E8A">
        <w:rPr>
          <w:color w:val="000000"/>
          <w:sz w:val="22"/>
          <w:szCs w:val="22"/>
        </w:rPr>
        <w:t>tabletę po 400</w:t>
      </w:r>
      <w:r>
        <w:rPr>
          <w:color w:val="000000"/>
          <w:sz w:val="22"/>
          <w:szCs w:val="22"/>
        </w:rPr>
        <w:t> </w:t>
      </w:r>
      <w:r w:rsidRPr="00552E8A">
        <w:rPr>
          <w:color w:val="000000"/>
          <w:sz w:val="22"/>
          <w:szCs w:val="22"/>
        </w:rPr>
        <w:t>mg arba 4</w:t>
      </w:r>
      <w:r>
        <w:rPr>
          <w:color w:val="000000"/>
          <w:sz w:val="22"/>
          <w:szCs w:val="22"/>
        </w:rPr>
        <w:t> </w:t>
      </w:r>
      <w:r w:rsidRPr="00552E8A">
        <w:rPr>
          <w:color w:val="000000"/>
          <w:sz w:val="22"/>
          <w:szCs w:val="22"/>
        </w:rPr>
        <w:t>tabletes po 100</w:t>
      </w:r>
      <w:r>
        <w:rPr>
          <w:color w:val="000000"/>
          <w:sz w:val="22"/>
          <w:szCs w:val="22"/>
        </w:rPr>
        <w:t> </w:t>
      </w:r>
      <w:r w:rsidRPr="00552E8A">
        <w:rPr>
          <w:color w:val="000000"/>
          <w:sz w:val="22"/>
          <w:szCs w:val="22"/>
        </w:rPr>
        <w:t>mg.</w:t>
      </w:r>
    </w:p>
    <w:p w14:paraId="7EE00C11" w14:textId="76342E8A" w:rsidR="00552E8A" w:rsidRPr="00552E8A" w:rsidRDefault="00552E8A" w:rsidP="00552E8A">
      <w:pPr>
        <w:widowControl w:val="0"/>
        <w:rPr>
          <w:color w:val="000000"/>
          <w:sz w:val="22"/>
          <w:szCs w:val="22"/>
        </w:rPr>
      </w:pPr>
      <w:r>
        <w:rPr>
          <w:color w:val="000000"/>
          <w:sz w:val="22"/>
          <w:szCs w:val="22"/>
        </w:rPr>
        <w:t>6</w:t>
      </w:r>
      <w:r w:rsidRPr="00552E8A">
        <w:rPr>
          <w:color w:val="000000"/>
          <w:sz w:val="22"/>
          <w:szCs w:val="22"/>
        </w:rPr>
        <w:t xml:space="preserve">00 mg dozę galima vartoti kaip 1 tabletę po 400 mg </w:t>
      </w:r>
      <w:r>
        <w:rPr>
          <w:color w:val="000000"/>
          <w:sz w:val="22"/>
          <w:szCs w:val="22"/>
        </w:rPr>
        <w:t>ir</w:t>
      </w:r>
      <w:r w:rsidRPr="00552E8A">
        <w:rPr>
          <w:color w:val="000000"/>
          <w:sz w:val="22"/>
          <w:szCs w:val="22"/>
        </w:rPr>
        <w:t xml:space="preserve"> </w:t>
      </w:r>
      <w:r>
        <w:rPr>
          <w:color w:val="000000"/>
          <w:sz w:val="22"/>
          <w:szCs w:val="22"/>
        </w:rPr>
        <w:t>2</w:t>
      </w:r>
      <w:r w:rsidRPr="00552E8A">
        <w:rPr>
          <w:color w:val="000000"/>
          <w:sz w:val="22"/>
          <w:szCs w:val="22"/>
        </w:rPr>
        <w:t> tabletes po 100 mg.</w:t>
      </w:r>
    </w:p>
    <w:p w14:paraId="1B560AF0" w14:textId="77777777" w:rsidR="00552E8A" w:rsidRPr="00F93FFA" w:rsidRDefault="00552E8A" w:rsidP="00DE16D0">
      <w:pPr>
        <w:widowControl w:val="0"/>
        <w:rPr>
          <w:color w:val="000000"/>
          <w:sz w:val="22"/>
          <w:szCs w:val="22"/>
        </w:rPr>
      </w:pPr>
    </w:p>
    <w:p w14:paraId="65C83874" w14:textId="77777777" w:rsidR="003646A0" w:rsidRPr="00F93FFA" w:rsidRDefault="003646A0" w:rsidP="009A4400">
      <w:pPr>
        <w:keepNext/>
        <w:widowControl w:val="0"/>
        <w:rPr>
          <w:b/>
          <w:color w:val="000000"/>
          <w:sz w:val="22"/>
          <w:szCs w:val="22"/>
        </w:rPr>
      </w:pPr>
      <w:r w:rsidRPr="00F93FFA">
        <w:rPr>
          <w:b/>
          <w:color w:val="000000"/>
          <w:sz w:val="22"/>
          <w:szCs w:val="22"/>
        </w:rPr>
        <w:t>Vartojimas vaikams</w:t>
      </w:r>
      <w:r w:rsidRPr="00F93FFA">
        <w:rPr>
          <w:b/>
          <w:sz w:val="22"/>
          <w:szCs w:val="22"/>
        </w:rPr>
        <w:t xml:space="preserve"> ir paaugliams</w:t>
      </w:r>
    </w:p>
    <w:p w14:paraId="4D2AAA28" w14:textId="77777777" w:rsidR="003646A0" w:rsidRPr="00F93FFA" w:rsidRDefault="003646A0" w:rsidP="00DE16D0">
      <w:pPr>
        <w:widowControl w:val="0"/>
        <w:rPr>
          <w:color w:val="000000"/>
          <w:sz w:val="22"/>
          <w:szCs w:val="22"/>
        </w:rPr>
      </w:pPr>
      <w:r w:rsidRPr="00F93FFA">
        <w:rPr>
          <w:color w:val="000000"/>
          <w:sz w:val="22"/>
          <w:szCs w:val="22"/>
        </w:rPr>
        <w:t>Gydytojas nurodys, kiek Glivec tablečių reikia duoti gerti vaikui. Glivec dozė priklausys nuo vaiko būklės, kūno masės ir ūgio. Bendroji vaikų</w:t>
      </w:r>
      <w:r w:rsidR="00D91852" w:rsidRPr="00F93FFA">
        <w:rPr>
          <w:color w:val="000000"/>
          <w:sz w:val="22"/>
          <w:szCs w:val="22"/>
        </w:rPr>
        <w:t>, seragnčių LML</w:t>
      </w:r>
      <w:r w:rsidRPr="00F93FFA">
        <w:rPr>
          <w:color w:val="000000"/>
          <w:sz w:val="22"/>
          <w:szCs w:val="22"/>
        </w:rPr>
        <w:t xml:space="preserve"> paros dozė neturi būti didesnė kaip 800 mg</w:t>
      </w:r>
      <w:r w:rsidR="00D91852" w:rsidRPr="00F93FFA">
        <w:rPr>
          <w:color w:val="000000"/>
          <w:sz w:val="22"/>
          <w:szCs w:val="22"/>
        </w:rPr>
        <w:t xml:space="preserve"> ir 600 mg, sergančių Ph+ ŪLL</w:t>
      </w:r>
      <w:r w:rsidRPr="00F93FFA">
        <w:rPr>
          <w:color w:val="000000"/>
          <w:sz w:val="22"/>
          <w:szCs w:val="22"/>
        </w:rPr>
        <w:t>. Vaistą galima vartoti vieną kartą per parą arba paros dozę padalyti į dvi dalis (pusę dozės vartoti ryte ir kitą pusę – vakare).</w:t>
      </w:r>
    </w:p>
    <w:p w14:paraId="78CEAF92" w14:textId="77777777" w:rsidR="003646A0" w:rsidRPr="00F93FFA" w:rsidRDefault="003646A0" w:rsidP="00DE16D0">
      <w:pPr>
        <w:widowControl w:val="0"/>
        <w:rPr>
          <w:color w:val="000000"/>
          <w:sz w:val="22"/>
          <w:szCs w:val="22"/>
        </w:rPr>
      </w:pPr>
    </w:p>
    <w:p w14:paraId="2C327B96" w14:textId="77777777" w:rsidR="003646A0" w:rsidRPr="00F93FFA" w:rsidRDefault="003646A0" w:rsidP="009A4400">
      <w:pPr>
        <w:keepNext/>
        <w:widowControl w:val="0"/>
        <w:rPr>
          <w:b/>
          <w:color w:val="000000"/>
          <w:sz w:val="22"/>
          <w:szCs w:val="22"/>
        </w:rPr>
      </w:pPr>
      <w:r w:rsidRPr="00F93FFA">
        <w:rPr>
          <w:b/>
          <w:color w:val="000000"/>
          <w:sz w:val="22"/>
          <w:szCs w:val="22"/>
        </w:rPr>
        <w:t>Kada ir kaip vartoti Glivec</w:t>
      </w:r>
    </w:p>
    <w:p w14:paraId="27BBF399" w14:textId="77777777" w:rsidR="003646A0" w:rsidRPr="00F93FFA" w:rsidRDefault="003646A0" w:rsidP="00DE16D0">
      <w:pPr>
        <w:widowControl w:val="0"/>
        <w:numPr>
          <w:ilvl w:val="0"/>
          <w:numId w:val="14"/>
        </w:numPr>
        <w:tabs>
          <w:tab w:val="clear" w:pos="360"/>
          <w:tab w:val="num" w:pos="-2160"/>
        </w:tabs>
        <w:ind w:left="540" w:hanging="540"/>
        <w:rPr>
          <w:color w:val="000000"/>
          <w:sz w:val="22"/>
          <w:szCs w:val="22"/>
        </w:rPr>
      </w:pPr>
      <w:r w:rsidRPr="00F93FFA">
        <w:rPr>
          <w:b/>
          <w:color w:val="000000"/>
          <w:sz w:val="22"/>
          <w:szCs w:val="22"/>
        </w:rPr>
        <w:t xml:space="preserve">Glivec gerkite valgio metu. </w:t>
      </w:r>
      <w:r w:rsidRPr="00F93FFA">
        <w:rPr>
          <w:color w:val="000000"/>
          <w:sz w:val="22"/>
          <w:szCs w:val="22"/>
        </w:rPr>
        <w:t>Tai padės išvengti skrandžio sutrikimų Glivec vartojimo metu.</w:t>
      </w:r>
    </w:p>
    <w:p w14:paraId="707D00B5" w14:textId="77777777" w:rsidR="003646A0" w:rsidRPr="00F93FFA" w:rsidRDefault="003646A0" w:rsidP="00DE16D0">
      <w:pPr>
        <w:widowControl w:val="0"/>
        <w:numPr>
          <w:ilvl w:val="0"/>
          <w:numId w:val="14"/>
        </w:numPr>
        <w:tabs>
          <w:tab w:val="clear" w:pos="360"/>
          <w:tab w:val="num" w:pos="-2160"/>
        </w:tabs>
        <w:ind w:left="540" w:hanging="540"/>
        <w:rPr>
          <w:color w:val="000000"/>
          <w:sz w:val="22"/>
          <w:szCs w:val="22"/>
        </w:rPr>
      </w:pPr>
      <w:r w:rsidRPr="00F93FFA">
        <w:rPr>
          <w:b/>
          <w:color w:val="000000"/>
          <w:sz w:val="22"/>
          <w:szCs w:val="22"/>
        </w:rPr>
        <w:t>Nurykite visą tabletę užgerdami didele stikline vandens</w:t>
      </w:r>
      <w:r w:rsidRPr="00F93FFA">
        <w:rPr>
          <w:color w:val="000000"/>
          <w:sz w:val="22"/>
          <w:szCs w:val="22"/>
        </w:rPr>
        <w:t>.</w:t>
      </w:r>
    </w:p>
    <w:p w14:paraId="06910E94" w14:textId="77777777" w:rsidR="003646A0" w:rsidRPr="00F93FFA" w:rsidRDefault="003646A0" w:rsidP="00DE16D0">
      <w:pPr>
        <w:widowControl w:val="0"/>
        <w:rPr>
          <w:color w:val="000000"/>
          <w:sz w:val="22"/>
          <w:szCs w:val="22"/>
        </w:rPr>
      </w:pPr>
    </w:p>
    <w:p w14:paraId="05E8E9C2" w14:textId="77777777" w:rsidR="003646A0" w:rsidRPr="00F93FFA" w:rsidRDefault="003646A0" w:rsidP="009A4400">
      <w:pPr>
        <w:keepNext/>
        <w:widowControl w:val="0"/>
        <w:rPr>
          <w:color w:val="000000"/>
          <w:sz w:val="22"/>
          <w:szCs w:val="22"/>
        </w:rPr>
      </w:pPr>
      <w:r w:rsidRPr="00F93FFA">
        <w:rPr>
          <w:color w:val="000000"/>
          <w:sz w:val="22"/>
          <w:szCs w:val="22"/>
        </w:rPr>
        <w:t>Jeigu negalite nuryti tabletės, ištirpinkite ją stiklinėje negazuoto vandens ar obuolių sulčių:</w:t>
      </w:r>
    </w:p>
    <w:p w14:paraId="535C6E79" w14:textId="661046A6" w:rsidR="003646A0" w:rsidRPr="00F93FFA" w:rsidRDefault="003646A0" w:rsidP="00DE16D0">
      <w:pPr>
        <w:widowControl w:val="0"/>
        <w:numPr>
          <w:ilvl w:val="0"/>
          <w:numId w:val="4"/>
        </w:numPr>
        <w:ind w:left="540" w:hanging="540"/>
        <w:rPr>
          <w:color w:val="000000"/>
          <w:sz w:val="22"/>
          <w:szCs w:val="22"/>
        </w:rPr>
      </w:pPr>
      <w:r w:rsidRPr="00F93FFA">
        <w:rPr>
          <w:color w:val="000000"/>
          <w:sz w:val="22"/>
          <w:szCs w:val="22"/>
        </w:rPr>
        <w:t>Kiekvienai 100 mg tabletei naudokite maždaug 50 ml vandens ar sulčių</w:t>
      </w:r>
      <w:r w:rsidR="00552E8A">
        <w:rPr>
          <w:color w:val="000000"/>
          <w:sz w:val="22"/>
          <w:szCs w:val="22"/>
        </w:rPr>
        <w:t xml:space="preserve"> arba 200 ml</w:t>
      </w:r>
      <w:r w:rsidR="00552E8A" w:rsidRPr="00552E8A">
        <w:rPr>
          <w:color w:val="000000"/>
          <w:sz w:val="22"/>
          <w:szCs w:val="22"/>
        </w:rPr>
        <w:t xml:space="preserve"> </w:t>
      </w:r>
      <w:r w:rsidR="00552E8A">
        <w:rPr>
          <w:color w:val="000000"/>
          <w:sz w:val="22"/>
          <w:szCs w:val="22"/>
        </w:rPr>
        <w:t>k</w:t>
      </w:r>
      <w:r w:rsidR="00552E8A" w:rsidRPr="00552E8A">
        <w:rPr>
          <w:color w:val="000000"/>
          <w:sz w:val="22"/>
          <w:szCs w:val="22"/>
        </w:rPr>
        <w:t xml:space="preserve">iekvienai </w:t>
      </w:r>
      <w:r w:rsidR="00552E8A">
        <w:rPr>
          <w:color w:val="000000"/>
          <w:sz w:val="22"/>
          <w:szCs w:val="22"/>
        </w:rPr>
        <w:t>4</w:t>
      </w:r>
      <w:r w:rsidR="00552E8A" w:rsidRPr="00552E8A">
        <w:rPr>
          <w:color w:val="000000"/>
          <w:sz w:val="22"/>
          <w:szCs w:val="22"/>
        </w:rPr>
        <w:t>00 mg tabletei</w:t>
      </w:r>
      <w:r w:rsidRPr="00F93FFA">
        <w:rPr>
          <w:color w:val="000000"/>
          <w:sz w:val="22"/>
          <w:szCs w:val="22"/>
        </w:rPr>
        <w:t>.</w:t>
      </w:r>
    </w:p>
    <w:p w14:paraId="1C06FE3D" w14:textId="77777777" w:rsidR="003646A0" w:rsidRPr="00F93FFA" w:rsidRDefault="003646A0" w:rsidP="00DE16D0">
      <w:pPr>
        <w:widowControl w:val="0"/>
        <w:numPr>
          <w:ilvl w:val="0"/>
          <w:numId w:val="4"/>
        </w:numPr>
        <w:ind w:left="540" w:hanging="540"/>
        <w:rPr>
          <w:color w:val="000000"/>
          <w:sz w:val="22"/>
          <w:szCs w:val="22"/>
        </w:rPr>
      </w:pPr>
      <w:r w:rsidRPr="00F93FFA">
        <w:rPr>
          <w:color w:val="000000"/>
          <w:sz w:val="22"/>
          <w:szCs w:val="22"/>
        </w:rPr>
        <w:t>Pamaišykite šaukštu, kol tabletė visiškai ištirps.</w:t>
      </w:r>
    </w:p>
    <w:p w14:paraId="53541B50" w14:textId="77777777" w:rsidR="003646A0" w:rsidRPr="00F93FFA" w:rsidRDefault="003646A0" w:rsidP="00DE16D0">
      <w:pPr>
        <w:widowControl w:val="0"/>
        <w:numPr>
          <w:ilvl w:val="0"/>
          <w:numId w:val="4"/>
        </w:numPr>
        <w:ind w:left="540" w:hanging="540"/>
        <w:rPr>
          <w:color w:val="000000"/>
          <w:sz w:val="22"/>
          <w:szCs w:val="22"/>
        </w:rPr>
      </w:pPr>
      <w:r w:rsidRPr="00F93FFA">
        <w:rPr>
          <w:color w:val="000000"/>
          <w:sz w:val="22"/>
          <w:szCs w:val="22"/>
        </w:rPr>
        <w:t>Kai tabletė ištirps, nedelsdami išgerkite visą stiklinės turinį. Ištirpusios tabletės liekanų gali likti stiklinėje.</w:t>
      </w:r>
    </w:p>
    <w:p w14:paraId="5CA8ABE5" w14:textId="77777777" w:rsidR="003646A0" w:rsidRPr="00F93FFA" w:rsidRDefault="003646A0" w:rsidP="00DE16D0">
      <w:pPr>
        <w:widowControl w:val="0"/>
        <w:rPr>
          <w:color w:val="000000"/>
          <w:sz w:val="22"/>
          <w:szCs w:val="22"/>
        </w:rPr>
      </w:pPr>
    </w:p>
    <w:p w14:paraId="4DD7563E" w14:textId="77777777" w:rsidR="003646A0" w:rsidRPr="00F93FFA" w:rsidRDefault="003646A0" w:rsidP="009A4400">
      <w:pPr>
        <w:keepNext/>
        <w:widowControl w:val="0"/>
        <w:rPr>
          <w:b/>
          <w:color w:val="000000"/>
          <w:sz w:val="22"/>
          <w:szCs w:val="22"/>
        </w:rPr>
      </w:pPr>
      <w:r w:rsidRPr="00F93FFA">
        <w:rPr>
          <w:b/>
          <w:color w:val="000000"/>
          <w:sz w:val="22"/>
          <w:szCs w:val="22"/>
        </w:rPr>
        <w:t>Kaip ilgai vartoti Glivec</w:t>
      </w:r>
    </w:p>
    <w:p w14:paraId="5914717F" w14:textId="77777777" w:rsidR="003646A0" w:rsidRPr="00F93FFA" w:rsidRDefault="003646A0" w:rsidP="00DE16D0">
      <w:pPr>
        <w:widowControl w:val="0"/>
        <w:rPr>
          <w:color w:val="000000"/>
          <w:sz w:val="22"/>
          <w:szCs w:val="22"/>
        </w:rPr>
      </w:pPr>
      <w:r w:rsidRPr="00F93FFA">
        <w:rPr>
          <w:color w:val="000000"/>
          <w:sz w:val="22"/>
          <w:szCs w:val="22"/>
        </w:rPr>
        <w:t>Glivec vartokite kasdien, tiek laiko, kiek nurodė Jūsų gydytojas.</w:t>
      </w:r>
    </w:p>
    <w:p w14:paraId="00530156" w14:textId="77777777" w:rsidR="003646A0" w:rsidRPr="00F93FFA" w:rsidRDefault="003646A0" w:rsidP="00DE16D0">
      <w:pPr>
        <w:widowControl w:val="0"/>
        <w:rPr>
          <w:color w:val="000000"/>
          <w:sz w:val="22"/>
          <w:szCs w:val="22"/>
        </w:rPr>
      </w:pPr>
    </w:p>
    <w:p w14:paraId="0B66FED0" w14:textId="77777777" w:rsidR="003646A0" w:rsidRPr="00F93FFA" w:rsidRDefault="003646A0" w:rsidP="009A4400">
      <w:pPr>
        <w:keepNext/>
        <w:widowControl w:val="0"/>
        <w:ind w:left="567" w:hanging="567"/>
        <w:rPr>
          <w:b/>
          <w:color w:val="000000"/>
          <w:sz w:val="22"/>
          <w:szCs w:val="22"/>
        </w:rPr>
      </w:pPr>
      <w:r w:rsidRPr="00F93FFA">
        <w:rPr>
          <w:b/>
          <w:sz w:val="22"/>
          <w:szCs w:val="22"/>
        </w:rPr>
        <w:t>Ką daryti</w:t>
      </w:r>
      <w:r w:rsidRPr="00F93FFA">
        <w:rPr>
          <w:sz w:val="22"/>
          <w:szCs w:val="22"/>
        </w:rPr>
        <w:t xml:space="preserve"> </w:t>
      </w:r>
      <w:r w:rsidRPr="00F93FFA">
        <w:rPr>
          <w:b/>
          <w:color w:val="000000"/>
          <w:sz w:val="22"/>
          <w:szCs w:val="22"/>
        </w:rPr>
        <w:t>pavartojus per didelę Glivec dozę?</w:t>
      </w:r>
    </w:p>
    <w:p w14:paraId="094A1861" w14:textId="77777777" w:rsidR="003646A0" w:rsidRPr="00F93FFA" w:rsidRDefault="003646A0" w:rsidP="00DE16D0">
      <w:pPr>
        <w:widowControl w:val="0"/>
        <w:rPr>
          <w:color w:val="000000"/>
          <w:sz w:val="22"/>
          <w:szCs w:val="22"/>
        </w:rPr>
      </w:pPr>
      <w:r w:rsidRPr="00F93FFA">
        <w:rPr>
          <w:color w:val="000000"/>
          <w:sz w:val="22"/>
          <w:szCs w:val="22"/>
        </w:rPr>
        <w:t xml:space="preserve">Jei atsitiktinai išgėrėte per daug tablečių, </w:t>
      </w:r>
      <w:r w:rsidRPr="00F93FFA">
        <w:rPr>
          <w:b/>
          <w:color w:val="000000"/>
          <w:sz w:val="22"/>
          <w:szCs w:val="22"/>
        </w:rPr>
        <w:t>iš karto</w:t>
      </w:r>
      <w:r w:rsidRPr="00F93FFA">
        <w:rPr>
          <w:color w:val="000000"/>
          <w:sz w:val="22"/>
          <w:szCs w:val="22"/>
        </w:rPr>
        <w:t xml:space="preserve"> kreipkitės į gydytoją. Jums gali prireikti medicininės pagalbos. Pasiimkite su savimi vaisto pakuotę.</w:t>
      </w:r>
    </w:p>
    <w:p w14:paraId="7A960689" w14:textId="77777777" w:rsidR="003646A0" w:rsidRPr="00F93FFA" w:rsidRDefault="003646A0" w:rsidP="00DE16D0">
      <w:pPr>
        <w:widowControl w:val="0"/>
        <w:rPr>
          <w:color w:val="000000"/>
          <w:sz w:val="22"/>
          <w:szCs w:val="22"/>
        </w:rPr>
      </w:pPr>
    </w:p>
    <w:p w14:paraId="6885A763" w14:textId="77777777" w:rsidR="003646A0" w:rsidRPr="00F93FFA" w:rsidRDefault="003646A0" w:rsidP="009A4400">
      <w:pPr>
        <w:keepNext/>
        <w:widowControl w:val="0"/>
        <w:rPr>
          <w:b/>
          <w:color w:val="000000"/>
          <w:sz w:val="22"/>
          <w:szCs w:val="22"/>
        </w:rPr>
      </w:pPr>
      <w:r w:rsidRPr="00F93FFA">
        <w:rPr>
          <w:b/>
          <w:color w:val="000000"/>
          <w:sz w:val="22"/>
          <w:szCs w:val="22"/>
        </w:rPr>
        <w:t>Pamiršus pavartoti Glivec</w:t>
      </w:r>
    </w:p>
    <w:p w14:paraId="6A737062"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Pamiršus pavartoti vaisto dozę, ją išgerkite kai tik prisiminėte. Tačiau jei jau beveik laikas gerti kitą dozę, praleistos dozės nevartokite.</w:t>
      </w:r>
    </w:p>
    <w:p w14:paraId="69AB3D42"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color w:val="000000"/>
          <w:sz w:val="22"/>
          <w:szCs w:val="22"/>
        </w:rPr>
        <w:t>Vėliau tęskite vaisto vartojimą įprastu režimu.</w:t>
      </w:r>
    </w:p>
    <w:p w14:paraId="695A0F20" w14:textId="77777777" w:rsidR="003646A0" w:rsidRPr="00F93FFA" w:rsidRDefault="003646A0" w:rsidP="00DE16D0">
      <w:pPr>
        <w:widowControl w:val="0"/>
        <w:numPr>
          <w:ilvl w:val="0"/>
          <w:numId w:val="15"/>
        </w:numPr>
        <w:tabs>
          <w:tab w:val="clear" w:pos="360"/>
        </w:tabs>
        <w:ind w:left="540" w:hanging="540"/>
        <w:rPr>
          <w:color w:val="000000"/>
          <w:sz w:val="22"/>
          <w:szCs w:val="22"/>
        </w:rPr>
      </w:pPr>
      <w:r w:rsidRPr="00F93FFA">
        <w:rPr>
          <w:noProof/>
          <w:sz w:val="22"/>
          <w:szCs w:val="22"/>
        </w:rPr>
        <w:t>Negalima vartoti dvigubos dozės norint kompensuoti praleistą</w:t>
      </w:r>
      <w:r w:rsidRPr="00F93FFA">
        <w:rPr>
          <w:color w:val="000000"/>
          <w:sz w:val="22"/>
          <w:szCs w:val="22"/>
        </w:rPr>
        <w:t xml:space="preserve"> dozę.</w:t>
      </w:r>
    </w:p>
    <w:p w14:paraId="3F032C05" w14:textId="77777777" w:rsidR="003646A0" w:rsidRPr="00F93FFA" w:rsidRDefault="003646A0" w:rsidP="00DE16D0">
      <w:pPr>
        <w:widowControl w:val="0"/>
        <w:ind w:left="567" w:hanging="567"/>
        <w:rPr>
          <w:color w:val="000000"/>
          <w:sz w:val="22"/>
          <w:szCs w:val="22"/>
        </w:rPr>
      </w:pPr>
    </w:p>
    <w:p w14:paraId="77BC9D25" w14:textId="77777777" w:rsidR="003646A0" w:rsidRPr="00F93FFA" w:rsidRDefault="003646A0" w:rsidP="00DE16D0">
      <w:pPr>
        <w:widowControl w:val="0"/>
        <w:rPr>
          <w:color w:val="000000"/>
          <w:sz w:val="22"/>
          <w:szCs w:val="22"/>
        </w:rPr>
      </w:pPr>
      <w:r w:rsidRPr="00F93FFA">
        <w:rPr>
          <w:color w:val="000000"/>
          <w:sz w:val="22"/>
          <w:szCs w:val="22"/>
        </w:rPr>
        <w:t>Jeigu kiltų daugiau klausimų dėl šio vaisto vartojimo, kreipkitės į gydytoją, vaistininką arba slaugytoją.</w:t>
      </w:r>
    </w:p>
    <w:p w14:paraId="19E592C6" w14:textId="77777777" w:rsidR="003646A0" w:rsidRPr="00F93FFA" w:rsidRDefault="003646A0" w:rsidP="00DE16D0">
      <w:pPr>
        <w:widowControl w:val="0"/>
        <w:ind w:left="567" w:hanging="567"/>
        <w:rPr>
          <w:color w:val="000000"/>
          <w:sz w:val="22"/>
          <w:szCs w:val="22"/>
        </w:rPr>
      </w:pPr>
    </w:p>
    <w:p w14:paraId="173C7300" w14:textId="77777777" w:rsidR="003646A0" w:rsidRPr="00F93FFA" w:rsidRDefault="003646A0" w:rsidP="00DE16D0">
      <w:pPr>
        <w:widowControl w:val="0"/>
        <w:ind w:left="567" w:hanging="567"/>
        <w:rPr>
          <w:color w:val="000000"/>
          <w:sz w:val="22"/>
          <w:szCs w:val="22"/>
        </w:rPr>
      </w:pPr>
    </w:p>
    <w:p w14:paraId="05147BE7" w14:textId="77777777" w:rsidR="00314B70" w:rsidRPr="00F93FFA" w:rsidRDefault="00314B70" w:rsidP="009A4400">
      <w:pPr>
        <w:keepNext/>
        <w:widowControl w:val="0"/>
        <w:numPr>
          <w:ilvl w:val="12"/>
          <w:numId w:val="0"/>
        </w:numPr>
        <w:ind w:left="567" w:hanging="567"/>
        <w:outlineLvl w:val="0"/>
        <w:rPr>
          <w:b/>
          <w:caps/>
          <w:color w:val="000000"/>
          <w:sz w:val="22"/>
          <w:szCs w:val="22"/>
        </w:rPr>
      </w:pPr>
      <w:r w:rsidRPr="00F93FFA">
        <w:rPr>
          <w:b/>
          <w:caps/>
          <w:color w:val="000000"/>
          <w:sz w:val="22"/>
          <w:szCs w:val="22"/>
        </w:rPr>
        <w:t>4.</w:t>
      </w:r>
      <w:r w:rsidRPr="00F93FFA">
        <w:rPr>
          <w:b/>
          <w:caps/>
          <w:color w:val="000000"/>
          <w:sz w:val="22"/>
          <w:szCs w:val="22"/>
        </w:rPr>
        <w:tab/>
        <w:t>G</w:t>
      </w:r>
      <w:r w:rsidRPr="00F93FFA">
        <w:rPr>
          <w:b/>
          <w:color w:val="000000"/>
          <w:sz w:val="22"/>
          <w:szCs w:val="22"/>
        </w:rPr>
        <w:t>alimas šalutinis poveikis</w:t>
      </w:r>
    </w:p>
    <w:p w14:paraId="7DE20988" w14:textId="77777777" w:rsidR="00314B70" w:rsidRPr="00F93FFA" w:rsidRDefault="00314B70" w:rsidP="009A4400">
      <w:pPr>
        <w:keepNext/>
        <w:widowControl w:val="0"/>
        <w:ind w:left="567" w:hanging="567"/>
        <w:rPr>
          <w:color w:val="000000"/>
          <w:sz w:val="22"/>
          <w:szCs w:val="22"/>
        </w:rPr>
      </w:pPr>
    </w:p>
    <w:p w14:paraId="6394A495" w14:textId="77777777" w:rsidR="00314B70" w:rsidRPr="00F93FFA" w:rsidRDefault="00314B70" w:rsidP="00DE16D0">
      <w:pPr>
        <w:widowControl w:val="0"/>
        <w:rPr>
          <w:color w:val="000000"/>
          <w:sz w:val="22"/>
          <w:szCs w:val="22"/>
        </w:rPr>
      </w:pPr>
      <w:r w:rsidRPr="00F93FFA">
        <w:rPr>
          <w:sz w:val="22"/>
          <w:szCs w:val="22"/>
        </w:rPr>
        <w:t>Šis vaistas</w:t>
      </w:r>
      <w:r w:rsidRPr="00F93FFA">
        <w:rPr>
          <w:color w:val="000000"/>
          <w:sz w:val="22"/>
          <w:szCs w:val="22"/>
        </w:rPr>
        <w:t>, kaip ir visi kiti, gali sukelti šalutinį poveikį, nors jis pasireiškia ne visiems žmonėms. Paprastai jis būna nesunkus ar vidutinio sunkumo.</w:t>
      </w:r>
    </w:p>
    <w:p w14:paraId="587AE3D6" w14:textId="77777777" w:rsidR="00314B70" w:rsidRPr="00F93FFA" w:rsidRDefault="00314B70" w:rsidP="00DE16D0">
      <w:pPr>
        <w:widowControl w:val="0"/>
        <w:ind w:left="567" w:hanging="567"/>
        <w:rPr>
          <w:color w:val="000000"/>
          <w:sz w:val="22"/>
          <w:szCs w:val="22"/>
        </w:rPr>
      </w:pPr>
    </w:p>
    <w:p w14:paraId="7D835E4F" w14:textId="77777777" w:rsidR="00314B70" w:rsidRPr="00F93FFA" w:rsidRDefault="00314B70" w:rsidP="009A4400">
      <w:pPr>
        <w:keepNext/>
        <w:widowControl w:val="0"/>
        <w:rPr>
          <w:b/>
          <w:color w:val="000000"/>
          <w:sz w:val="22"/>
          <w:szCs w:val="22"/>
        </w:rPr>
      </w:pPr>
      <w:r w:rsidRPr="00F93FFA">
        <w:rPr>
          <w:b/>
          <w:color w:val="000000"/>
          <w:sz w:val="22"/>
          <w:szCs w:val="22"/>
        </w:rPr>
        <w:t>Kai kurie šalutiniai reiškiniai gali būti sunkūs. Nedelsiant pasakykite gydytojui, jeigu Jums pasireikštų kuris nors iš toliau išvardytų reiškinių.</w:t>
      </w:r>
    </w:p>
    <w:p w14:paraId="33C5E72C" w14:textId="77777777" w:rsidR="00314B70" w:rsidRPr="00F93FFA" w:rsidRDefault="00314B70" w:rsidP="009A4400">
      <w:pPr>
        <w:keepNext/>
        <w:widowControl w:val="0"/>
        <w:ind w:left="567" w:hanging="567"/>
        <w:rPr>
          <w:color w:val="000000"/>
          <w:sz w:val="22"/>
          <w:szCs w:val="22"/>
        </w:rPr>
      </w:pPr>
    </w:p>
    <w:p w14:paraId="4A42612B" w14:textId="77777777" w:rsidR="00314B70" w:rsidRPr="00F93FFA" w:rsidRDefault="00314B70" w:rsidP="009A4400">
      <w:pPr>
        <w:keepNext/>
        <w:widowControl w:val="0"/>
        <w:rPr>
          <w:color w:val="000000"/>
          <w:sz w:val="22"/>
          <w:szCs w:val="22"/>
        </w:rPr>
      </w:pPr>
      <w:r w:rsidRPr="00F93FFA">
        <w:rPr>
          <w:b/>
          <w:color w:val="000000"/>
          <w:sz w:val="22"/>
          <w:szCs w:val="22"/>
        </w:rPr>
        <w:t>Labai dažni</w:t>
      </w:r>
      <w:r w:rsidRPr="00F93FFA">
        <w:rPr>
          <w:color w:val="000000"/>
          <w:sz w:val="22"/>
          <w:szCs w:val="22"/>
        </w:rPr>
        <w:t xml:space="preserve"> (gali pasireikšti daugiau kaip 1 iš 10 žmonių) </w:t>
      </w:r>
      <w:r w:rsidRPr="00F93FFA">
        <w:rPr>
          <w:b/>
          <w:color w:val="000000"/>
          <w:sz w:val="22"/>
          <w:szCs w:val="22"/>
        </w:rPr>
        <w:t>ir dažni</w:t>
      </w:r>
      <w:r w:rsidRPr="00F93FFA">
        <w:rPr>
          <w:color w:val="000000"/>
          <w:sz w:val="22"/>
          <w:szCs w:val="22"/>
        </w:rPr>
        <w:t xml:space="preserve"> (gali pasireikšti ne daugiau kaip 1 </w:t>
      </w:r>
      <w:r w:rsidRPr="00F93FFA">
        <w:rPr>
          <w:color w:val="000000"/>
          <w:sz w:val="22"/>
          <w:szCs w:val="22"/>
        </w:rPr>
        <w:lastRenderedPageBreak/>
        <w:t>iš 10 žmonių):</w:t>
      </w:r>
    </w:p>
    <w:p w14:paraId="6F9694D2"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Greitai padidėjęs kūno svoris. Vartojant Glivec organizme gali pradėti kauptis skystis (t.</w:t>
      </w:r>
      <w:r w:rsidR="00957B98" w:rsidRPr="00F93FFA">
        <w:rPr>
          <w:color w:val="000000"/>
          <w:sz w:val="22"/>
          <w:szCs w:val="22"/>
          <w:lang w:val="lt-LT"/>
        </w:rPr>
        <w:t> </w:t>
      </w:r>
      <w:r w:rsidRPr="00F93FFA">
        <w:rPr>
          <w:color w:val="000000"/>
          <w:sz w:val="22"/>
          <w:szCs w:val="22"/>
          <w:lang w:val="lt-LT"/>
        </w:rPr>
        <w:t>y. pasireikšti sunkus skysčių susilaikymas).</w:t>
      </w:r>
    </w:p>
    <w:p w14:paraId="7ED83332"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Infekcijos požymiai – pavyzdžiui, karščiavimas, stiprus šaltkrėtis, gerklės skausmas ar burnos išopėjimas. Glivec gali sumažinti baltųjų kraujo kūnelių skaičių, todėl galite greičiau užsikrėsti infekcinėmis ligomis.</w:t>
      </w:r>
    </w:p>
    <w:p w14:paraId="47310F8E" w14:textId="77777777" w:rsidR="00314B70" w:rsidRPr="00F93FFA" w:rsidRDefault="00314B70" w:rsidP="00DE16D0">
      <w:pPr>
        <w:pStyle w:val="Text"/>
        <w:widowControl w:val="0"/>
        <w:numPr>
          <w:ilvl w:val="0"/>
          <w:numId w:val="2"/>
        </w:numPr>
        <w:tabs>
          <w:tab w:val="clear" w:pos="360"/>
        </w:tabs>
        <w:spacing w:before="0"/>
        <w:ind w:left="540" w:hanging="540"/>
        <w:jc w:val="left"/>
        <w:rPr>
          <w:color w:val="000000"/>
          <w:sz w:val="22"/>
          <w:szCs w:val="22"/>
          <w:lang w:val="lt-LT"/>
        </w:rPr>
      </w:pPr>
      <w:r w:rsidRPr="00F93FFA">
        <w:rPr>
          <w:color w:val="000000"/>
          <w:sz w:val="22"/>
          <w:szCs w:val="22"/>
          <w:lang w:val="lt-LT"/>
        </w:rPr>
        <w:t>Netikėtas kraujavimas ar mėlynių susidarymas (be jokio sužalojimo).</w:t>
      </w:r>
    </w:p>
    <w:p w14:paraId="402EA74F" w14:textId="77777777" w:rsidR="00314B70" w:rsidRPr="00F93FFA" w:rsidRDefault="00314B70" w:rsidP="00DE16D0">
      <w:pPr>
        <w:pStyle w:val="Text"/>
        <w:widowControl w:val="0"/>
        <w:spacing w:before="0"/>
        <w:jc w:val="left"/>
        <w:rPr>
          <w:color w:val="000000"/>
          <w:sz w:val="22"/>
          <w:szCs w:val="22"/>
          <w:lang w:val="lt-LT"/>
        </w:rPr>
      </w:pPr>
    </w:p>
    <w:p w14:paraId="58D54AAE" w14:textId="77777777" w:rsidR="00314B70" w:rsidRPr="00F93FFA" w:rsidRDefault="00314B70" w:rsidP="009A4400">
      <w:pPr>
        <w:keepNext/>
        <w:widowControl w:val="0"/>
        <w:rPr>
          <w:color w:val="000000"/>
          <w:sz w:val="22"/>
          <w:szCs w:val="22"/>
        </w:rPr>
      </w:pPr>
      <w:r w:rsidRPr="00F93FFA">
        <w:rPr>
          <w:b/>
          <w:color w:val="000000"/>
          <w:sz w:val="22"/>
          <w:szCs w:val="22"/>
        </w:rPr>
        <w:t xml:space="preserve">Nedažni </w:t>
      </w:r>
      <w:r w:rsidRPr="00F93FFA">
        <w:rPr>
          <w:color w:val="000000"/>
          <w:sz w:val="22"/>
          <w:szCs w:val="22"/>
        </w:rPr>
        <w:t xml:space="preserve">(gali pasireikšti ne daugiau kaip 1 iš 100 žmonių) </w:t>
      </w:r>
      <w:r w:rsidRPr="00F93FFA">
        <w:rPr>
          <w:b/>
          <w:color w:val="000000"/>
          <w:sz w:val="22"/>
          <w:szCs w:val="22"/>
        </w:rPr>
        <w:t>ir reti</w:t>
      </w:r>
      <w:r w:rsidRPr="00F93FFA">
        <w:rPr>
          <w:color w:val="000000"/>
          <w:sz w:val="22"/>
          <w:szCs w:val="22"/>
        </w:rPr>
        <w:t xml:space="preserve"> (gali pasireikšti ne daugiau kaip 1 iš 1 000 žmonių):</w:t>
      </w:r>
    </w:p>
    <w:p w14:paraId="099ECBE8"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Skausmas krūtinėje, nereguliarus širdies ritmas (širdies sutrikimų požymiai).</w:t>
      </w:r>
    </w:p>
    <w:p w14:paraId="2C013CD4"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Kosulys, pasunkėjęs kvėpavimas arba skausmingas kvėpavimas (plaučių sutrikimų požymiai).</w:t>
      </w:r>
    </w:p>
    <w:p w14:paraId="468757AC"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Apsvaigimas, galvos svaigimas ar alpimas (žemo kraujospūdžio požymiai).</w:t>
      </w:r>
    </w:p>
    <w:p w14:paraId="513B4656"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Šleikštulys (pykinimas), taip pat apetito trūkumas, tamsios spalvos šlapimas, pageltusi oda ar akių baltymai (kepenų sutrikimų požymiai).</w:t>
      </w:r>
    </w:p>
    <w:p w14:paraId="6A063DD0"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Bėrimas, odos paraudimas, taip pat pūslių atsiradimas ant lūpų, akių, odos arba burnos gleivinės, odos pleiskanojimas, karščiavimas, pakilę raudoni arba purpuriniai odos lopai, niežulys, deginimo pojūtis, pūslinis bėrimas (odos sutrikimų požymiai).</w:t>
      </w:r>
    </w:p>
    <w:p w14:paraId="0C7E35F9"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Stiprus pilvo skausmas, vėmimas, tuštinimasis ar šlapinimasis su kraujo priemaiša, juodos spalvos išmatos (virškinimo trakto sutrikimų požymiai).</w:t>
      </w:r>
    </w:p>
    <w:p w14:paraId="60E94A07"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Labai sumažėjęs šlapimo kiekis, troškulys (inkstų sutrikimų požymiai).</w:t>
      </w:r>
    </w:p>
    <w:p w14:paraId="70C9CDB3"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Šleikštulys (pykinimas) kartu su viduriavimu ir vėmimu, pilvo skausmas arba karščiavimas (žarnų sutrikimų požymiai).</w:t>
      </w:r>
    </w:p>
    <w:p w14:paraId="08E54018"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Stiprus galvos skausmas, silpnumas arba galūnių ar veido paralyžius, pasunkėjusi kalba, staigus sąmonės praradimas (nervų sistemos sutrikimų, pavyzdžiui, kraujavimo kaukolės ertmėje ar galvos smegenų patinimo, požymiai).</w:t>
      </w:r>
    </w:p>
    <w:p w14:paraId="5DD89A21"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Išblyškusi oda, nuovargis ir dusulys, tamsus šlapimas (sumažėjusio raudonųjų kraujo ląstelių skaičiaus požymiai).</w:t>
      </w:r>
    </w:p>
    <w:p w14:paraId="599DD3C8" w14:textId="77777777" w:rsidR="00314B70" w:rsidRPr="00F93FFA" w:rsidRDefault="00314B70" w:rsidP="009A4400">
      <w:pPr>
        <w:pStyle w:val="Text"/>
        <w:widowControl w:val="0"/>
        <w:numPr>
          <w:ilvl w:val="0"/>
          <w:numId w:val="2"/>
        </w:numPr>
        <w:tabs>
          <w:tab w:val="clear" w:pos="360"/>
        </w:tabs>
        <w:spacing w:before="0"/>
        <w:ind w:left="567" w:hanging="567"/>
        <w:jc w:val="left"/>
        <w:rPr>
          <w:color w:val="000000"/>
          <w:sz w:val="22"/>
          <w:szCs w:val="22"/>
          <w:lang w:val="lt-LT"/>
        </w:rPr>
      </w:pPr>
      <w:r w:rsidRPr="00F93FFA">
        <w:rPr>
          <w:color w:val="000000"/>
          <w:sz w:val="22"/>
          <w:szCs w:val="22"/>
          <w:lang w:val="lt-LT"/>
        </w:rPr>
        <w:t>Akies skausmas ar pablogėjusi rega, kraujavimas į akies vidų.</w:t>
      </w:r>
    </w:p>
    <w:p w14:paraId="16D279CC"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Skausmas klubo sąnariuose ar pasunkėjęs vaikščiojimas.</w:t>
      </w:r>
    </w:p>
    <w:p w14:paraId="23974E4B"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Kojų ir rankų pirštų nutirpimas ar šalimas (Raynaud‘s sindromo požymiai).</w:t>
      </w:r>
    </w:p>
    <w:p w14:paraId="7EA35C26"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Staigus odos patinimas ir paraudimas (odos infekcijos, vadinamos celiulitu, požymiai).</w:t>
      </w:r>
    </w:p>
    <w:p w14:paraId="5C1313E4" w14:textId="77777777" w:rsidR="00314B70" w:rsidRPr="00F93FFA" w:rsidRDefault="00314B70" w:rsidP="009A4400">
      <w:pPr>
        <w:pStyle w:val="Text"/>
        <w:widowControl w:val="0"/>
        <w:numPr>
          <w:ilvl w:val="0"/>
          <w:numId w:val="2"/>
        </w:numPr>
        <w:tabs>
          <w:tab w:val="clear" w:pos="360"/>
          <w:tab w:val="num" w:pos="540"/>
        </w:tabs>
        <w:spacing w:before="0"/>
        <w:ind w:left="567" w:hanging="567"/>
        <w:jc w:val="left"/>
        <w:rPr>
          <w:color w:val="000000"/>
          <w:sz w:val="22"/>
          <w:szCs w:val="22"/>
          <w:lang w:val="lt-LT"/>
        </w:rPr>
      </w:pPr>
      <w:r w:rsidRPr="00F93FFA">
        <w:rPr>
          <w:color w:val="000000"/>
          <w:sz w:val="22"/>
          <w:szCs w:val="22"/>
          <w:lang w:val="lt-LT"/>
        </w:rPr>
        <w:t>Sutrikusi klausa.</w:t>
      </w:r>
    </w:p>
    <w:p w14:paraId="62EEF5DB" w14:textId="77777777" w:rsidR="00314B70" w:rsidRPr="00F93FFA" w:rsidRDefault="00314B70" w:rsidP="009A4400">
      <w:pPr>
        <w:pStyle w:val="Listlevel1"/>
        <w:widowControl w:val="0"/>
        <w:numPr>
          <w:ilvl w:val="0"/>
          <w:numId w:val="2"/>
        </w:numPr>
        <w:tabs>
          <w:tab w:val="clear" w:pos="360"/>
        </w:tabs>
        <w:spacing w:before="0" w:after="0"/>
        <w:ind w:left="567" w:hanging="567"/>
        <w:rPr>
          <w:bCs/>
          <w:sz w:val="22"/>
          <w:szCs w:val="22"/>
          <w:lang w:val="lt-LT"/>
        </w:rPr>
      </w:pPr>
      <w:r w:rsidRPr="00F93FFA">
        <w:rPr>
          <w:bCs/>
          <w:sz w:val="22"/>
          <w:szCs w:val="22"/>
          <w:lang w:val="lt-LT"/>
        </w:rPr>
        <w:t>Raumenų silpnumas ir spazmas kartu su sutrikusiu širdies ritmu (požymiai, rodantys, kad pakito kalio kiekis Jūsų kraujyje).</w:t>
      </w:r>
    </w:p>
    <w:p w14:paraId="045ABF35" w14:textId="77777777" w:rsidR="00314B70" w:rsidRPr="00F93FFA" w:rsidRDefault="00314B70" w:rsidP="009A4400">
      <w:pPr>
        <w:pStyle w:val="Listlevel1"/>
        <w:widowControl w:val="0"/>
        <w:numPr>
          <w:ilvl w:val="0"/>
          <w:numId w:val="2"/>
        </w:numPr>
        <w:tabs>
          <w:tab w:val="clear" w:pos="360"/>
        </w:tabs>
        <w:spacing w:before="0" w:after="0"/>
        <w:ind w:left="567" w:hanging="567"/>
        <w:rPr>
          <w:bCs/>
          <w:sz w:val="22"/>
          <w:szCs w:val="22"/>
          <w:lang w:val="en-GB"/>
        </w:rPr>
      </w:pPr>
      <w:r w:rsidRPr="00F93FFA">
        <w:rPr>
          <w:bCs/>
          <w:sz w:val="22"/>
          <w:szCs w:val="22"/>
          <w:lang w:val="en-GB"/>
        </w:rPr>
        <w:t>Mėlynės.</w:t>
      </w:r>
    </w:p>
    <w:p w14:paraId="28661644" w14:textId="77777777" w:rsidR="00314B70" w:rsidRPr="00F53012" w:rsidRDefault="00314B70" w:rsidP="009A4400">
      <w:pPr>
        <w:pStyle w:val="Listlevel1"/>
        <w:widowControl w:val="0"/>
        <w:numPr>
          <w:ilvl w:val="0"/>
          <w:numId w:val="2"/>
        </w:numPr>
        <w:tabs>
          <w:tab w:val="clear" w:pos="360"/>
        </w:tabs>
        <w:spacing w:before="0" w:after="0"/>
        <w:ind w:left="567" w:hanging="567"/>
        <w:rPr>
          <w:sz w:val="22"/>
          <w:szCs w:val="22"/>
          <w:lang w:val="en-GB"/>
        </w:rPr>
      </w:pPr>
      <w:r w:rsidRPr="00F53012">
        <w:rPr>
          <w:sz w:val="22"/>
          <w:szCs w:val="22"/>
          <w:lang w:val="en-GB"/>
        </w:rPr>
        <w:t>Skrandžio skausmas kartu su šleikštuliu (pykinimu).</w:t>
      </w:r>
    </w:p>
    <w:p w14:paraId="6F710983" w14:textId="77777777" w:rsidR="00314B70" w:rsidRPr="00F53012" w:rsidRDefault="00314B70" w:rsidP="009A4400">
      <w:pPr>
        <w:pStyle w:val="Listlevel1"/>
        <w:widowControl w:val="0"/>
        <w:numPr>
          <w:ilvl w:val="0"/>
          <w:numId w:val="12"/>
        </w:numPr>
        <w:tabs>
          <w:tab w:val="clear" w:pos="360"/>
        </w:tabs>
        <w:spacing w:before="0" w:after="0"/>
        <w:ind w:left="567" w:hanging="567"/>
        <w:rPr>
          <w:bCs/>
          <w:sz w:val="22"/>
          <w:szCs w:val="22"/>
          <w:lang w:val="en-GB"/>
        </w:rPr>
      </w:pPr>
      <w:r w:rsidRPr="00F53012">
        <w:rPr>
          <w:bCs/>
          <w:sz w:val="22"/>
          <w:szCs w:val="22"/>
          <w:lang w:val="en-GB"/>
        </w:rPr>
        <w:t>Raumenų spazmai ir kartu pasireiškiantis karščiavimas, raudonai rudos spalvos šlapimas, raumenų skausmas ar silpnumas (raumenų sutrikimų požymiai).</w:t>
      </w:r>
    </w:p>
    <w:p w14:paraId="5E86EC7C" w14:textId="77777777" w:rsidR="00314B70" w:rsidRPr="00F53012" w:rsidRDefault="00314B70" w:rsidP="009A4400">
      <w:pPr>
        <w:pStyle w:val="Listlevel1"/>
        <w:widowControl w:val="0"/>
        <w:numPr>
          <w:ilvl w:val="0"/>
          <w:numId w:val="2"/>
        </w:numPr>
        <w:tabs>
          <w:tab w:val="clear" w:pos="360"/>
        </w:tabs>
        <w:spacing w:before="0" w:after="0"/>
        <w:ind w:left="567" w:hanging="567"/>
        <w:rPr>
          <w:bCs/>
          <w:sz w:val="22"/>
          <w:szCs w:val="22"/>
          <w:lang w:val="en-GB"/>
        </w:rPr>
      </w:pPr>
      <w:r w:rsidRPr="00F53012">
        <w:rPr>
          <w:sz w:val="22"/>
          <w:szCs w:val="22"/>
          <w:lang w:val="en-GB" w:bidi="th-TH"/>
        </w:rPr>
        <w:t xml:space="preserve">Dubens srities skausmas, kartais kartu su pykinimu ir vėmimu, kartu su netikėtu kraujavimu iš makšties, galvos svaigimu ar </w:t>
      </w:r>
      <w:r w:rsidRPr="00F53012">
        <w:rPr>
          <w:color w:val="000000"/>
          <w:sz w:val="22"/>
          <w:szCs w:val="22"/>
          <w:lang w:val="en-GB" w:bidi="th-TH"/>
        </w:rPr>
        <w:t>alpimu dėl sumažėjusio kraujospūdžio (kiaušidžių ar gimdos sutrikimų požymiai).</w:t>
      </w:r>
    </w:p>
    <w:p w14:paraId="792B41A9" w14:textId="77777777" w:rsidR="00073EF6" w:rsidRPr="00F93FFA" w:rsidRDefault="00314B70" w:rsidP="009A4400">
      <w:pPr>
        <w:pStyle w:val="Listlevel1"/>
        <w:widowControl w:val="0"/>
        <w:numPr>
          <w:ilvl w:val="0"/>
          <w:numId w:val="2"/>
        </w:numPr>
        <w:tabs>
          <w:tab w:val="clear" w:pos="360"/>
        </w:tabs>
        <w:spacing w:before="0" w:after="0"/>
        <w:ind w:left="567" w:hanging="567"/>
        <w:rPr>
          <w:bCs/>
          <w:sz w:val="22"/>
          <w:szCs w:val="22"/>
          <w:lang w:val="lt-LT"/>
        </w:rPr>
      </w:pPr>
      <w:r w:rsidRPr="00F53012">
        <w:rPr>
          <w:color w:val="000000"/>
          <w:sz w:val="22"/>
          <w:szCs w:val="22"/>
          <w:lang w:val="en-GB" w:bidi="th-TH"/>
        </w:rPr>
        <w:t>Pykinimas, oro tr</w:t>
      </w:r>
      <w:r w:rsidRPr="00F93FFA">
        <w:rPr>
          <w:color w:val="000000"/>
          <w:sz w:val="22"/>
          <w:szCs w:val="22"/>
          <w:lang w:val="lt-LT" w:bidi="th-TH"/>
        </w:rPr>
        <w:t xml:space="preserve">ūkumas, nereguliarus širdies ritmas, drumstas šlapimas, nuovargis ir/arba sąnarių diskomfortas susijęs su anomaliais laboratorinių tyrimų rezultatais (pvz., didelis kalio, šlapimo rūgšties ir </w:t>
      </w:r>
      <w:r w:rsidR="009E5132" w:rsidRPr="00F93FFA">
        <w:rPr>
          <w:color w:val="000000"/>
          <w:sz w:val="22"/>
          <w:szCs w:val="22"/>
          <w:lang w:val="lt-LT" w:bidi="th-TH"/>
        </w:rPr>
        <w:t>kalcio</w:t>
      </w:r>
      <w:r w:rsidRPr="00F93FFA">
        <w:rPr>
          <w:color w:val="000000"/>
          <w:sz w:val="22"/>
          <w:szCs w:val="22"/>
          <w:lang w:val="lt-LT" w:bidi="th-TH"/>
        </w:rPr>
        <w:t xml:space="preserve"> kiekis, ir mažas </w:t>
      </w:r>
      <w:r w:rsidR="009E5132" w:rsidRPr="00F93FFA">
        <w:rPr>
          <w:color w:val="000000"/>
          <w:sz w:val="22"/>
          <w:szCs w:val="22"/>
          <w:lang w:val="lt-LT" w:bidi="th-TH"/>
        </w:rPr>
        <w:t>fosforo</w:t>
      </w:r>
      <w:r w:rsidRPr="00F93FFA">
        <w:rPr>
          <w:color w:val="000000"/>
          <w:sz w:val="22"/>
          <w:szCs w:val="22"/>
          <w:lang w:val="lt-LT" w:bidi="th-TH"/>
        </w:rPr>
        <w:t xml:space="preserve"> kiekis kraujyje)</w:t>
      </w:r>
      <w:r w:rsidRPr="00F53012">
        <w:rPr>
          <w:color w:val="000000"/>
          <w:sz w:val="22"/>
          <w:szCs w:val="22"/>
          <w:lang w:val="en-GB" w:bidi="th-TH"/>
        </w:rPr>
        <w:t>.</w:t>
      </w:r>
    </w:p>
    <w:p w14:paraId="0B82F0D3" w14:textId="77777777" w:rsidR="00314B70" w:rsidRPr="00F93FFA" w:rsidRDefault="00073EF6" w:rsidP="009A4400">
      <w:pPr>
        <w:pStyle w:val="Listlevel1"/>
        <w:widowControl w:val="0"/>
        <w:numPr>
          <w:ilvl w:val="0"/>
          <w:numId w:val="2"/>
        </w:numPr>
        <w:tabs>
          <w:tab w:val="clear" w:pos="360"/>
        </w:tabs>
        <w:spacing w:before="0" w:after="0"/>
        <w:ind w:left="567" w:hanging="567"/>
        <w:rPr>
          <w:bCs/>
          <w:sz w:val="22"/>
          <w:szCs w:val="22"/>
          <w:lang w:val="lt-LT"/>
        </w:rPr>
      </w:pPr>
      <w:r w:rsidRPr="00F93FFA">
        <w:rPr>
          <w:color w:val="000000"/>
          <w:sz w:val="22"/>
          <w:szCs w:val="22"/>
          <w:lang w:val="lt-LT" w:bidi="th-TH"/>
        </w:rPr>
        <w:t>Kraujo krešulių susidarymas smulkiose kraujagyslėse (</w:t>
      </w:r>
      <w:r w:rsidRPr="00F93FFA">
        <w:rPr>
          <w:color w:val="000000"/>
          <w:spacing w:val="-2"/>
          <w:sz w:val="22"/>
          <w:szCs w:val="22"/>
          <w:lang w:val="lt-LT"/>
        </w:rPr>
        <w:t>trombinė mikroangiopatija).</w:t>
      </w:r>
    </w:p>
    <w:p w14:paraId="395D8F04" w14:textId="77777777" w:rsidR="00E902F9" w:rsidRPr="00F93FFA" w:rsidRDefault="00E902F9" w:rsidP="00DE16D0">
      <w:pPr>
        <w:pStyle w:val="Text"/>
        <w:widowControl w:val="0"/>
        <w:spacing w:before="0"/>
        <w:jc w:val="left"/>
        <w:rPr>
          <w:color w:val="000000"/>
          <w:sz w:val="22"/>
          <w:szCs w:val="22"/>
          <w:lang w:val="lt-LT"/>
        </w:rPr>
      </w:pPr>
    </w:p>
    <w:p w14:paraId="5544676A" w14:textId="1AE61AB1" w:rsidR="00E902F9" w:rsidRPr="00F53012" w:rsidRDefault="00E902F9" w:rsidP="009A4400">
      <w:pPr>
        <w:pStyle w:val="Text"/>
        <w:keepNext/>
        <w:widowControl w:val="0"/>
        <w:spacing w:before="0"/>
        <w:jc w:val="left"/>
        <w:rPr>
          <w:color w:val="000000"/>
          <w:sz w:val="22"/>
          <w:szCs w:val="22"/>
          <w:lang w:val="lt-LT"/>
        </w:rPr>
      </w:pPr>
      <w:r w:rsidRPr="00F53012">
        <w:rPr>
          <w:b/>
          <w:color w:val="000000"/>
          <w:sz w:val="22"/>
          <w:szCs w:val="22"/>
          <w:lang w:val="lt-LT"/>
        </w:rPr>
        <w:t>Dažnis nežinomas</w:t>
      </w:r>
      <w:r w:rsidR="009E5132" w:rsidRPr="00F53012">
        <w:rPr>
          <w:b/>
          <w:color w:val="000000"/>
          <w:sz w:val="22"/>
          <w:szCs w:val="22"/>
          <w:lang w:val="lt-LT"/>
        </w:rPr>
        <w:t xml:space="preserve"> </w:t>
      </w:r>
      <w:r w:rsidR="009E5132" w:rsidRPr="00F93FFA">
        <w:rPr>
          <w:color w:val="000000"/>
          <w:sz w:val="22"/>
          <w:szCs w:val="22"/>
          <w:lang w:val="lt-LT"/>
        </w:rPr>
        <w:t xml:space="preserve">(negali būti </w:t>
      </w:r>
      <w:r w:rsidR="00770DD2" w:rsidRPr="00F93FFA">
        <w:rPr>
          <w:color w:val="000000"/>
          <w:sz w:val="22"/>
          <w:szCs w:val="22"/>
          <w:lang w:val="lt-LT"/>
        </w:rPr>
        <w:t>apskaičiuotas</w:t>
      </w:r>
      <w:r w:rsidR="009E5132" w:rsidRPr="00F93FFA">
        <w:rPr>
          <w:color w:val="000000"/>
          <w:sz w:val="22"/>
          <w:szCs w:val="22"/>
          <w:lang w:val="lt-LT"/>
        </w:rPr>
        <w:t xml:space="preserve"> pagal turimus duomenis)</w:t>
      </w:r>
      <w:r w:rsidR="009E5132" w:rsidRPr="00F53012">
        <w:rPr>
          <w:color w:val="000000"/>
          <w:sz w:val="22"/>
          <w:szCs w:val="22"/>
          <w:lang w:val="lt-LT"/>
        </w:rPr>
        <w:t>:</w:t>
      </w:r>
    </w:p>
    <w:p w14:paraId="3C403AFB" w14:textId="77777777" w:rsidR="00E902F9" w:rsidRPr="00F53012" w:rsidRDefault="00E902F9" w:rsidP="00DE16D0">
      <w:pPr>
        <w:pStyle w:val="Text"/>
        <w:widowControl w:val="0"/>
        <w:numPr>
          <w:ilvl w:val="0"/>
          <w:numId w:val="26"/>
        </w:numPr>
        <w:tabs>
          <w:tab w:val="clear" w:pos="357"/>
        </w:tabs>
        <w:spacing w:before="0"/>
        <w:ind w:left="567" w:hanging="567"/>
        <w:jc w:val="left"/>
        <w:rPr>
          <w:rStyle w:val="hps"/>
          <w:sz w:val="22"/>
          <w:szCs w:val="22"/>
          <w:lang w:val="lt-LT"/>
        </w:rPr>
      </w:pPr>
      <w:r w:rsidRPr="00F93FFA">
        <w:rPr>
          <w:rStyle w:val="longtext"/>
          <w:color w:val="222222"/>
          <w:sz w:val="22"/>
          <w:szCs w:val="22"/>
          <w:lang w:val="lt-LT"/>
        </w:rPr>
        <w:t>P</w:t>
      </w:r>
      <w:r w:rsidRPr="00F93FFA">
        <w:rPr>
          <w:rStyle w:val="hps"/>
          <w:color w:val="222222"/>
          <w:sz w:val="22"/>
          <w:szCs w:val="22"/>
          <w:lang w:val="lt-LT"/>
        </w:rPr>
        <w:t>lačiai</w:t>
      </w:r>
      <w:r w:rsidRPr="00F93FFA">
        <w:rPr>
          <w:rStyle w:val="longtext"/>
          <w:color w:val="222222"/>
          <w:sz w:val="22"/>
          <w:szCs w:val="22"/>
          <w:lang w:val="lt-LT"/>
        </w:rPr>
        <w:t xml:space="preserve"> išplitęs </w:t>
      </w:r>
      <w:r w:rsidRPr="00F93FFA">
        <w:rPr>
          <w:rStyle w:val="hps"/>
          <w:color w:val="222222"/>
          <w:sz w:val="22"/>
          <w:szCs w:val="22"/>
          <w:lang w:val="lt-LT"/>
        </w:rPr>
        <w:t>stiprus odos bėrimas kartu su</w:t>
      </w:r>
      <w:r w:rsidRPr="00F93FFA">
        <w:rPr>
          <w:rStyle w:val="longtext"/>
          <w:color w:val="222222"/>
          <w:sz w:val="22"/>
          <w:szCs w:val="22"/>
          <w:lang w:val="lt-LT"/>
        </w:rPr>
        <w:t xml:space="preserve"> </w:t>
      </w:r>
      <w:r w:rsidRPr="00F93FFA">
        <w:rPr>
          <w:rStyle w:val="hps"/>
          <w:color w:val="222222"/>
          <w:sz w:val="22"/>
          <w:szCs w:val="22"/>
          <w:lang w:val="lt-LT"/>
        </w:rPr>
        <w:t>pykinimu</w:t>
      </w:r>
      <w:r w:rsidRPr="00F93FFA">
        <w:rPr>
          <w:rStyle w:val="longtext"/>
          <w:color w:val="222222"/>
          <w:sz w:val="22"/>
          <w:szCs w:val="22"/>
          <w:lang w:val="lt-LT"/>
        </w:rPr>
        <w:t xml:space="preserve">, karščiavimu, </w:t>
      </w:r>
      <w:r w:rsidRPr="00F93FFA">
        <w:rPr>
          <w:rStyle w:val="hps"/>
          <w:color w:val="222222"/>
          <w:sz w:val="22"/>
          <w:szCs w:val="22"/>
          <w:lang w:val="lt-LT"/>
        </w:rPr>
        <w:t>kai kurių baltųjų kraujo kūnelių skaičiaus padidėjimu arba</w:t>
      </w:r>
      <w:r w:rsidRPr="00F93FFA">
        <w:rPr>
          <w:rStyle w:val="longtext"/>
          <w:color w:val="222222"/>
          <w:sz w:val="22"/>
          <w:szCs w:val="22"/>
          <w:lang w:val="lt-LT"/>
        </w:rPr>
        <w:t xml:space="preserve"> </w:t>
      </w:r>
      <w:r w:rsidRPr="00F93FFA">
        <w:rPr>
          <w:rStyle w:val="hps"/>
          <w:color w:val="222222"/>
          <w:sz w:val="22"/>
          <w:szCs w:val="22"/>
          <w:lang w:val="lt-LT"/>
        </w:rPr>
        <w:t>odos ar akių pageltimu</w:t>
      </w:r>
      <w:r w:rsidRPr="00F93FFA">
        <w:rPr>
          <w:rStyle w:val="longtext"/>
          <w:color w:val="222222"/>
          <w:sz w:val="22"/>
          <w:szCs w:val="22"/>
          <w:lang w:val="lt-LT"/>
        </w:rPr>
        <w:t xml:space="preserve"> </w:t>
      </w:r>
      <w:r w:rsidRPr="00F93FFA">
        <w:rPr>
          <w:rStyle w:val="hps"/>
          <w:color w:val="222222"/>
          <w:sz w:val="22"/>
          <w:szCs w:val="22"/>
          <w:lang w:val="lt-LT"/>
        </w:rPr>
        <w:t>(</w:t>
      </w:r>
      <w:r w:rsidRPr="00F93FFA">
        <w:rPr>
          <w:rStyle w:val="longtext"/>
          <w:color w:val="222222"/>
          <w:sz w:val="22"/>
          <w:szCs w:val="22"/>
          <w:lang w:val="lt-LT"/>
        </w:rPr>
        <w:t xml:space="preserve">geltos požymiai), lydymas </w:t>
      </w:r>
      <w:r w:rsidRPr="00F93FFA">
        <w:rPr>
          <w:rStyle w:val="hps"/>
          <w:color w:val="222222"/>
          <w:sz w:val="22"/>
          <w:szCs w:val="22"/>
          <w:lang w:val="lt-LT"/>
        </w:rPr>
        <w:t>dusulio</w:t>
      </w:r>
      <w:r w:rsidRPr="00F93FFA">
        <w:rPr>
          <w:rStyle w:val="longtext"/>
          <w:color w:val="222222"/>
          <w:sz w:val="22"/>
          <w:szCs w:val="22"/>
          <w:lang w:val="lt-LT"/>
        </w:rPr>
        <w:t>, krūtinės skausmo</w:t>
      </w:r>
      <w:r w:rsidRPr="00F93FFA">
        <w:rPr>
          <w:rStyle w:val="hps"/>
          <w:color w:val="222222"/>
          <w:sz w:val="22"/>
          <w:szCs w:val="22"/>
          <w:lang w:val="lt-LT"/>
        </w:rPr>
        <w:t>/diskomforto,</w:t>
      </w:r>
      <w:r w:rsidRPr="00F93FFA">
        <w:rPr>
          <w:rStyle w:val="longtext"/>
          <w:color w:val="222222"/>
          <w:sz w:val="22"/>
          <w:szCs w:val="22"/>
          <w:lang w:val="lt-LT"/>
        </w:rPr>
        <w:t xml:space="preserve"> </w:t>
      </w:r>
      <w:r w:rsidRPr="00F93FFA">
        <w:rPr>
          <w:rStyle w:val="hps"/>
          <w:color w:val="222222"/>
          <w:sz w:val="22"/>
          <w:szCs w:val="22"/>
          <w:lang w:val="lt-LT"/>
        </w:rPr>
        <w:t>labai</w:t>
      </w:r>
      <w:r w:rsidRPr="00F93FFA">
        <w:rPr>
          <w:rStyle w:val="longtext"/>
          <w:color w:val="222222"/>
          <w:sz w:val="22"/>
          <w:szCs w:val="22"/>
          <w:lang w:val="lt-LT"/>
        </w:rPr>
        <w:t xml:space="preserve"> </w:t>
      </w:r>
      <w:r w:rsidRPr="00F93FFA">
        <w:rPr>
          <w:rStyle w:val="hps"/>
          <w:color w:val="222222"/>
          <w:sz w:val="22"/>
          <w:szCs w:val="22"/>
          <w:lang w:val="lt-LT"/>
        </w:rPr>
        <w:t>sumažėjusio</w:t>
      </w:r>
      <w:r w:rsidRPr="00F93FFA">
        <w:rPr>
          <w:rStyle w:val="longtext"/>
          <w:color w:val="222222"/>
          <w:sz w:val="22"/>
          <w:szCs w:val="22"/>
          <w:lang w:val="lt-LT"/>
        </w:rPr>
        <w:t xml:space="preserve"> </w:t>
      </w:r>
      <w:r w:rsidRPr="00F93FFA">
        <w:rPr>
          <w:rStyle w:val="hps"/>
          <w:color w:val="222222"/>
          <w:sz w:val="22"/>
          <w:szCs w:val="22"/>
          <w:lang w:val="lt-LT"/>
        </w:rPr>
        <w:t>šlapimo išsiskyrimo bei</w:t>
      </w:r>
      <w:r w:rsidRPr="00F93FFA">
        <w:rPr>
          <w:rStyle w:val="longtext"/>
          <w:color w:val="222222"/>
          <w:sz w:val="22"/>
          <w:szCs w:val="22"/>
          <w:lang w:val="lt-LT"/>
        </w:rPr>
        <w:t xml:space="preserve"> </w:t>
      </w:r>
      <w:r w:rsidRPr="00F93FFA">
        <w:rPr>
          <w:rStyle w:val="hps"/>
          <w:color w:val="222222"/>
          <w:sz w:val="22"/>
          <w:szCs w:val="22"/>
          <w:lang w:val="lt-LT"/>
        </w:rPr>
        <w:t>troškulio</w:t>
      </w:r>
      <w:r w:rsidRPr="00F93FFA">
        <w:rPr>
          <w:rStyle w:val="longtext"/>
          <w:color w:val="222222"/>
          <w:sz w:val="22"/>
          <w:szCs w:val="22"/>
          <w:lang w:val="lt-LT"/>
        </w:rPr>
        <w:t xml:space="preserve"> </w:t>
      </w:r>
      <w:r w:rsidRPr="00F93FFA">
        <w:rPr>
          <w:rStyle w:val="hps"/>
          <w:color w:val="222222"/>
          <w:sz w:val="22"/>
          <w:szCs w:val="22"/>
          <w:lang w:val="lt-LT"/>
        </w:rPr>
        <w:t>ir t.t. (alerginės reakcijos</w:t>
      </w:r>
      <w:r w:rsidRPr="00F93FFA">
        <w:rPr>
          <w:rStyle w:val="longtext"/>
          <w:color w:val="222222"/>
          <w:sz w:val="22"/>
          <w:szCs w:val="22"/>
          <w:lang w:val="lt-LT"/>
        </w:rPr>
        <w:t xml:space="preserve"> požymiai susiję su gydymu</w:t>
      </w:r>
      <w:r w:rsidRPr="00F93FFA">
        <w:rPr>
          <w:rStyle w:val="hps"/>
          <w:color w:val="222222"/>
          <w:sz w:val="22"/>
          <w:szCs w:val="22"/>
          <w:lang w:val="lt-LT"/>
        </w:rPr>
        <w:t>).</w:t>
      </w:r>
    </w:p>
    <w:p w14:paraId="07237120" w14:textId="77777777" w:rsidR="00960689" w:rsidRPr="00F93FFA" w:rsidRDefault="00960689" w:rsidP="00DE16D0">
      <w:pPr>
        <w:pStyle w:val="Text"/>
        <w:widowControl w:val="0"/>
        <w:numPr>
          <w:ilvl w:val="0"/>
          <w:numId w:val="26"/>
        </w:numPr>
        <w:tabs>
          <w:tab w:val="clear" w:pos="357"/>
        </w:tabs>
        <w:spacing w:before="0"/>
        <w:ind w:left="567" w:hanging="567"/>
        <w:jc w:val="left"/>
        <w:rPr>
          <w:sz w:val="22"/>
          <w:szCs w:val="22"/>
          <w:lang w:val="es-ES"/>
        </w:rPr>
      </w:pPr>
      <w:r w:rsidRPr="00F93FFA">
        <w:rPr>
          <w:color w:val="222222"/>
          <w:sz w:val="22"/>
          <w:szCs w:val="22"/>
          <w:lang w:val="es-ES"/>
        </w:rPr>
        <w:t>Lėtinis inkstų nepakankamumas.</w:t>
      </w:r>
    </w:p>
    <w:p w14:paraId="75B7861B" w14:textId="77777777" w:rsidR="00801D45" w:rsidRPr="00F93FFA" w:rsidRDefault="00812F8D" w:rsidP="00DE16D0">
      <w:pPr>
        <w:pStyle w:val="Text"/>
        <w:widowControl w:val="0"/>
        <w:numPr>
          <w:ilvl w:val="0"/>
          <w:numId w:val="26"/>
        </w:numPr>
        <w:tabs>
          <w:tab w:val="clear" w:pos="357"/>
        </w:tabs>
        <w:spacing w:before="0"/>
        <w:ind w:left="567" w:hanging="567"/>
        <w:jc w:val="left"/>
        <w:rPr>
          <w:sz w:val="22"/>
          <w:szCs w:val="22"/>
          <w:lang w:val="es-ES"/>
        </w:rPr>
      </w:pPr>
      <w:r w:rsidRPr="00F93FFA">
        <w:rPr>
          <w:rFonts w:eastAsia="Verdana"/>
          <w:bCs/>
          <w:color w:val="000000"/>
          <w:sz w:val="22"/>
          <w:szCs w:val="22"/>
          <w:lang w:val="lt-LT"/>
        </w:rPr>
        <w:t xml:space="preserve">Hepatito B infekcijos atsinaujinimas (reaktyvacija), jeigu praeityje </w:t>
      </w:r>
      <w:r w:rsidR="00A42D00" w:rsidRPr="00F93FFA">
        <w:rPr>
          <w:rFonts w:eastAsia="Verdana"/>
          <w:bCs/>
          <w:color w:val="000000"/>
          <w:sz w:val="22"/>
          <w:szCs w:val="22"/>
          <w:lang w:val="lt-LT"/>
        </w:rPr>
        <w:t>J</w:t>
      </w:r>
      <w:r w:rsidRPr="00F93FFA">
        <w:rPr>
          <w:rFonts w:eastAsia="Verdana"/>
          <w:bCs/>
          <w:color w:val="000000"/>
          <w:sz w:val="22"/>
          <w:szCs w:val="22"/>
          <w:lang w:val="lt-LT"/>
        </w:rPr>
        <w:t>ums buvo diagnozuotas hepatitas B (kepenų infekcija).</w:t>
      </w:r>
    </w:p>
    <w:p w14:paraId="1CA09D77" w14:textId="77777777" w:rsidR="00E902F9" w:rsidRPr="00F93FFA" w:rsidRDefault="00E902F9" w:rsidP="00DE16D0">
      <w:pPr>
        <w:pStyle w:val="Text"/>
        <w:widowControl w:val="0"/>
        <w:spacing w:before="0"/>
        <w:jc w:val="left"/>
        <w:rPr>
          <w:color w:val="000000"/>
          <w:sz w:val="22"/>
          <w:szCs w:val="22"/>
          <w:lang w:val="es-ES"/>
        </w:rPr>
      </w:pPr>
    </w:p>
    <w:p w14:paraId="58C5A82F"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Jeigu Jums pasireikštų bet kuris iš anksčiau nurodytų reiškinių, </w:t>
      </w:r>
      <w:r w:rsidRPr="00F93FFA">
        <w:rPr>
          <w:b/>
          <w:color w:val="000000"/>
          <w:sz w:val="22"/>
          <w:szCs w:val="22"/>
          <w:lang w:val="lt-LT"/>
        </w:rPr>
        <w:t>nedelsiant pasakykite gydytojui.</w:t>
      </w:r>
    </w:p>
    <w:p w14:paraId="31D1F7A1" w14:textId="77777777" w:rsidR="00314B70" w:rsidRPr="00F93FFA" w:rsidRDefault="00314B70" w:rsidP="00DE16D0">
      <w:pPr>
        <w:pStyle w:val="Text"/>
        <w:widowControl w:val="0"/>
        <w:spacing w:before="0"/>
        <w:jc w:val="left"/>
        <w:rPr>
          <w:color w:val="000000"/>
          <w:sz w:val="22"/>
          <w:szCs w:val="22"/>
          <w:lang w:val="lt-LT"/>
        </w:rPr>
      </w:pPr>
    </w:p>
    <w:p w14:paraId="5F15AC2F" w14:textId="77777777" w:rsidR="00314B70" w:rsidRPr="00F93FFA" w:rsidRDefault="00314B70" w:rsidP="009A4400">
      <w:pPr>
        <w:pStyle w:val="Text"/>
        <w:keepNext/>
        <w:widowControl w:val="0"/>
        <w:spacing w:before="0"/>
        <w:jc w:val="left"/>
        <w:rPr>
          <w:b/>
          <w:color w:val="000000"/>
          <w:sz w:val="22"/>
          <w:szCs w:val="22"/>
          <w:lang w:val="lt-LT"/>
        </w:rPr>
      </w:pPr>
      <w:r w:rsidRPr="00F93FFA">
        <w:rPr>
          <w:b/>
          <w:color w:val="000000"/>
          <w:sz w:val="22"/>
          <w:szCs w:val="22"/>
          <w:lang w:val="lt-LT"/>
        </w:rPr>
        <w:t>Taip pat gali pasireikšti kiti šalutiniai reiškiniai:</w:t>
      </w:r>
    </w:p>
    <w:p w14:paraId="5D7B78F7" w14:textId="77777777" w:rsidR="00314B70" w:rsidRPr="00F93FFA" w:rsidRDefault="00314B70" w:rsidP="009A4400">
      <w:pPr>
        <w:pStyle w:val="Text"/>
        <w:keepNext/>
        <w:widowControl w:val="0"/>
        <w:spacing w:before="0"/>
        <w:jc w:val="left"/>
        <w:rPr>
          <w:color w:val="000000"/>
          <w:sz w:val="22"/>
          <w:szCs w:val="22"/>
          <w:lang w:val="lt-LT"/>
        </w:rPr>
      </w:pPr>
    </w:p>
    <w:p w14:paraId="64DC792A" w14:textId="77777777" w:rsidR="00314B70" w:rsidRPr="00F93FFA" w:rsidRDefault="00314B70" w:rsidP="009A4400">
      <w:pPr>
        <w:pStyle w:val="Text"/>
        <w:keepNext/>
        <w:widowControl w:val="0"/>
        <w:spacing w:before="0"/>
        <w:rPr>
          <w:i/>
          <w:color w:val="000000"/>
          <w:sz w:val="22"/>
          <w:szCs w:val="22"/>
          <w:lang w:val="lt-LT"/>
        </w:rPr>
      </w:pPr>
      <w:r w:rsidRPr="00F93FFA">
        <w:rPr>
          <w:b/>
          <w:color w:val="000000"/>
          <w:sz w:val="22"/>
          <w:szCs w:val="22"/>
          <w:lang w:val="lt-LT"/>
        </w:rPr>
        <w:t>Labai dažni</w:t>
      </w:r>
      <w:r w:rsidRPr="00F93FFA">
        <w:rPr>
          <w:color w:val="000000"/>
          <w:sz w:val="22"/>
          <w:szCs w:val="22"/>
          <w:lang w:val="lt-LT"/>
        </w:rPr>
        <w:t xml:space="preserve"> (gali pasireikšti daugiau kaip 1 iš 10 žmonių):</w:t>
      </w:r>
    </w:p>
    <w:p w14:paraId="79212D80" w14:textId="77777777" w:rsidR="00314B70" w:rsidRPr="00F93FFA" w:rsidRDefault="00314B70" w:rsidP="00DE16D0">
      <w:pPr>
        <w:pStyle w:val="Text"/>
        <w:widowControl w:val="0"/>
        <w:numPr>
          <w:ilvl w:val="0"/>
          <w:numId w:val="18"/>
        </w:numPr>
        <w:tabs>
          <w:tab w:val="clear" w:pos="357"/>
          <w:tab w:val="num" w:pos="567"/>
        </w:tabs>
        <w:spacing w:before="0"/>
        <w:ind w:left="567" w:hanging="567"/>
        <w:jc w:val="left"/>
        <w:rPr>
          <w:color w:val="000000"/>
          <w:sz w:val="22"/>
          <w:szCs w:val="22"/>
          <w:lang w:val="lt-LT"/>
        </w:rPr>
      </w:pPr>
      <w:r w:rsidRPr="00F93FFA">
        <w:rPr>
          <w:color w:val="000000"/>
          <w:sz w:val="22"/>
          <w:szCs w:val="22"/>
          <w:lang w:val="lt-LT"/>
        </w:rPr>
        <w:t>Galvos skausmas ar nuovargis.</w:t>
      </w:r>
    </w:p>
    <w:p w14:paraId="08DB8143"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Šleikštulys (pykinimas), vėmimas, viduriavimas ar nevirškinimas.</w:t>
      </w:r>
    </w:p>
    <w:p w14:paraId="67FAA142"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Bėrimas.</w:t>
      </w:r>
    </w:p>
    <w:p w14:paraId="15094A7B"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Raumenų mėšlungis arba sąnarių, raumenų ir kaulų skausmas</w:t>
      </w:r>
      <w:r w:rsidR="00E837C3" w:rsidRPr="00F93FFA">
        <w:rPr>
          <w:color w:val="000000"/>
          <w:sz w:val="22"/>
          <w:szCs w:val="22"/>
          <w:lang w:val="lt-LT"/>
        </w:rPr>
        <w:t xml:space="preserve"> Glivec vartojimo metu arba nutraukus Glivec</w:t>
      </w:r>
      <w:r w:rsidR="007320EF" w:rsidRPr="00F93FFA">
        <w:rPr>
          <w:color w:val="000000"/>
          <w:sz w:val="22"/>
          <w:szCs w:val="22"/>
          <w:lang w:val="lt-LT"/>
        </w:rPr>
        <w:t xml:space="preserve"> vartojimą</w:t>
      </w:r>
      <w:r w:rsidRPr="00F93FFA">
        <w:rPr>
          <w:color w:val="000000"/>
          <w:sz w:val="22"/>
          <w:szCs w:val="22"/>
          <w:lang w:val="lt-LT"/>
        </w:rPr>
        <w:t>.</w:t>
      </w:r>
    </w:p>
    <w:p w14:paraId="207AFA92"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Tinimas, pavyzdžiui, patinusios kulkšnys ar paburkę akių vokai.</w:t>
      </w:r>
    </w:p>
    <w:p w14:paraId="28EB7B1F" w14:textId="77777777" w:rsidR="00314B70" w:rsidRPr="00F93FFA" w:rsidRDefault="00314B70" w:rsidP="00DE16D0">
      <w:pPr>
        <w:pStyle w:val="Text"/>
        <w:widowControl w:val="0"/>
        <w:numPr>
          <w:ilvl w:val="0"/>
          <w:numId w:val="17"/>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Padidėjęs kūno svoris.</w:t>
      </w:r>
    </w:p>
    <w:p w14:paraId="6CDF240F"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47773E72" w14:textId="77777777" w:rsidR="00314B70" w:rsidRPr="00F93FFA" w:rsidRDefault="00314B70" w:rsidP="00DE16D0">
      <w:pPr>
        <w:pStyle w:val="Text"/>
        <w:widowControl w:val="0"/>
        <w:spacing w:before="0"/>
        <w:jc w:val="left"/>
        <w:rPr>
          <w:color w:val="000000"/>
          <w:sz w:val="22"/>
          <w:szCs w:val="22"/>
          <w:lang w:val="lt-LT"/>
        </w:rPr>
      </w:pPr>
    </w:p>
    <w:p w14:paraId="44A383F0" w14:textId="77777777" w:rsidR="00314B70" w:rsidRPr="00F93FFA" w:rsidRDefault="00314B70" w:rsidP="009A4400">
      <w:pPr>
        <w:pStyle w:val="Text"/>
        <w:keepNext/>
        <w:widowControl w:val="0"/>
        <w:spacing w:before="0"/>
        <w:jc w:val="left"/>
        <w:rPr>
          <w:b/>
          <w:i/>
          <w:color w:val="000000"/>
          <w:sz w:val="22"/>
          <w:szCs w:val="22"/>
          <w:lang w:val="lt-LT"/>
        </w:rPr>
      </w:pPr>
      <w:r w:rsidRPr="00F93FFA">
        <w:rPr>
          <w:b/>
          <w:color w:val="000000"/>
          <w:sz w:val="22"/>
          <w:szCs w:val="22"/>
          <w:lang w:val="lt-LT"/>
        </w:rPr>
        <w:t>Dažni</w:t>
      </w:r>
      <w:r w:rsidRPr="00F93FFA">
        <w:rPr>
          <w:color w:val="000000"/>
          <w:sz w:val="22"/>
          <w:szCs w:val="22"/>
          <w:lang w:val="lt-LT"/>
        </w:rPr>
        <w:t xml:space="preserve"> (gali pasireikšti ne daugiau kaip 1 iš 10 žmonių):</w:t>
      </w:r>
    </w:p>
    <w:p w14:paraId="500976F0"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Anoreksija, sumažėjęs kūno svoris, sutrikęs skonio jutimas.</w:t>
      </w:r>
    </w:p>
    <w:p w14:paraId="1624AC7B"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Galvos svaigimas, silpnumas.</w:t>
      </w:r>
    </w:p>
    <w:p w14:paraId="17F9B59D"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Sunkumas užmigti (nemiga).</w:t>
      </w:r>
    </w:p>
    <w:p w14:paraId="61B91416"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Išskyros iš akies kartu su niežuliu, paraudimu ir patinimu (konjunktyvitas), ašarojimas, neryškus matymas.</w:t>
      </w:r>
    </w:p>
    <w:p w14:paraId="144477D9"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Kraujavimas iš nosies.</w:t>
      </w:r>
    </w:p>
    <w:p w14:paraId="21B669DE"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Pilvo skausmas ar patinimas, vidurių pūtimas, rėmuo, vidurių užkietėjimas.</w:t>
      </w:r>
    </w:p>
    <w:p w14:paraId="6E083FAA"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Niežulys.</w:t>
      </w:r>
    </w:p>
    <w:p w14:paraId="4D7F4AAD"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Neįprastas plaukų slinkimas ar plonėjimas.</w:t>
      </w:r>
    </w:p>
    <w:p w14:paraId="2760BAAC"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Plaštakų ar pėdų tirpimas.</w:t>
      </w:r>
    </w:p>
    <w:p w14:paraId="44E61A92"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Burnos išopėjimas.</w:t>
      </w:r>
    </w:p>
    <w:p w14:paraId="4A9634D2"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Sąnarių skausmas ir patinimas.</w:t>
      </w:r>
    </w:p>
    <w:p w14:paraId="7F7537B3"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Burnos, odos ar akių džiūvimas.</w:t>
      </w:r>
    </w:p>
    <w:p w14:paraId="4EE6BEF2"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Sumažėjęs arba padidėjęs odos jautrumas.</w:t>
      </w:r>
    </w:p>
    <w:p w14:paraId="05381991" w14:textId="77777777" w:rsidR="00314B70" w:rsidRPr="00F93FFA" w:rsidRDefault="00314B70" w:rsidP="00DE16D0">
      <w:pPr>
        <w:pStyle w:val="Text"/>
        <w:widowControl w:val="0"/>
        <w:numPr>
          <w:ilvl w:val="0"/>
          <w:numId w:val="19"/>
        </w:numPr>
        <w:tabs>
          <w:tab w:val="clear" w:pos="717"/>
          <w:tab w:val="num" w:pos="567"/>
        </w:tabs>
        <w:spacing w:before="0"/>
        <w:ind w:left="567" w:hanging="567"/>
        <w:jc w:val="left"/>
        <w:rPr>
          <w:color w:val="000000"/>
          <w:sz w:val="22"/>
          <w:szCs w:val="22"/>
          <w:lang w:val="lt-LT"/>
        </w:rPr>
      </w:pPr>
      <w:r w:rsidRPr="00F93FFA">
        <w:rPr>
          <w:color w:val="000000"/>
          <w:sz w:val="22"/>
          <w:szCs w:val="22"/>
          <w:lang w:val="lt-LT"/>
        </w:rPr>
        <w:t>Karščio pylimai, drebulys, naktinis prakaitavimas.</w:t>
      </w:r>
    </w:p>
    <w:p w14:paraId="5439865F"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3DE4DB47" w14:textId="77777777" w:rsidR="00314B70" w:rsidRPr="00F93FFA" w:rsidRDefault="00314B70" w:rsidP="00DE16D0">
      <w:pPr>
        <w:pStyle w:val="Text"/>
        <w:widowControl w:val="0"/>
        <w:spacing w:before="0"/>
        <w:jc w:val="left"/>
        <w:rPr>
          <w:color w:val="000000"/>
          <w:sz w:val="22"/>
          <w:szCs w:val="22"/>
          <w:lang w:val="lt-LT"/>
        </w:rPr>
      </w:pPr>
    </w:p>
    <w:p w14:paraId="0FBD1ACC" w14:textId="089ABB84" w:rsidR="00314B70" w:rsidRPr="00F93FFA" w:rsidRDefault="00314B70" w:rsidP="009A4400">
      <w:pPr>
        <w:pStyle w:val="Text"/>
        <w:keepNext/>
        <w:widowControl w:val="0"/>
        <w:spacing w:before="0"/>
        <w:jc w:val="left"/>
        <w:rPr>
          <w:b/>
          <w:i/>
          <w:color w:val="000000"/>
          <w:sz w:val="22"/>
          <w:szCs w:val="22"/>
          <w:lang w:val="lt-LT"/>
        </w:rPr>
      </w:pPr>
      <w:r w:rsidRPr="00F93FFA">
        <w:rPr>
          <w:b/>
          <w:color w:val="000000"/>
          <w:sz w:val="22"/>
          <w:szCs w:val="22"/>
          <w:lang w:val="lt-LT"/>
        </w:rPr>
        <w:t>Dažnis nežinomas</w:t>
      </w:r>
      <w:r w:rsidRPr="00F93FFA">
        <w:rPr>
          <w:color w:val="000000"/>
          <w:sz w:val="22"/>
          <w:szCs w:val="22"/>
          <w:lang w:val="lt-LT"/>
        </w:rPr>
        <w:t xml:space="preserve"> (negali būti </w:t>
      </w:r>
      <w:r w:rsidR="00770DD2" w:rsidRPr="00F93FFA">
        <w:rPr>
          <w:color w:val="000000"/>
          <w:sz w:val="22"/>
          <w:szCs w:val="22"/>
          <w:lang w:val="lt-LT"/>
        </w:rPr>
        <w:t xml:space="preserve">apskaičiuotas </w:t>
      </w:r>
      <w:r w:rsidRPr="00F93FFA">
        <w:rPr>
          <w:color w:val="000000"/>
          <w:sz w:val="22"/>
          <w:szCs w:val="22"/>
          <w:lang w:val="lt-LT"/>
        </w:rPr>
        <w:t>pagal turimus duomenis):</w:t>
      </w:r>
    </w:p>
    <w:p w14:paraId="64B9BC14"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Delnų ir padų paraudimas ir (arba) patinimas, kurie gali pasireikšti kartu su dilgčiojimo pojūčiu ir deginančiu skausmu.</w:t>
      </w:r>
    </w:p>
    <w:p w14:paraId="44713F68" w14:textId="77777777" w:rsidR="006703D1" w:rsidRPr="00F93FFA" w:rsidRDefault="006703D1"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Skausmingi ir (arba) pūsliniai odos pažeidimai.</w:t>
      </w:r>
    </w:p>
    <w:p w14:paraId="479A4116" w14:textId="77777777" w:rsidR="00314B70" w:rsidRPr="00F93FFA" w:rsidRDefault="00314B7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Sulėtėjęs vaikų ir paauglių augimas.</w:t>
      </w:r>
    </w:p>
    <w:p w14:paraId="03BFCDB3" w14:textId="77777777" w:rsidR="00314B70" w:rsidRPr="00F93FFA" w:rsidRDefault="00314B70" w:rsidP="00DE16D0">
      <w:pPr>
        <w:pStyle w:val="Text"/>
        <w:widowControl w:val="0"/>
        <w:spacing w:before="0"/>
        <w:jc w:val="left"/>
        <w:rPr>
          <w:color w:val="000000"/>
          <w:sz w:val="22"/>
          <w:szCs w:val="22"/>
          <w:lang w:val="lt-LT"/>
        </w:rPr>
      </w:pPr>
      <w:r w:rsidRPr="00F93FFA">
        <w:rPr>
          <w:color w:val="000000"/>
          <w:sz w:val="22"/>
          <w:szCs w:val="22"/>
          <w:lang w:val="lt-LT"/>
        </w:rPr>
        <w:t xml:space="preserve">Jei bet kuris iš šių reiškinių tampa sunkiu, </w:t>
      </w:r>
      <w:r w:rsidRPr="00F93FFA">
        <w:rPr>
          <w:b/>
          <w:color w:val="000000"/>
          <w:sz w:val="22"/>
          <w:szCs w:val="22"/>
          <w:lang w:val="lt-LT"/>
        </w:rPr>
        <w:t>pasakykite gydytojui</w:t>
      </w:r>
      <w:r w:rsidRPr="00F93FFA">
        <w:rPr>
          <w:color w:val="000000"/>
          <w:sz w:val="22"/>
          <w:szCs w:val="22"/>
          <w:lang w:val="lt-LT"/>
        </w:rPr>
        <w:t>.</w:t>
      </w:r>
    </w:p>
    <w:p w14:paraId="7043044C" w14:textId="77777777" w:rsidR="00314B70" w:rsidRPr="00F93FFA" w:rsidRDefault="00314B70" w:rsidP="00DE16D0">
      <w:pPr>
        <w:pStyle w:val="Text"/>
        <w:widowControl w:val="0"/>
        <w:spacing w:before="0"/>
        <w:jc w:val="left"/>
        <w:rPr>
          <w:color w:val="000000"/>
          <w:sz w:val="22"/>
          <w:szCs w:val="22"/>
          <w:lang w:val="lt-LT"/>
        </w:rPr>
      </w:pPr>
    </w:p>
    <w:p w14:paraId="5608C142" w14:textId="77777777" w:rsidR="00314B70" w:rsidRPr="00F93FFA" w:rsidRDefault="00314B70" w:rsidP="009A4400">
      <w:pPr>
        <w:keepNext/>
        <w:widowControl w:val="0"/>
        <w:rPr>
          <w:b/>
          <w:sz w:val="22"/>
          <w:szCs w:val="22"/>
        </w:rPr>
      </w:pPr>
      <w:r w:rsidRPr="00F93FFA">
        <w:rPr>
          <w:b/>
          <w:noProof/>
          <w:sz w:val="22"/>
          <w:szCs w:val="22"/>
        </w:rPr>
        <w:t>Pranešimas apie šalutinį poveikį</w:t>
      </w:r>
    </w:p>
    <w:p w14:paraId="28EADF50" w14:textId="77777777" w:rsidR="00314B70" w:rsidRPr="00F93FFA" w:rsidRDefault="00314B70" w:rsidP="00DE16D0">
      <w:pPr>
        <w:widowControl w:val="0"/>
        <w:numPr>
          <w:ilvl w:val="12"/>
          <w:numId w:val="0"/>
        </w:numPr>
        <w:ind w:right="-2"/>
        <w:rPr>
          <w:sz w:val="22"/>
          <w:szCs w:val="22"/>
        </w:rPr>
      </w:pPr>
      <w:r w:rsidRPr="00F93FFA">
        <w:rPr>
          <w:noProof/>
          <w:sz w:val="22"/>
          <w:szCs w:val="22"/>
        </w:rPr>
        <w:t xml:space="preserve">Jeigu pasireiškė šalutinis poveikis, įskaitant šiame lapelyje nenurodytą, pasakykite gydytojui, vaistininkui arba slaugytojai. Apie šalutinį poveikį taip pat galite pranešti tiesiogiai </w:t>
      </w:r>
      <w:r w:rsidRPr="00F93FFA">
        <w:rPr>
          <w:noProof/>
          <w:sz w:val="22"/>
          <w:szCs w:val="22"/>
          <w:shd w:val="clear" w:color="auto" w:fill="D9D9D9"/>
        </w:rPr>
        <w:t xml:space="preserve">naudodamiesi </w:t>
      </w:r>
      <w:hyperlink r:id="rId16" w:history="1">
        <w:r w:rsidRPr="00F93FFA">
          <w:rPr>
            <w:rStyle w:val="Hyperlink"/>
            <w:sz w:val="22"/>
            <w:szCs w:val="22"/>
            <w:shd w:val="clear" w:color="auto" w:fill="D9D9D9"/>
          </w:rPr>
          <w:t>V priede</w:t>
        </w:r>
      </w:hyperlink>
      <w:r w:rsidRPr="00F93FFA">
        <w:rPr>
          <w:noProof/>
          <w:sz w:val="22"/>
          <w:szCs w:val="22"/>
          <w:shd w:val="clear" w:color="auto" w:fill="D9D9D9"/>
        </w:rPr>
        <w:t xml:space="preserve"> nurodyta nacionaline pranešimo sistema</w:t>
      </w:r>
      <w:r w:rsidRPr="00F93FFA">
        <w:rPr>
          <w:noProof/>
          <w:sz w:val="22"/>
          <w:szCs w:val="22"/>
        </w:rPr>
        <w:t>.</w:t>
      </w:r>
      <w:r w:rsidRPr="00F93FFA">
        <w:rPr>
          <w:sz w:val="22"/>
          <w:szCs w:val="22"/>
        </w:rPr>
        <w:t xml:space="preserve"> </w:t>
      </w:r>
      <w:r w:rsidRPr="00F93FFA">
        <w:rPr>
          <w:noProof/>
          <w:sz w:val="22"/>
          <w:szCs w:val="22"/>
        </w:rPr>
        <w:t>Pranešdami apie šalutinį poveikį galite mums padėti gauti daugiau informacijos apie šio vaisto saugumą.</w:t>
      </w:r>
    </w:p>
    <w:p w14:paraId="5585CDD6" w14:textId="77777777" w:rsidR="00314B70" w:rsidRPr="00F93FFA" w:rsidRDefault="00314B70" w:rsidP="00DE16D0">
      <w:pPr>
        <w:widowControl w:val="0"/>
        <w:ind w:left="567" w:hanging="567"/>
        <w:rPr>
          <w:color w:val="000000"/>
          <w:sz w:val="22"/>
          <w:szCs w:val="22"/>
        </w:rPr>
      </w:pPr>
    </w:p>
    <w:p w14:paraId="0936796A" w14:textId="77777777" w:rsidR="00314B70" w:rsidRPr="00F93FFA" w:rsidRDefault="00314B70" w:rsidP="00DE16D0">
      <w:pPr>
        <w:widowControl w:val="0"/>
        <w:ind w:left="567" w:hanging="567"/>
        <w:rPr>
          <w:color w:val="000000"/>
          <w:sz w:val="22"/>
          <w:szCs w:val="22"/>
        </w:rPr>
      </w:pPr>
    </w:p>
    <w:p w14:paraId="09DC95DA" w14:textId="77777777" w:rsidR="003646A0" w:rsidRPr="00F93FFA" w:rsidRDefault="003646A0" w:rsidP="009A4400">
      <w:pPr>
        <w:keepNext/>
        <w:widowControl w:val="0"/>
        <w:numPr>
          <w:ilvl w:val="12"/>
          <w:numId w:val="0"/>
        </w:numPr>
        <w:ind w:left="567" w:hanging="567"/>
        <w:outlineLvl w:val="0"/>
        <w:rPr>
          <w:b/>
          <w:caps/>
          <w:color w:val="000000"/>
          <w:sz w:val="22"/>
          <w:szCs w:val="22"/>
        </w:rPr>
      </w:pPr>
      <w:r w:rsidRPr="00F93FFA">
        <w:rPr>
          <w:b/>
          <w:caps/>
          <w:color w:val="000000"/>
          <w:sz w:val="22"/>
          <w:szCs w:val="22"/>
        </w:rPr>
        <w:t>5.</w:t>
      </w:r>
      <w:r w:rsidRPr="00F93FFA">
        <w:rPr>
          <w:b/>
          <w:caps/>
          <w:color w:val="000000"/>
          <w:sz w:val="22"/>
          <w:szCs w:val="22"/>
        </w:rPr>
        <w:tab/>
        <w:t>K</w:t>
      </w:r>
      <w:r w:rsidRPr="00F93FFA">
        <w:rPr>
          <w:b/>
          <w:color w:val="000000"/>
          <w:sz w:val="22"/>
          <w:szCs w:val="22"/>
        </w:rPr>
        <w:t>aip laikyti Glivec</w:t>
      </w:r>
    </w:p>
    <w:p w14:paraId="6E6D8477" w14:textId="77777777" w:rsidR="003646A0" w:rsidRPr="00F93FFA" w:rsidRDefault="003646A0" w:rsidP="009A4400">
      <w:pPr>
        <w:keepNext/>
        <w:widowControl w:val="0"/>
        <w:ind w:left="567" w:hanging="567"/>
        <w:rPr>
          <w:color w:val="000000"/>
          <w:sz w:val="22"/>
          <w:szCs w:val="22"/>
        </w:rPr>
      </w:pPr>
    </w:p>
    <w:p w14:paraId="7A7FB2E0"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Šį vaistą laikykite vaikams nepastebimoje ir nepasiekiamoje vietoje.</w:t>
      </w:r>
    </w:p>
    <w:p w14:paraId="0FFE4014"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 xml:space="preserve">Ant dėžutės </w:t>
      </w:r>
      <w:r w:rsidR="006703D1" w:rsidRPr="00F93FFA">
        <w:rPr>
          <w:color w:val="000000"/>
          <w:sz w:val="22"/>
          <w:szCs w:val="22"/>
          <w:lang w:val="lt-LT"/>
        </w:rPr>
        <w:t>po „</w:t>
      </w:r>
      <w:r w:rsidR="00C669BB" w:rsidRPr="00F93FFA">
        <w:rPr>
          <w:color w:val="000000"/>
          <w:sz w:val="22"/>
          <w:szCs w:val="22"/>
          <w:lang w:val="lt-LT"/>
        </w:rPr>
        <w:t>EXP</w:t>
      </w:r>
      <w:r w:rsidR="006703D1" w:rsidRPr="00F93FFA">
        <w:rPr>
          <w:color w:val="000000"/>
          <w:sz w:val="22"/>
          <w:szCs w:val="22"/>
          <w:lang w:val="lt-LT"/>
        </w:rPr>
        <w:t xml:space="preserve">“ </w:t>
      </w:r>
      <w:r w:rsidRPr="00F93FFA">
        <w:rPr>
          <w:color w:val="000000"/>
          <w:sz w:val="22"/>
          <w:szCs w:val="22"/>
          <w:lang w:val="lt-LT"/>
        </w:rPr>
        <w:t>nurodytam tinkamumo laikui pasibaigus, šio vaisto vartoti negalima.</w:t>
      </w:r>
    </w:p>
    <w:p w14:paraId="27ECE6C1"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Laikyti ne aukštesnėje kaip 30 </w:t>
      </w:r>
      <w:r w:rsidRPr="00F93FFA">
        <w:rPr>
          <w:color w:val="000000"/>
          <w:sz w:val="22"/>
          <w:szCs w:val="22"/>
        </w:rPr>
        <w:sym w:font="Symbol" w:char="F0B0"/>
      </w:r>
      <w:r w:rsidRPr="00F93FFA">
        <w:rPr>
          <w:color w:val="000000"/>
          <w:sz w:val="22"/>
          <w:szCs w:val="22"/>
          <w:lang w:val="lt-LT"/>
        </w:rPr>
        <w:t>C temperatūroje.</w:t>
      </w:r>
    </w:p>
    <w:p w14:paraId="465D4963" w14:textId="331867CF"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 xml:space="preserve">Laikyti gamintojo pakuotėje, kad </w:t>
      </w:r>
      <w:r w:rsidR="001E6883" w:rsidRPr="00F93FFA">
        <w:rPr>
          <w:color w:val="000000"/>
          <w:sz w:val="22"/>
          <w:szCs w:val="22"/>
          <w:lang w:val="lt-LT"/>
        </w:rPr>
        <w:t xml:space="preserve">vaistas </w:t>
      </w:r>
      <w:r w:rsidRPr="00F93FFA">
        <w:rPr>
          <w:color w:val="000000"/>
          <w:sz w:val="22"/>
          <w:szCs w:val="22"/>
          <w:lang w:val="lt-LT"/>
        </w:rPr>
        <w:t>būtų apsaugotas nuo drėgmės.</w:t>
      </w:r>
    </w:p>
    <w:p w14:paraId="03D53B8D"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color w:val="000000"/>
          <w:sz w:val="22"/>
          <w:szCs w:val="22"/>
          <w:lang w:val="lt-LT"/>
        </w:rPr>
        <w:t>Negalima vartoti vaisto iš pakuotės, kuri yra pažeista ar yra sugedimo požymių.</w:t>
      </w:r>
    </w:p>
    <w:p w14:paraId="265A48DF" w14:textId="77777777" w:rsidR="003646A0" w:rsidRPr="00F93FFA" w:rsidRDefault="003646A0" w:rsidP="00DE16D0">
      <w:pPr>
        <w:pStyle w:val="Text"/>
        <w:widowControl w:val="0"/>
        <w:numPr>
          <w:ilvl w:val="0"/>
          <w:numId w:val="20"/>
        </w:numPr>
        <w:tabs>
          <w:tab w:val="clear" w:pos="357"/>
        </w:tabs>
        <w:spacing w:before="0"/>
        <w:ind w:left="567" w:hanging="567"/>
        <w:jc w:val="left"/>
        <w:rPr>
          <w:color w:val="000000"/>
          <w:sz w:val="22"/>
          <w:szCs w:val="22"/>
          <w:lang w:val="lt-LT"/>
        </w:rPr>
      </w:pPr>
      <w:r w:rsidRPr="00F93FFA">
        <w:rPr>
          <w:sz w:val="22"/>
          <w:szCs w:val="22"/>
          <w:lang w:val="lt-LT"/>
        </w:rPr>
        <w:t xml:space="preserve">Vaistų negalima išmesti į kanalizaciją arba su buitinėmis atliekomis. Kaip išmesti nereikalingus </w:t>
      </w:r>
      <w:r w:rsidRPr="00F93FFA">
        <w:rPr>
          <w:sz w:val="22"/>
          <w:szCs w:val="22"/>
          <w:lang w:val="lt-LT"/>
        </w:rPr>
        <w:lastRenderedPageBreak/>
        <w:t>vaistus, klauskite vaistininko. Šios priemonės padės apsaugoti aplinką.</w:t>
      </w:r>
    </w:p>
    <w:p w14:paraId="70AA52C6" w14:textId="77777777" w:rsidR="003646A0" w:rsidRPr="00F93FFA" w:rsidRDefault="003646A0" w:rsidP="00DE16D0">
      <w:pPr>
        <w:widowControl w:val="0"/>
        <w:rPr>
          <w:color w:val="000000"/>
          <w:sz w:val="22"/>
          <w:szCs w:val="22"/>
        </w:rPr>
      </w:pPr>
    </w:p>
    <w:p w14:paraId="513665DF" w14:textId="77777777" w:rsidR="003646A0" w:rsidRPr="00F93FFA" w:rsidRDefault="003646A0" w:rsidP="00DE16D0">
      <w:pPr>
        <w:widowControl w:val="0"/>
        <w:rPr>
          <w:color w:val="000000"/>
          <w:sz w:val="22"/>
          <w:szCs w:val="22"/>
        </w:rPr>
      </w:pPr>
    </w:p>
    <w:p w14:paraId="2EEF043D" w14:textId="77777777" w:rsidR="003646A0" w:rsidRPr="00F93FFA" w:rsidRDefault="003646A0" w:rsidP="009A4400">
      <w:pPr>
        <w:keepNext/>
        <w:widowControl w:val="0"/>
        <w:numPr>
          <w:ilvl w:val="12"/>
          <w:numId w:val="0"/>
        </w:numPr>
        <w:tabs>
          <w:tab w:val="left" w:pos="540"/>
        </w:tabs>
        <w:ind w:left="567" w:hanging="567"/>
        <w:outlineLvl w:val="0"/>
        <w:rPr>
          <w:b/>
          <w:color w:val="000000"/>
          <w:sz w:val="22"/>
          <w:szCs w:val="22"/>
        </w:rPr>
      </w:pPr>
      <w:r w:rsidRPr="00F93FFA">
        <w:rPr>
          <w:b/>
          <w:color w:val="000000"/>
          <w:sz w:val="22"/>
          <w:szCs w:val="22"/>
        </w:rPr>
        <w:t>6.</w:t>
      </w:r>
      <w:r w:rsidRPr="00F93FFA">
        <w:rPr>
          <w:color w:val="000000"/>
          <w:sz w:val="22"/>
          <w:szCs w:val="22"/>
        </w:rPr>
        <w:tab/>
      </w:r>
      <w:r w:rsidRPr="00F93FFA">
        <w:rPr>
          <w:b/>
          <w:sz w:val="22"/>
          <w:szCs w:val="22"/>
        </w:rPr>
        <w:t>Pakuotės turinys ir kita informacija</w:t>
      </w:r>
    </w:p>
    <w:p w14:paraId="2282650A" w14:textId="77777777" w:rsidR="003646A0" w:rsidRPr="00F93FFA" w:rsidRDefault="003646A0" w:rsidP="009A4400">
      <w:pPr>
        <w:keepNext/>
        <w:widowControl w:val="0"/>
        <w:ind w:left="567" w:hanging="567"/>
        <w:rPr>
          <w:color w:val="000000"/>
          <w:sz w:val="22"/>
          <w:szCs w:val="22"/>
        </w:rPr>
      </w:pPr>
    </w:p>
    <w:p w14:paraId="7F6AF20B"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Glivec sudėtis</w:t>
      </w:r>
    </w:p>
    <w:p w14:paraId="08AFBC86" w14:textId="36A3A73C" w:rsidR="00552E8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Veiklioji medžiaga yra imatinibo mesilatas.</w:t>
      </w:r>
    </w:p>
    <w:p w14:paraId="44D47FCA" w14:textId="23CDBBD7" w:rsidR="003646A0" w:rsidRDefault="003646A0" w:rsidP="00F53012">
      <w:pPr>
        <w:pStyle w:val="ListParagraph"/>
        <w:widowControl w:val="0"/>
        <w:numPr>
          <w:ilvl w:val="0"/>
          <w:numId w:val="24"/>
        </w:numPr>
        <w:tabs>
          <w:tab w:val="clear" w:pos="720"/>
        </w:tabs>
        <w:ind w:left="1134" w:hanging="567"/>
        <w:rPr>
          <w:color w:val="000000"/>
          <w:sz w:val="22"/>
          <w:szCs w:val="22"/>
        </w:rPr>
      </w:pPr>
      <w:r w:rsidRPr="00F53012">
        <w:rPr>
          <w:color w:val="000000"/>
          <w:sz w:val="22"/>
          <w:szCs w:val="22"/>
        </w:rPr>
        <w:t xml:space="preserve">Kiekvienoje </w:t>
      </w:r>
      <w:r w:rsidR="00552E8A">
        <w:rPr>
          <w:color w:val="000000"/>
          <w:sz w:val="22"/>
          <w:szCs w:val="22"/>
        </w:rPr>
        <w:t xml:space="preserve">100 mg </w:t>
      </w:r>
      <w:r w:rsidRPr="00F53012">
        <w:rPr>
          <w:color w:val="000000"/>
          <w:sz w:val="22"/>
          <w:szCs w:val="22"/>
        </w:rPr>
        <w:t>Glivec tabletėje yra 100 mg imatinibo (mesilato</w:t>
      </w:r>
      <w:r w:rsidR="006846B3" w:rsidRPr="00F53012">
        <w:rPr>
          <w:color w:val="000000"/>
          <w:sz w:val="22"/>
          <w:szCs w:val="22"/>
        </w:rPr>
        <w:t xml:space="preserve"> pavidalu</w:t>
      </w:r>
      <w:r w:rsidRPr="00F53012">
        <w:rPr>
          <w:color w:val="000000"/>
          <w:sz w:val="22"/>
          <w:szCs w:val="22"/>
        </w:rPr>
        <w:t>).</w:t>
      </w:r>
    </w:p>
    <w:p w14:paraId="26ABFA34" w14:textId="56C7EEB5" w:rsidR="00552E8A" w:rsidRPr="00F53012" w:rsidRDefault="00552E8A" w:rsidP="00F53012">
      <w:pPr>
        <w:pStyle w:val="ListParagraph"/>
        <w:widowControl w:val="0"/>
        <w:numPr>
          <w:ilvl w:val="0"/>
          <w:numId w:val="24"/>
        </w:numPr>
        <w:tabs>
          <w:tab w:val="clear" w:pos="720"/>
        </w:tabs>
        <w:ind w:left="1134" w:hanging="567"/>
        <w:rPr>
          <w:color w:val="000000"/>
          <w:sz w:val="22"/>
          <w:szCs w:val="22"/>
        </w:rPr>
      </w:pPr>
      <w:r w:rsidRPr="00552E8A">
        <w:rPr>
          <w:color w:val="000000"/>
          <w:sz w:val="22"/>
          <w:szCs w:val="22"/>
        </w:rPr>
        <w:t xml:space="preserve">Kiekvienoje </w:t>
      </w:r>
      <w:r>
        <w:rPr>
          <w:color w:val="000000"/>
          <w:sz w:val="22"/>
          <w:szCs w:val="22"/>
        </w:rPr>
        <w:t>4</w:t>
      </w:r>
      <w:r w:rsidRPr="00552E8A">
        <w:rPr>
          <w:color w:val="000000"/>
          <w:sz w:val="22"/>
          <w:szCs w:val="22"/>
        </w:rPr>
        <w:t xml:space="preserve">00 mg Glivec tabletėje yra </w:t>
      </w:r>
      <w:r>
        <w:rPr>
          <w:color w:val="000000"/>
          <w:sz w:val="22"/>
          <w:szCs w:val="22"/>
        </w:rPr>
        <w:t>4</w:t>
      </w:r>
      <w:r w:rsidRPr="00552E8A">
        <w:rPr>
          <w:color w:val="000000"/>
          <w:sz w:val="22"/>
          <w:szCs w:val="22"/>
        </w:rPr>
        <w:t>00 mg imatinibo (mesilato pavidalu).</w:t>
      </w:r>
    </w:p>
    <w:p w14:paraId="27374286" w14:textId="77777777"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Pagalbinės medžiagos yra mikrokristalinė celiuliozė, krospovidonas, hipromeliozė, magnio stearatas ir bevandenis koloidinis silicio dioksidas.</w:t>
      </w:r>
    </w:p>
    <w:p w14:paraId="0DFFD5DD" w14:textId="560848A7" w:rsidR="003646A0" w:rsidRPr="00F93FFA" w:rsidRDefault="003646A0" w:rsidP="00DE16D0">
      <w:pPr>
        <w:widowControl w:val="0"/>
        <w:ind w:left="567" w:hanging="567"/>
        <w:rPr>
          <w:color w:val="000000"/>
          <w:sz w:val="22"/>
          <w:szCs w:val="22"/>
        </w:rPr>
      </w:pPr>
      <w:r w:rsidRPr="00F93FFA">
        <w:rPr>
          <w:color w:val="000000"/>
          <w:sz w:val="22"/>
          <w:szCs w:val="22"/>
        </w:rPr>
        <w:t>-</w:t>
      </w:r>
      <w:r w:rsidRPr="00F93FFA">
        <w:rPr>
          <w:color w:val="000000"/>
          <w:sz w:val="22"/>
          <w:szCs w:val="22"/>
        </w:rPr>
        <w:tab/>
        <w:t xml:space="preserve">Tabletės </w:t>
      </w:r>
      <w:r w:rsidR="007738D8" w:rsidRPr="00F93FFA">
        <w:rPr>
          <w:color w:val="000000"/>
          <w:sz w:val="22"/>
          <w:szCs w:val="22"/>
        </w:rPr>
        <w:t xml:space="preserve">plėvelė </w:t>
      </w:r>
      <w:r w:rsidRPr="00F93FFA">
        <w:rPr>
          <w:color w:val="000000"/>
          <w:sz w:val="22"/>
          <w:szCs w:val="22"/>
        </w:rPr>
        <w:t>sudaryta iš raudonojo geležies oksido (E172), geltonojo geležies oksido (E172), makrogolio, talko ir hipromeliozės.</w:t>
      </w:r>
    </w:p>
    <w:p w14:paraId="2ABC4831" w14:textId="77777777" w:rsidR="003646A0" w:rsidRPr="00F93FFA" w:rsidRDefault="003646A0" w:rsidP="00DE16D0">
      <w:pPr>
        <w:widowControl w:val="0"/>
        <w:ind w:left="567" w:hanging="567"/>
        <w:rPr>
          <w:color w:val="000000"/>
          <w:sz w:val="22"/>
          <w:szCs w:val="22"/>
        </w:rPr>
      </w:pPr>
    </w:p>
    <w:p w14:paraId="142A4F87" w14:textId="77777777" w:rsidR="003646A0" w:rsidRPr="00F93FFA" w:rsidRDefault="003646A0" w:rsidP="009A4400">
      <w:pPr>
        <w:keepNext/>
        <w:widowControl w:val="0"/>
        <w:ind w:left="567" w:hanging="567"/>
        <w:rPr>
          <w:b/>
          <w:color w:val="000000"/>
          <w:sz w:val="22"/>
          <w:szCs w:val="22"/>
        </w:rPr>
      </w:pPr>
      <w:r w:rsidRPr="00F93FFA">
        <w:rPr>
          <w:b/>
          <w:color w:val="000000"/>
          <w:sz w:val="22"/>
          <w:szCs w:val="22"/>
        </w:rPr>
        <w:t>Glivec išvaizda ir kiekis pakuotėje</w:t>
      </w:r>
    </w:p>
    <w:p w14:paraId="3639ABB6" w14:textId="73D59430" w:rsidR="003646A0" w:rsidRDefault="003646A0" w:rsidP="00DE16D0">
      <w:pPr>
        <w:widowControl w:val="0"/>
        <w:rPr>
          <w:color w:val="000000"/>
          <w:sz w:val="22"/>
          <w:szCs w:val="22"/>
        </w:rPr>
      </w:pPr>
      <w:r w:rsidRPr="00F93FFA">
        <w:rPr>
          <w:color w:val="000000"/>
          <w:sz w:val="22"/>
          <w:szCs w:val="22"/>
        </w:rPr>
        <w:t>Glivec 100 mg plėvele dengtos tabletės yra apskritos, tamsiai geltonos, rusvai oranžinės spalvos. Vienoje jų pusėje pažymėta “NVR”, ir kitoje - “SA” su vagele.</w:t>
      </w:r>
    </w:p>
    <w:p w14:paraId="63A2ED8C" w14:textId="5C9ECC06" w:rsidR="00BF42B1" w:rsidRPr="00F93FFA" w:rsidRDefault="00BF42B1" w:rsidP="00DE16D0">
      <w:pPr>
        <w:widowControl w:val="0"/>
        <w:rPr>
          <w:color w:val="000000"/>
          <w:sz w:val="22"/>
          <w:szCs w:val="22"/>
        </w:rPr>
      </w:pPr>
      <w:r w:rsidRPr="00F93FFA">
        <w:rPr>
          <w:color w:val="000000"/>
          <w:sz w:val="22"/>
          <w:szCs w:val="22"/>
        </w:rPr>
        <w:t xml:space="preserve">Glivec </w:t>
      </w:r>
      <w:r>
        <w:rPr>
          <w:color w:val="000000"/>
          <w:sz w:val="22"/>
          <w:szCs w:val="22"/>
        </w:rPr>
        <w:t>4</w:t>
      </w:r>
      <w:r w:rsidRPr="00F93FFA">
        <w:rPr>
          <w:color w:val="000000"/>
          <w:sz w:val="22"/>
          <w:szCs w:val="22"/>
        </w:rPr>
        <w:t xml:space="preserve">00 mg plėvele dengtos tabletės yra apskritos, tamsiai geltonos, rusvai oranžinės spalvos. Vienoje jų pusėje pažymėta </w:t>
      </w:r>
      <w:r>
        <w:rPr>
          <w:color w:val="000000"/>
          <w:sz w:val="22"/>
          <w:szCs w:val="22"/>
        </w:rPr>
        <w:t>„glivec“</w:t>
      </w:r>
      <w:r w:rsidRPr="00F93FFA">
        <w:rPr>
          <w:color w:val="000000"/>
          <w:sz w:val="22"/>
          <w:szCs w:val="22"/>
        </w:rPr>
        <w:t>.</w:t>
      </w:r>
    </w:p>
    <w:p w14:paraId="5D7D2B66" w14:textId="77777777" w:rsidR="003646A0" w:rsidRPr="00F93FFA" w:rsidRDefault="003646A0" w:rsidP="00DE16D0">
      <w:pPr>
        <w:widowControl w:val="0"/>
        <w:ind w:left="567" w:hanging="567"/>
        <w:rPr>
          <w:color w:val="000000"/>
          <w:sz w:val="22"/>
          <w:szCs w:val="22"/>
        </w:rPr>
      </w:pPr>
    </w:p>
    <w:p w14:paraId="73623656" w14:textId="00578972" w:rsidR="00BF42B1" w:rsidRDefault="00BF42B1" w:rsidP="00DE16D0">
      <w:pPr>
        <w:widowControl w:val="0"/>
        <w:rPr>
          <w:color w:val="000000"/>
          <w:sz w:val="22"/>
          <w:szCs w:val="22"/>
        </w:rPr>
      </w:pPr>
      <w:r w:rsidRPr="00BF42B1">
        <w:rPr>
          <w:color w:val="000000"/>
          <w:sz w:val="22"/>
          <w:szCs w:val="22"/>
        </w:rPr>
        <w:t xml:space="preserve">Glivec 100 mg plėvele dengtos tabletės </w:t>
      </w:r>
      <w:r w:rsidR="003646A0" w:rsidRPr="00F93FFA">
        <w:rPr>
          <w:color w:val="000000"/>
          <w:sz w:val="22"/>
          <w:szCs w:val="22"/>
        </w:rPr>
        <w:t>tiekiamos pakuotėmis, kuriose yra 20, 60, 120 arba 180 tablečių.</w:t>
      </w:r>
    </w:p>
    <w:p w14:paraId="071183C1" w14:textId="7EBDF4CA" w:rsidR="00BF42B1" w:rsidRDefault="00BF42B1" w:rsidP="00DE16D0">
      <w:pPr>
        <w:widowControl w:val="0"/>
        <w:rPr>
          <w:color w:val="000000"/>
          <w:sz w:val="22"/>
          <w:szCs w:val="22"/>
        </w:rPr>
      </w:pPr>
      <w:r w:rsidRPr="00BF42B1">
        <w:rPr>
          <w:color w:val="000000"/>
          <w:sz w:val="22"/>
          <w:szCs w:val="22"/>
        </w:rPr>
        <w:t xml:space="preserve">Glivec </w:t>
      </w:r>
      <w:r>
        <w:rPr>
          <w:color w:val="000000"/>
          <w:sz w:val="22"/>
          <w:szCs w:val="22"/>
        </w:rPr>
        <w:t>4</w:t>
      </w:r>
      <w:r w:rsidRPr="00BF42B1">
        <w:rPr>
          <w:color w:val="000000"/>
          <w:sz w:val="22"/>
          <w:szCs w:val="22"/>
        </w:rPr>
        <w:t xml:space="preserve">00 mg plėvele dengtos tabletės tiekiamos pakuotėmis, kuriose yra </w:t>
      </w:r>
      <w:r>
        <w:rPr>
          <w:color w:val="000000"/>
          <w:sz w:val="22"/>
          <w:szCs w:val="22"/>
        </w:rPr>
        <w:t>1</w:t>
      </w:r>
      <w:r w:rsidRPr="00BF42B1">
        <w:rPr>
          <w:color w:val="000000"/>
          <w:sz w:val="22"/>
          <w:szCs w:val="22"/>
        </w:rPr>
        <w:t xml:space="preserve">0, </w:t>
      </w:r>
      <w:r>
        <w:rPr>
          <w:color w:val="000000"/>
          <w:sz w:val="22"/>
          <w:szCs w:val="22"/>
        </w:rPr>
        <w:t>3</w:t>
      </w:r>
      <w:r w:rsidRPr="00BF42B1">
        <w:rPr>
          <w:color w:val="000000"/>
          <w:sz w:val="22"/>
          <w:szCs w:val="22"/>
        </w:rPr>
        <w:t xml:space="preserve">0 arba </w:t>
      </w:r>
      <w:r>
        <w:rPr>
          <w:color w:val="000000"/>
          <w:sz w:val="22"/>
          <w:szCs w:val="22"/>
        </w:rPr>
        <w:t>9</w:t>
      </w:r>
      <w:r w:rsidRPr="00BF42B1">
        <w:rPr>
          <w:color w:val="000000"/>
          <w:sz w:val="22"/>
          <w:szCs w:val="22"/>
        </w:rPr>
        <w:t>0 tablečių.</w:t>
      </w:r>
    </w:p>
    <w:p w14:paraId="25F6D06F" w14:textId="13ADA14B" w:rsidR="003646A0" w:rsidRPr="00F93FFA" w:rsidRDefault="003646A0" w:rsidP="00DE16D0">
      <w:pPr>
        <w:widowControl w:val="0"/>
        <w:rPr>
          <w:color w:val="000000"/>
          <w:sz w:val="22"/>
          <w:szCs w:val="22"/>
        </w:rPr>
      </w:pPr>
      <w:r w:rsidRPr="00F93FFA">
        <w:rPr>
          <w:color w:val="000000"/>
          <w:sz w:val="22"/>
          <w:szCs w:val="22"/>
        </w:rPr>
        <w:t>Gali būti tiekiamos ne visų dydžių pakuotės.</w:t>
      </w:r>
    </w:p>
    <w:p w14:paraId="08A6E6C7" w14:textId="77777777" w:rsidR="003646A0" w:rsidRPr="00F93FFA" w:rsidRDefault="003646A0" w:rsidP="00DE16D0">
      <w:pPr>
        <w:widowControl w:val="0"/>
        <w:ind w:left="567" w:hanging="567"/>
        <w:rPr>
          <w:color w:val="000000"/>
          <w:sz w:val="22"/>
          <w:szCs w:val="22"/>
        </w:rPr>
      </w:pPr>
    </w:p>
    <w:p w14:paraId="05F01978" w14:textId="77777777" w:rsidR="003646A0" w:rsidRPr="00F93FFA" w:rsidRDefault="00510466" w:rsidP="009A4400">
      <w:pPr>
        <w:keepNext/>
        <w:widowControl w:val="0"/>
        <w:ind w:left="567" w:hanging="567"/>
        <w:rPr>
          <w:b/>
          <w:color w:val="000000"/>
          <w:sz w:val="22"/>
          <w:szCs w:val="22"/>
        </w:rPr>
      </w:pPr>
      <w:r w:rsidRPr="00F93FFA">
        <w:rPr>
          <w:b/>
          <w:color w:val="000000"/>
          <w:sz w:val="22"/>
          <w:szCs w:val="22"/>
          <w:lang w:bidi="lt-LT"/>
        </w:rPr>
        <w:t>Registruotojas</w:t>
      </w:r>
    </w:p>
    <w:p w14:paraId="670DB468" w14:textId="77777777" w:rsidR="003646A0" w:rsidRPr="00F93FFA" w:rsidRDefault="003646A0" w:rsidP="009A4400">
      <w:pPr>
        <w:pStyle w:val="EndnoteText"/>
        <w:keepNext/>
        <w:widowControl w:val="0"/>
        <w:tabs>
          <w:tab w:val="clear" w:pos="567"/>
        </w:tabs>
        <w:rPr>
          <w:color w:val="000000"/>
          <w:szCs w:val="22"/>
          <w:lang w:val="lt-LT"/>
        </w:rPr>
      </w:pPr>
      <w:r w:rsidRPr="00F93FFA">
        <w:rPr>
          <w:color w:val="000000"/>
          <w:szCs w:val="22"/>
          <w:lang w:val="lt-LT"/>
        </w:rPr>
        <w:t>Novartis Europharm Limited</w:t>
      </w:r>
    </w:p>
    <w:p w14:paraId="13CEF33E" w14:textId="77777777" w:rsidR="008D67C4" w:rsidRPr="00F93FFA" w:rsidRDefault="008D67C4" w:rsidP="009A4400">
      <w:pPr>
        <w:keepNext/>
        <w:widowControl w:val="0"/>
        <w:rPr>
          <w:color w:val="000000"/>
          <w:sz w:val="22"/>
          <w:szCs w:val="22"/>
        </w:rPr>
      </w:pPr>
      <w:r w:rsidRPr="00F93FFA">
        <w:rPr>
          <w:color w:val="000000"/>
          <w:sz w:val="22"/>
          <w:szCs w:val="22"/>
        </w:rPr>
        <w:t>Vista Building</w:t>
      </w:r>
    </w:p>
    <w:p w14:paraId="055655DD" w14:textId="77777777" w:rsidR="008D67C4" w:rsidRPr="00F93FFA" w:rsidRDefault="008D67C4" w:rsidP="009A4400">
      <w:pPr>
        <w:keepNext/>
        <w:widowControl w:val="0"/>
        <w:rPr>
          <w:color w:val="000000"/>
          <w:sz w:val="22"/>
          <w:szCs w:val="22"/>
        </w:rPr>
      </w:pPr>
      <w:r w:rsidRPr="00F93FFA">
        <w:rPr>
          <w:color w:val="000000"/>
          <w:sz w:val="22"/>
          <w:szCs w:val="22"/>
        </w:rPr>
        <w:t>Elm Park, Merrion Road</w:t>
      </w:r>
    </w:p>
    <w:p w14:paraId="5C28A592" w14:textId="77777777" w:rsidR="008D67C4" w:rsidRPr="00F93FFA" w:rsidRDefault="008D67C4" w:rsidP="009A4400">
      <w:pPr>
        <w:keepNext/>
        <w:widowControl w:val="0"/>
        <w:rPr>
          <w:color w:val="000000"/>
          <w:sz w:val="22"/>
          <w:szCs w:val="22"/>
        </w:rPr>
      </w:pPr>
      <w:r w:rsidRPr="00F93FFA">
        <w:rPr>
          <w:color w:val="000000"/>
          <w:sz w:val="22"/>
          <w:szCs w:val="22"/>
        </w:rPr>
        <w:t>Dublin 4</w:t>
      </w:r>
    </w:p>
    <w:p w14:paraId="1E64CB47" w14:textId="77777777" w:rsidR="003646A0" w:rsidRPr="00F93FFA" w:rsidRDefault="008D67C4" w:rsidP="00DE16D0">
      <w:pPr>
        <w:widowControl w:val="0"/>
        <w:ind w:left="567" w:hanging="567"/>
        <w:rPr>
          <w:color w:val="000000"/>
          <w:sz w:val="22"/>
          <w:szCs w:val="22"/>
        </w:rPr>
      </w:pPr>
      <w:r w:rsidRPr="00F93FFA">
        <w:rPr>
          <w:color w:val="000000"/>
          <w:sz w:val="22"/>
          <w:szCs w:val="22"/>
        </w:rPr>
        <w:t>Airija</w:t>
      </w:r>
    </w:p>
    <w:p w14:paraId="1BD7123A" w14:textId="77777777" w:rsidR="003646A0" w:rsidRPr="00F93FFA" w:rsidRDefault="003646A0" w:rsidP="00DE16D0">
      <w:pPr>
        <w:widowControl w:val="0"/>
        <w:ind w:left="567" w:hanging="567"/>
        <w:rPr>
          <w:sz w:val="22"/>
          <w:szCs w:val="22"/>
        </w:rPr>
      </w:pPr>
    </w:p>
    <w:p w14:paraId="24E2EDB9" w14:textId="77777777" w:rsidR="003646A0" w:rsidRPr="00F93FFA" w:rsidRDefault="003646A0" w:rsidP="009A4400">
      <w:pPr>
        <w:keepNext/>
        <w:widowControl w:val="0"/>
        <w:ind w:left="567" w:hanging="567"/>
        <w:rPr>
          <w:b/>
          <w:sz w:val="22"/>
          <w:szCs w:val="22"/>
        </w:rPr>
      </w:pPr>
      <w:r w:rsidRPr="00F93FFA">
        <w:rPr>
          <w:b/>
          <w:sz w:val="22"/>
          <w:szCs w:val="22"/>
        </w:rPr>
        <w:t>Gamintojas</w:t>
      </w:r>
    </w:p>
    <w:p w14:paraId="30C6A3F4" w14:textId="77777777" w:rsidR="00776292" w:rsidRPr="00F53012" w:rsidRDefault="00776292" w:rsidP="009A4400">
      <w:pPr>
        <w:keepNext/>
        <w:widowControl w:val="0"/>
        <w:tabs>
          <w:tab w:val="left" w:pos="7513"/>
        </w:tabs>
        <w:rPr>
          <w:sz w:val="22"/>
          <w:szCs w:val="22"/>
        </w:rPr>
      </w:pPr>
      <w:r w:rsidRPr="00F53012">
        <w:rPr>
          <w:sz w:val="22"/>
          <w:szCs w:val="22"/>
        </w:rPr>
        <w:t>Lek d.d, PE PROIZVODNJA LENDAVA</w:t>
      </w:r>
    </w:p>
    <w:p w14:paraId="4F8CA7FF" w14:textId="77777777" w:rsidR="00776292" w:rsidRPr="00F53012" w:rsidRDefault="00776292" w:rsidP="009A4400">
      <w:pPr>
        <w:keepNext/>
        <w:widowControl w:val="0"/>
        <w:tabs>
          <w:tab w:val="left" w:pos="7513"/>
        </w:tabs>
        <w:rPr>
          <w:sz w:val="22"/>
          <w:szCs w:val="22"/>
        </w:rPr>
      </w:pPr>
      <w:r w:rsidRPr="00F53012">
        <w:rPr>
          <w:sz w:val="22"/>
          <w:szCs w:val="22"/>
        </w:rPr>
        <w:t>Trimlini 2D</w:t>
      </w:r>
    </w:p>
    <w:p w14:paraId="6215D21A" w14:textId="77777777" w:rsidR="00776292" w:rsidRPr="00F53012" w:rsidRDefault="00776292" w:rsidP="009A4400">
      <w:pPr>
        <w:keepNext/>
        <w:widowControl w:val="0"/>
        <w:tabs>
          <w:tab w:val="left" w:pos="7513"/>
        </w:tabs>
        <w:rPr>
          <w:sz w:val="22"/>
          <w:szCs w:val="22"/>
        </w:rPr>
      </w:pPr>
      <w:r w:rsidRPr="00F53012">
        <w:rPr>
          <w:sz w:val="22"/>
          <w:szCs w:val="22"/>
        </w:rPr>
        <w:t>Lendava, 9220</w:t>
      </w:r>
    </w:p>
    <w:p w14:paraId="7A2A21EF" w14:textId="6B567757" w:rsidR="00776292" w:rsidRPr="00F53012" w:rsidRDefault="00776292" w:rsidP="00DE16D0">
      <w:pPr>
        <w:widowControl w:val="0"/>
        <w:tabs>
          <w:tab w:val="left" w:pos="7513"/>
        </w:tabs>
        <w:rPr>
          <w:sz w:val="22"/>
          <w:szCs w:val="22"/>
        </w:rPr>
      </w:pPr>
      <w:r w:rsidRPr="00F53012">
        <w:rPr>
          <w:sz w:val="22"/>
          <w:szCs w:val="22"/>
        </w:rPr>
        <w:t>Slov</w:t>
      </w:r>
      <w:r w:rsidR="00EE5D6B" w:rsidRPr="00F53012">
        <w:rPr>
          <w:sz w:val="22"/>
          <w:szCs w:val="22"/>
        </w:rPr>
        <w:t>ė</w:t>
      </w:r>
      <w:r w:rsidRPr="00F53012">
        <w:rPr>
          <w:sz w:val="22"/>
          <w:szCs w:val="22"/>
        </w:rPr>
        <w:t>ni</w:t>
      </w:r>
      <w:r w:rsidR="00EE5D6B" w:rsidRPr="00F53012">
        <w:rPr>
          <w:sz w:val="22"/>
          <w:szCs w:val="22"/>
        </w:rPr>
        <w:t>j</w:t>
      </w:r>
      <w:r w:rsidRPr="00F53012">
        <w:rPr>
          <w:sz w:val="22"/>
          <w:szCs w:val="22"/>
        </w:rPr>
        <w:t>a</w:t>
      </w:r>
    </w:p>
    <w:p w14:paraId="3D64BCA5" w14:textId="77777777" w:rsidR="00776292" w:rsidRPr="00F53012" w:rsidRDefault="00776292" w:rsidP="00DE16D0">
      <w:pPr>
        <w:widowControl w:val="0"/>
        <w:tabs>
          <w:tab w:val="left" w:pos="7513"/>
        </w:tabs>
        <w:rPr>
          <w:sz w:val="22"/>
          <w:szCs w:val="22"/>
        </w:rPr>
      </w:pPr>
    </w:p>
    <w:p w14:paraId="5CA5D24B" w14:textId="77777777" w:rsidR="003646A0" w:rsidRPr="00F93FFA" w:rsidRDefault="003646A0" w:rsidP="009A4400">
      <w:pPr>
        <w:keepNext/>
        <w:widowControl w:val="0"/>
        <w:rPr>
          <w:snapToGrid w:val="0"/>
          <w:sz w:val="22"/>
          <w:szCs w:val="22"/>
          <w:shd w:val="pct15" w:color="auto" w:fill="auto"/>
        </w:rPr>
      </w:pPr>
      <w:r w:rsidRPr="00F93FFA">
        <w:rPr>
          <w:snapToGrid w:val="0"/>
          <w:sz w:val="22"/>
          <w:szCs w:val="22"/>
          <w:shd w:val="pct15" w:color="auto" w:fill="auto"/>
        </w:rPr>
        <w:t>Novartis Pharma GmbH</w:t>
      </w:r>
    </w:p>
    <w:p w14:paraId="6081649B" w14:textId="77777777" w:rsidR="003646A0" w:rsidRPr="00F93FFA" w:rsidRDefault="003646A0" w:rsidP="009A4400">
      <w:pPr>
        <w:keepNext/>
        <w:widowControl w:val="0"/>
        <w:ind w:left="709" w:hanging="709"/>
        <w:rPr>
          <w:snapToGrid w:val="0"/>
          <w:sz w:val="22"/>
          <w:szCs w:val="22"/>
          <w:shd w:val="pct15" w:color="auto" w:fill="auto"/>
        </w:rPr>
      </w:pPr>
      <w:r w:rsidRPr="00F93FFA">
        <w:rPr>
          <w:snapToGrid w:val="0"/>
          <w:sz w:val="22"/>
          <w:szCs w:val="22"/>
          <w:shd w:val="pct15" w:color="auto" w:fill="auto"/>
        </w:rPr>
        <w:t>Roonstrasse 25</w:t>
      </w:r>
    </w:p>
    <w:p w14:paraId="5EFD7496" w14:textId="77777777" w:rsidR="003646A0" w:rsidRPr="00F93FFA" w:rsidRDefault="003646A0" w:rsidP="009A4400">
      <w:pPr>
        <w:keepNext/>
        <w:widowControl w:val="0"/>
        <w:ind w:left="709" w:hanging="709"/>
        <w:rPr>
          <w:snapToGrid w:val="0"/>
          <w:sz w:val="22"/>
          <w:szCs w:val="22"/>
          <w:shd w:val="pct15" w:color="auto" w:fill="auto"/>
        </w:rPr>
      </w:pPr>
      <w:r w:rsidRPr="00F93FFA">
        <w:rPr>
          <w:snapToGrid w:val="0"/>
          <w:sz w:val="22"/>
          <w:szCs w:val="22"/>
          <w:shd w:val="pct15" w:color="auto" w:fill="auto"/>
        </w:rPr>
        <w:t>D-90429 Nuremberg</w:t>
      </w:r>
    </w:p>
    <w:p w14:paraId="3C6E7602" w14:textId="77777777" w:rsidR="003646A0" w:rsidRPr="00F93FFA" w:rsidRDefault="003646A0" w:rsidP="00DE16D0">
      <w:pPr>
        <w:widowControl w:val="0"/>
        <w:ind w:left="567" w:hanging="567"/>
        <w:rPr>
          <w:snapToGrid w:val="0"/>
          <w:sz w:val="22"/>
          <w:szCs w:val="22"/>
          <w:shd w:val="pct15" w:color="auto" w:fill="auto"/>
        </w:rPr>
      </w:pPr>
      <w:r w:rsidRPr="00F93FFA">
        <w:rPr>
          <w:snapToGrid w:val="0"/>
          <w:sz w:val="22"/>
          <w:szCs w:val="22"/>
          <w:shd w:val="pct15" w:color="auto" w:fill="auto"/>
        </w:rPr>
        <w:t>Vokietija</w:t>
      </w:r>
    </w:p>
    <w:p w14:paraId="74B20A8F" w14:textId="77777777" w:rsidR="003646A0" w:rsidRPr="00F93FFA" w:rsidRDefault="003646A0" w:rsidP="00DE16D0">
      <w:pPr>
        <w:widowControl w:val="0"/>
        <w:ind w:left="567" w:hanging="567"/>
        <w:rPr>
          <w:sz w:val="22"/>
          <w:szCs w:val="22"/>
        </w:rPr>
      </w:pPr>
    </w:p>
    <w:p w14:paraId="6D4BF600" w14:textId="77777777" w:rsidR="003646A0" w:rsidRPr="00F93FFA" w:rsidRDefault="003646A0" w:rsidP="009A4400">
      <w:pPr>
        <w:keepNext/>
        <w:widowControl w:val="0"/>
        <w:rPr>
          <w:noProof/>
          <w:sz w:val="22"/>
          <w:szCs w:val="22"/>
        </w:rPr>
      </w:pPr>
      <w:r w:rsidRPr="00F93FFA">
        <w:rPr>
          <w:noProof/>
          <w:sz w:val="22"/>
          <w:szCs w:val="22"/>
        </w:rPr>
        <w:t xml:space="preserve">Jeigu apie šį vaistą norite sužinoti daugiau, kreipkitės į vietinį </w:t>
      </w:r>
      <w:r w:rsidR="00510466" w:rsidRPr="00F93FFA">
        <w:rPr>
          <w:noProof/>
          <w:sz w:val="22"/>
          <w:szCs w:val="22"/>
          <w:lang w:bidi="lt-LT"/>
        </w:rPr>
        <w:t>registruotojo</w:t>
      </w:r>
      <w:r w:rsidRPr="00F93FFA">
        <w:rPr>
          <w:noProof/>
          <w:sz w:val="22"/>
          <w:szCs w:val="22"/>
        </w:rPr>
        <w:t xml:space="preserve"> atstovą.</w:t>
      </w:r>
    </w:p>
    <w:p w14:paraId="16294721" w14:textId="77777777" w:rsidR="003646A0" w:rsidRPr="00F93FFA" w:rsidRDefault="003646A0" w:rsidP="009A4400">
      <w:pPr>
        <w:keepNext/>
        <w:widowControl w:val="0"/>
        <w:ind w:right="-449"/>
        <w:rPr>
          <w:sz w:val="22"/>
          <w:szCs w:val="22"/>
        </w:rPr>
      </w:pPr>
    </w:p>
    <w:tbl>
      <w:tblPr>
        <w:tblW w:w="9300" w:type="dxa"/>
        <w:tblLayout w:type="fixed"/>
        <w:tblLook w:val="0000" w:firstRow="0" w:lastRow="0" w:firstColumn="0" w:lastColumn="0" w:noHBand="0" w:noVBand="0"/>
      </w:tblPr>
      <w:tblGrid>
        <w:gridCol w:w="4650"/>
        <w:gridCol w:w="4650"/>
      </w:tblGrid>
      <w:tr w:rsidR="003646A0" w:rsidRPr="00F93FFA" w14:paraId="4B671770" w14:textId="77777777" w:rsidTr="008D67C4">
        <w:trPr>
          <w:cantSplit/>
        </w:trPr>
        <w:tc>
          <w:tcPr>
            <w:tcW w:w="4650" w:type="dxa"/>
          </w:tcPr>
          <w:p w14:paraId="489A6A78"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België/Belgique/Belgien</w:t>
            </w:r>
          </w:p>
          <w:p w14:paraId="66F3613F"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N.V.</w:t>
            </w:r>
          </w:p>
          <w:p w14:paraId="21E69E0E" w14:textId="77777777" w:rsidR="003646A0" w:rsidRPr="00F93FFA" w:rsidRDefault="003646A0" w:rsidP="00DE16D0">
            <w:pPr>
              <w:widowControl w:val="0"/>
              <w:rPr>
                <w:color w:val="000000"/>
                <w:sz w:val="22"/>
                <w:szCs w:val="22"/>
              </w:rPr>
            </w:pPr>
            <w:r w:rsidRPr="00F93FFA">
              <w:rPr>
                <w:color w:val="000000"/>
                <w:sz w:val="22"/>
                <w:szCs w:val="22"/>
              </w:rPr>
              <w:t>Tél/Tel: +32 2 246 16 11</w:t>
            </w:r>
          </w:p>
          <w:p w14:paraId="274A55B4" w14:textId="77777777" w:rsidR="003646A0" w:rsidRPr="00F93FFA" w:rsidRDefault="003646A0" w:rsidP="00DE16D0">
            <w:pPr>
              <w:widowControl w:val="0"/>
              <w:rPr>
                <w:b/>
                <w:color w:val="000000"/>
                <w:sz w:val="22"/>
                <w:szCs w:val="22"/>
              </w:rPr>
            </w:pPr>
          </w:p>
        </w:tc>
        <w:tc>
          <w:tcPr>
            <w:tcW w:w="4650" w:type="dxa"/>
          </w:tcPr>
          <w:p w14:paraId="69C6B354" w14:textId="77777777" w:rsidR="003646A0" w:rsidRPr="00F93FFA" w:rsidRDefault="003646A0" w:rsidP="00DE16D0">
            <w:pPr>
              <w:widowControl w:val="0"/>
              <w:rPr>
                <w:b/>
                <w:color w:val="000000"/>
                <w:sz w:val="22"/>
                <w:szCs w:val="22"/>
                <w:lang w:val="es-ES"/>
              </w:rPr>
            </w:pPr>
            <w:r w:rsidRPr="00F93FFA">
              <w:rPr>
                <w:b/>
                <w:color w:val="000000"/>
                <w:sz w:val="22"/>
                <w:szCs w:val="22"/>
                <w:lang w:val="es-ES"/>
              </w:rPr>
              <w:t>Lietuva</w:t>
            </w:r>
          </w:p>
          <w:p w14:paraId="06DA8EA9" w14:textId="7B0F06D4" w:rsidR="003646A0" w:rsidRPr="00F93FFA" w:rsidRDefault="005F3324" w:rsidP="00DE16D0">
            <w:pPr>
              <w:widowControl w:val="0"/>
              <w:rPr>
                <w:color w:val="000000"/>
                <w:sz w:val="22"/>
                <w:szCs w:val="22"/>
                <w:lang w:val="es-ES"/>
              </w:rPr>
            </w:pPr>
            <w:r w:rsidRPr="00F93FFA">
              <w:rPr>
                <w:color w:val="000000"/>
                <w:sz w:val="22"/>
                <w:szCs w:val="22"/>
                <w:lang w:val="es-ES"/>
              </w:rPr>
              <w:t>SIA Novartis Baltics Lietuvos filialas</w:t>
            </w:r>
          </w:p>
          <w:p w14:paraId="099FA784" w14:textId="77777777" w:rsidR="003646A0" w:rsidRPr="00F93FFA" w:rsidRDefault="003646A0" w:rsidP="00DE16D0">
            <w:pPr>
              <w:widowControl w:val="0"/>
              <w:rPr>
                <w:color w:val="000000"/>
                <w:sz w:val="22"/>
                <w:szCs w:val="22"/>
              </w:rPr>
            </w:pPr>
            <w:r w:rsidRPr="00F93FFA">
              <w:rPr>
                <w:color w:val="000000"/>
                <w:sz w:val="22"/>
                <w:szCs w:val="22"/>
              </w:rPr>
              <w:t>Tel: +370 5 269 16 50</w:t>
            </w:r>
          </w:p>
          <w:p w14:paraId="4CEA1652" w14:textId="77777777" w:rsidR="003646A0" w:rsidRPr="00F93FFA" w:rsidRDefault="003646A0" w:rsidP="00DE16D0">
            <w:pPr>
              <w:widowControl w:val="0"/>
              <w:rPr>
                <w:color w:val="000000"/>
                <w:sz w:val="22"/>
                <w:szCs w:val="22"/>
                <w:lang w:val="es-ES"/>
              </w:rPr>
            </w:pPr>
          </w:p>
        </w:tc>
      </w:tr>
      <w:tr w:rsidR="003646A0" w:rsidRPr="00F93FFA" w14:paraId="3257B7A2" w14:textId="77777777" w:rsidTr="008D67C4">
        <w:trPr>
          <w:cantSplit/>
        </w:trPr>
        <w:tc>
          <w:tcPr>
            <w:tcW w:w="4650" w:type="dxa"/>
          </w:tcPr>
          <w:p w14:paraId="4CFB00BF" w14:textId="77777777" w:rsidR="003646A0" w:rsidRPr="00F93FFA" w:rsidRDefault="003646A0" w:rsidP="00DE16D0">
            <w:pPr>
              <w:widowControl w:val="0"/>
              <w:rPr>
                <w:b/>
                <w:noProof/>
                <w:color w:val="000000"/>
                <w:sz w:val="22"/>
                <w:szCs w:val="22"/>
                <w:lang w:val="es-ES"/>
              </w:rPr>
            </w:pPr>
            <w:r w:rsidRPr="00F93FFA">
              <w:rPr>
                <w:b/>
                <w:noProof/>
                <w:color w:val="000000"/>
                <w:sz w:val="22"/>
                <w:szCs w:val="22"/>
              </w:rPr>
              <w:t>България</w:t>
            </w:r>
          </w:p>
          <w:p w14:paraId="54589027" w14:textId="77777777" w:rsidR="003646A0" w:rsidRPr="00F93FFA" w:rsidRDefault="006703D1" w:rsidP="00DE16D0">
            <w:pPr>
              <w:widowControl w:val="0"/>
              <w:rPr>
                <w:noProof/>
                <w:color w:val="000000"/>
                <w:sz w:val="22"/>
                <w:szCs w:val="22"/>
                <w:lang w:val="es-ES"/>
              </w:rPr>
            </w:pPr>
            <w:r w:rsidRPr="00F93FFA">
              <w:rPr>
                <w:noProof/>
                <w:color w:val="000000"/>
                <w:sz w:val="22"/>
                <w:szCs w:val="22"/>
                <w:lang w:val="es-ES"/>
              </w:rPr>
              <w:t>Novartis Bulgaria EOOD</w:t>
            </w:r>
          </w:p>
          <w:p w14:paraId="649F102B" w14:textId="77777777" w:rsidR="003646A0" w:rsidRPr="00F93FFA" w:rsidRDefault="003646A0" w:rsidP="00DE16D0">
            <w:pPr>
              <w:widowControl w:val="0"/>
              <w:rPr>
                <w:noProof/>
                <w:color w:val="000000"/>
                <w:sz w:val="22"/>
                <w:szCs w:val="22"/>
              </w:rPr>
            </w:pPr>
            <w:r w:rsidRPr="00F93FFA">
              <w:rPr>
                <w:noProof/>
                <w:color w:val="000000"/>
                <w:sz w:val="22"/>
                <w:szCs w:val="22"/>
              </w:rPr>
              <w:t>Тел.: +359 2 489 98 28</w:t>
            </w:r>
          </w:p>
          <w:p w14:paraId="453C1FF5" w14:textId="77777777" w:rsidR="003646A0" w:rsidRPr="00F93FFA" w:rsidRDefault="003646A0" w:rsidP="00DE16D0">
            <w:pPr>
              <w:widowControl w:val="0"/>
              <w:rPr>
                <w:b/>
                <w:color w:val="000000"/>
                <w:sz w:val="22"/>
                <w:szCs w:val="22"/>
                <w:lang w:val="pt-BR"/>
              </w:rPr>
            </w:pPr>
          </w:p>
        </w:tc>
        <w:tc>
          <w:tcPr>
            <w:tcW w:w="4650" w:type="dxa"/>
          </w:tcPr>
          <w:p w14:paraId="2EA2C7C8"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Luxembourg/Luxemburg</w:t>
            </w:r>
          </w:p>
          <w:p w14:paraId="35D70BF7"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N.V.</w:t>
            </w:r>
          </w:p>
          <w:p w14:paraId="15F2C113" w14:textId="77777777" w:rsidR="003646A0" w:rsidRPr="00F93FFA" w:rsidRDefault="003646A0" w:rsidP="00DE16D0">
            <w:pPr>
              <w:widowControl w:val="0"/>
              <w:rPr>
                <w:color w:val="000000"/>
                <w:sz w:val="22"/>
                <w:szCs w:val="22"/>
                <w:lang w:val="de-CH"/>
              </w:rPr>
            </w:pPr>
            <w:r w:rsidRPr="00F93FFA">
              <w:rPr>
                <w:color w:val="000000"/>
                <w:sz w:val="22"/>
                <w:szCs w:val="22"/>
                <w:lang w:val="de-CH"/>
              </w:rPr>
              <w:t>Tél/Tel: +32 2 246 16 11</w:t>
            </w:r>
          </w:p>
          <w:p w14:paraId="1CE5AE2D" w14:textId="77777777" w:rsidR="003646A0" w:rsidRPr="00F93FFA" w:rsidRDefault="003646A0" w:rsidP="00DE16D0">
            <w:pPr>
              <w:widowControl w:val="0"/>
              <w:rPr>
                <w:color w:val="000000"/>
                <w:sz w:val="22"/>
                <w:szCs w:val="22"/>
                <w:lang w:val="de-CH"/>
              </w:rPr>
            </w:pPr>
          </w:p>
        </w:tc>
      </w:tr>
      <w:tr w:rsidR="003646A0" w:rsidRPr="00F93FFA" w14:paraId="06B1BF78" w14:textId="77777777" w:rsidTr="008D67C4">
        <w:trPr>
          <w:cantSplit/>
        </w:trPr>
        <w:tc>
          <w:tcPr>
            <w:tcW w:w="4650" w:type="dxa"/>
          </w:tcPr>
          <w:p w14:paraId="6A2CA009"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Česká republika</w:t>
            </w:r>
          </w:p>
          <w:p w14:paraId="4D045F79"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s.r.o.</w:t>
            </w:r>
          </w:p>
          <w:p w14:paraId="3BCF7581" w14:textId="77777777" w:rsidR="003646A0" w:rsidRPr="00F93FFA" w:rsidRDefault="003646A0" w:rsidP="00DE16D0">
            <w:pPr>
              <w:widowControl w:val="0"/>
              <w:rPr>
                <w:color w:val="000000"/>
                <w:sz w:val="22"/>
                <w:szCs w:val="22"/>
              </w:rPr>
            </w:pPr>
            <w:r w:rsidRPr="00F93FFA">
              <w:rPr>
                <w:color w:val="000000"/>
                <w:sz w:val="22"/>
                <w:szCs w:val="22"/>
              </w:rPr>
              <w:t>Tel: +420 225 775 111</w:t>
            </w:r>
          </w:p>
          <w:p w14:paraId="20DBB9D2" w14:textId="77777777" w:rsidR="003646A0" w:rsidRPr="00F93FFA" w:rsidRDefault="003646A0" w:rsidP="00DE16D0">
            <w:pPr>
              <w:widowControl w:val="0"/>
              <w:rPr>
                <w:b/>
                <w:color w:val="000000"/>
                <w:sz w:val="22"/>
                <w:szCs w:val="22"/>
              </w:rPr>
            </w:pPr>
          </w:p>
        </w:tc>
        <w:tc>
          <w:tcPr>
            <w:tcW w:w="4650" w:type="dxa"/>
          </w:tcPr>
          <w:p w14:paraId="28746C9B" w14:textId="77777777" w:rsidR="003646A0" w:rsidRPr="00F53012" w:rsidRDefault="003646A0" w:rsidP="00DE16D0">
            <w:pPr>
              <w:widowControl w:val="0"/>
              <w:rPr>
                <w:b/>
                <w:color w:val="000000"/>
                <w:sz w:val="22"/>
                <w:szCs w:val="22"/>
              </w:rPr>
            </w:pPr>
            <w:r w:rsidRPr="00F53012">
              <w:rPr>
                <w:b/>
                <w:color w:val="000000"/>
                <w:sz w:val="22"/>
                <w:szCs w:val="22"/>
              </w:rPr>
              <w:t>Magyarország</w:t>
            </w:r>
          </w:p>
          <w:p w14:paraId="15773C72" w14:textId="77777777" w:rsidR="003646A0" w:rsidRPr="00F53012" w:rsidRDefault="003646A0" w:rsidP="00DE16D0">
            <w:pPr>
              <w:widowControl w:val="0"/>
              <w:rPr>
                <w:color w:val="000000"/>
                <w:sz w:val="22"/>
                <w:szCs w:val="22"/>
              </w:rPr>
            </w:pPr>
            <w:r w:rsidRPr="00F53012">
              <w:rPr>
                <w:color w:val="000000"/>
                <w:sz w:val="22"/>
                <w:szCs w:val="22"/>
              </w:rPr>
              <w:t>Novartis Hungária Kft.</w:t>
            </w:r>
          </w:p>
          <w:p w14:paraId="1A56957E" w14:textId="77777777" w:rsidR="003646A0" w:rsidRPr="00F53012" w:rsidRDefault="003646A0" w:rsidP="00DE16D0">
            <w:pPr>
              <w:widowControl w:val="0"/>
              <w:rPr>
                <w:color w:val="000000"/>
                <w:sz w:val="22"/>
                <w:szCs w:val="22"/>
              </w:rPr>
            </w:pPr>
            <w:r w:rsidRPr="00F53012">
              <w:rPr>
                <w:color w:val="000000"/>
                <w:sz w:val="22"/>
                <w:szCs w:val="22"/>
              </w:rPr>
              <w:t>Tel.: +36 1 457 65 00</w:t>
            </w:r>
          </w:p>
        </w:tc>
      </w:tr>
      <w:tr w:rsidR="003646A0" w:rsidRPr="00F93FFA" w14:paraId="20BA52DF" w14:textId="77777777" w:rsidTr="008D67C4">
        <w:trPr>
          <w:cantSplit/>
        </w:trPr>
        <w:tc>
          <w:tcPr>
            <w:tcW w:w="4650" w:type="dxa"/>
          </w:tcPr>
          <w:p w14:paraId="6C0B1703" w14:textId="77777777" w:rsidR="003646A0" w:rsidRPr="00F93FFA" w:rsidRDefault="003646A0" w:rsidP="00DE16D0">
            <w:pPr>
              <w:widowControl w:val="0"/>
              <w:rPr>
                <w:b/>
                <w:color w:val="000000"/>
                <w:sz w:val="22"/>
                <w:szCs w:val="22"/>
                <w:lang w:val="en-US"/>
              </w:rPr>
            </w:pPr>
            <w:r w:rsidRPr="00F93FFA">
              <w:rPr>
                <w:b/>
                <w:color w:val="000000"/>
                <w:sz w:val="22"/>
                <w:szCs w:val="22"/>
                <w:lang w:val="en-US"/>
              </w:rPr>
              <w:lastRenderedPageBreak/>
              <w:t>Danmark</w:t>
            </w:r>
          </w:p>
          <w:p w14:paraId="007EC5AE" w14:textId="77777777" w:rsidR="003646A0" w:rsidRPr="00F93FFA" w:rsidRDefault="003646A0" w:rsidP="00DE16D0">
            <w:pPr>
              <w:widowControl w:val="0"/>
              <w:rPr>
                <w:color w:val="000000"/>
                <w:sz w:val="22"/>
                <w:szCs w:val="22"/>
                <w:lang w:val="en-US"/>
              </w:rPr>
            </w:pPr>
            <w:r w:rsidRPr="00F93FFA">
              <w:rPr>
                <w:color w:val="000000"/>
                <w:sz w:val="22"/>
                <w:szCs w:val="22"/>
                <w:lang w:val="en-US"/>
              </w:rPr>
              <w:t>Novartis Healthcare A/S</w:t>
            </w:r>
          </w:p>
          <w:p w14:paraId="1A7253CB" w14:textId="77777777" w:rsidR="003646A0" w:rsidRPr="00F93FFA" w:rsidRDefault="003646A0" w:rsidP="00DE16D0">
            <w:pPr>
              <w:widowControl w:val="0"/>
              <w:rPr>
                <w:color w:val="000000"/>
                <w:sz w:val="22"/>
                <w:szCs w:val="22"/>
                <w:lang w:val="en-US"/>
              </w:rPr>
            </w:pPr>
            <w:r w:rsidRPr="00F93FFA">
              <w:rPr>
                <w:color w:val="000000"/>
                <w:sz w:val="22"/>
                <w:szCs w:val="22"/>
                <w:lang w:val="en-US"/>
              </w:rPr>
              <w:t>Tlf: +45 39 16 84 00</w:t>
            </w:r>
          </w:p>
          <w:p w14:paraId="2F055356" w14:textId="77777777" w:rsidR="003646A0" w:rsidRPr="00F93FFA" w:rsidRDefault="003646A0" w:rsidP="00DE16D0">
            <w:pPr>
              <w:widowControl w:val="0"/>
              <w:rPr>
                <w:b/>
                <w:color w:val="000000"/>
                <w:sz w:val="22"/>
                <w:szCs w:val="22"/>
                <w:lang w:val="en-US"/>
              </w:rPr>
            </w:pPr>
          </w:p>
        </w:tc>
        <w:tc>
          <w:tcPr>
            <w:tcW w:w="4650" w:type="dxa"/>
          </w:tcPr>
          <w:p w14:paraId="7A5ADF3F"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Malta</w:t>
            </w:r>
          </w:p>
          <w:p w14:paraId="0B3363A5"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Pharma Services Inc.</w:t>
            </w:r>
          </w:p>
          <w:p w14:paraId="4D827474" w14:textId="77777777" w:rsidR="003646A0" w:rsidRPr="00F93FFA" w:rsidRDefault="003646A0" w:rsidP="00DE16D0">
            <w:pPr>
              <w:widowControl w:val="0"/>
              <w:rPr>
                <w:color w:val="000000"/>
                <w:sz w:val="22"/>
                <w:szCs w:val="22"/>
              </w:rPr>
            </w:pPr>
            <w:r w:rsidRPr="00F93FFA">
              <w:rPr>
                <w:color w:val="000000"/>
                <w:sz w:val="22"/>
                <w:szCs w:val="22"/>
              </w:rPr>
              <w:t>Tel: +356 2122 2872</w:t>
            </w:r>
          </w:p>
        </w:tc>
      </w:tr>
      <w:tr w:rsidR="003646A0" w:rsidRPr="00F93FFA" w14:paraId="5FFEE9A7" w14:textId="77777777" w:rsidTr="008D67C4">
        <w:trPr>
          <w:cantSplit/>
        </w:trPr>
        <w:tc>
          <w:tcPr>
            <w:tcW w:w="4650" w:type="dxa"/>
          </w:tcPr>
          <w:p w14:paraId="2709E87D"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Deutschland</w:t>
            </w:r>
          </w:p>
          <w:p w14:paraId="4228D515"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GmbH</w:t>
            </w:r>
          </w:p>
          <w:p w14:paraId="33836005" w14:textId="77777777" w:rsidR="003646A0" w:rsidRPr="00F93FFA" w:rsidRDefault="003646A0" w:rsidP="00DE16D0">
            <w:pPr>
              <w:widowControl w:val="0"/>
              <w:rPr>
                <w:color w:val="000000"/>
                <w:sz w:val="22"/>
                <w:szCs w:val="22"/>
                <w:lang w:val="de-CH"/>
              </w:rPr>
            </w:pPr>
            <w:r w:rsidRPr="00F93FFA">
              <w:rPr>
                <w:color w:val="000000"/>
                <w:sz w:val="22"/>
                <w:szCs w:val="22"/>
                <w:lang w:val="de-CH"/>
              </w:rPr>
              <w:t>Tel: +49 911 273 0</w:t>
            </w:r>
          </w:p>
          <w:p w14:paraId="52076E0A" w14:textId="77777777" w:rsidR="003646A0" w:rsidRPr="00F93FFA" w:rsidRDefault="003646A0" w:rsidP="00DE16D0">
            <w:pPr>
              <w:widowControl w:val="0"/>
              <w:rPr>
                <w:b/>
                <w:color w:val="000000"/>
                <w:sz w:val="22"/>
                <w:szCs w:val="22"/>
                <w:lang w:val="de-CH"/>
              </w:rPr>
            </w:pPr>
          </w:p>
        </w:tc>
        <w:tc>
          <w:tcPr>
            <w:tcW w:w="4650" w:type="dxa"/>
          </w:tcPr>
          <w:p w14:paraId="021567C1"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Nederland</w:t>
            </w:r>
          </w:p>
          <w:p w14:paraId="0A39FCBB"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B.V.</w:t>
            </w:r>
          </w:p>
          <w:p w14:paraId="6DA14C74" w14:textId="0A85E9EE" w:rsidR="003646A0" w:rsidRPr="00F93FFA" w:rsidRDefault="003646A0" w:rsidP="00DE16D0">
            <w:pPr>
              <w:widowControl w:val="0"/>
              <w:rPr>
                <w:color w:val="000000"/>
                <w:sz w:val="22"/>
                <w:szCs w:val="22"/>
              </w:rPr>
            </w:pPr>
            <w:r w:rsidRPr="00F93FFA">
              <w:rPr>
                <w:color w:val="000000"/>
                <w:sz w:val="22"/>
                <w:szCs w:val="22"/>
              </w:rPr>
              <w:t xml:space="preserve">Tel: +31 </w:t>
            </w:r>
            <w:r w:rsidR="00BF42B1" w:rsidRPr="00BF42B1">
              <w:rPr>
                <w:color w:val="000000"/>
                <w:sz w:val="22"/>
                <w:szCs w:val="22"/>
                <w:lang w:val="de-CH"/>
              </w:rPr>
              <w:t>88 04 52</w:t>
            </w:r>
            <w:r w:rsidRPr="00F93FFA">
              <w:rPr>
                <w:color w:val="000000"/>
                <w:sz w:val="22"/>
                <w:szCs w:val="22"/>
              </w:rPr>
              <w:t xml:space="preserve"> </w:t>
            </w:r>
            <w:r w:rsidR="0023424D" w:rsidRPr="00F93FFA">
              <w:rPr>
                <w:color w:val="000000"/>
                <w:sz w:val="22"/>
                <w:szCs w:val="22"/>
              </w:rPr>
              <w:t>555</w:t>
            </w:r>
          </w:p>
        </w:tc>
      </w:tr>
      <w:tr w:rsidR="003646A0" w:rsidRPr="00F93FFA" w14:paraId="71B6B4FD" w14:textId="77777777" w:rsidTr="008D67C4">
        <w:trPr>
          <w:cantSplit/>
        </w:trPr>
        <w:tc>
          <w:tcPr>
            <w:tcW w:w="4650" w:type="dxa"/>
          </w:tcPr>
          <w:p w14:paraId="51568F66" w14:textId="77777777" w:rsidR="003646A0" w:rsidRPr="00F93FFA" w:rsidRDefault="003646A0" w:rsidP="00DE16D0">
            <w:pPr>
              <w:widowControl w:val="0"/>
              <w:rPr>
                <w:b/>
                <w:color w:val="000000"/>
                <w:sz w:val="22"/>
                <w:szCs w:val="22"/>
                <w:lang w:val="it-IT"/>
              </w:rPr>
            </w:pPr>
            <w:r w:rsidRPr="00F93FFA">
              <w:rPr>
                <w:b/>
                <w:color w:val="000000"/>
                <w:sz w:val="22"/>
                <w:szCs w:val="22"/>
                <w:lang w:val="it-IT"/>
              </w:rPr>
              <w:t>Eesti</w:t>
            </w:r>
          </w:p>
          <w:p w14:paraId="00C80CD5" w14:textId="77777777" w:rsidR="003646A0" w:rsidRPr="00F93FFA" w:rsidRDefault="005F3324" w:rsidP="00DE16D0">
            <w:pPr>
              <w:widowControl w:val="0"/>
              <w:rPr>
                <w:color w:val="000000"/>
                <w:sz w:val="22"/>
                <w:szCs w:val="22"/>
                <w:lang w:val="it-IT"/>
              </w:rPr>
            </w:pPr>
            <w:r w:rsidRPr="00F93FFA">
              <w:rPr>
                <w:color w:val="000000"/>
                <w:sz w:val="22"/>
                <w:szCs w:val="22"/>
                <w:lang w:val="it-IT"/>
              </w:rPr>
              <w:t>SIA Novartis Baltics Eesti filiaal</w:t>
            </w:r>
          </w:p>
          <w:p w14:paraId="15A0F384" w14:textId="77777777" w:rsidR="003646A0" w:rsidRPr="00F93FFA" w:rsidRDefault="003646A0" w:rsidP="00DE16D0">
            <w:pPr>
              <w:widowControl w:val="0"/>
              <w:rPr>
                <w:color w:val="000000"/>
                <w:sz w:val="22"/>
                <w:szCs w:val="22"/>
              </w:rPr>
            </w:pPr>
            <w:r w:rsidRPr="00F93FFA">
              <w:rPr>
                <w:color w:val="000000"/>
                <w:sz w:val="22"/>
                <w:szCs w:val="22"/>
              </w:rPr>
              <w:t>Tel: +372 66 30 810</w:t>
            </w:r>
          </w:p>
          <w:p w14:paraId="5AAAC1E7" w14:textId="77777777" w:rsidR="003646A0" w:rsidRPr="00F93FFA" w:rsidRDefault="003646A0" w:rsidP="00DE16D0">
            <w:pPr>
              <w:widowControl w:val="0"/>
              <w:rPr>
                <w:b/>
                <w:color w:val="000000"/>
                <w:sz w:val="22"/>
                <w:szCs w:val="22"/>
              </w:rPr>
            </w:pPr>
          </w:p>
        </w:tc>
        <w:tc>
          <w:tcPr>
            <w:tcW w:w="4650" w:type="dxa"/>
          </w:tcPr>
          <w:p w14:paraId="63DDB40A"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Norge</w:t>
            </w:r>
          </w:p>
          <w:p w14:paraId="4B50C231"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Norge AS</w:t>
            </w:r>
          </w:p>
          <w:p w14:paraId="7436B47A" w14:textId="77777777" w:rsidR="003646A0" w:rsidRPr="00F93FFA" w:rsidRDefault="003646A0" w:rsidP="00DE16D0">
            <w:pPr>
              <w:widowControl w:val="0"/>
              <w:rPr>
                <w:color w:val="000000"/>
                <w:sz w:val="22"/>
                <w:szCs w:val="22"/>
                <w:lang w:val="pt-BR"/>
              </w:rPr>
            </w:pPr>
            <w:r w:rsidRPr="00F93FFA">
              <w:rPr>
                <w:color w:val="000000"/>
                <w:sz w:val="22"/>
                <w:szCs w:val="22"/>
                <w:lang w:val="pt-BR"/>
              </w:rPr>
              <w:t>Tlf: +47 23 05 20 00</w:t>
            </w:r>
          </w:p>
        </w:tc>
      </w:tr>
      <w:tr w:rsidR="003646A0" w:rsidRPr="00F93FFA" w14:paraId="116C32BF" w14:textId="77777777" w:rsidTr="008D67C4">
        <w:trPr>
          <w:cantSplit/>
        </w:trPr>
        <w:tc>
          <w:tcPr>
            <w:tcW w:w="4650" w:type="dxa"/>
          </w:tcPr>
          <w:p w14:paraId="094A33BE" w14:textId="77777777" w:rsidR="003646A0" w:rsidRPr="00F93FFA" w:rsidRDefault="003646A0" w:rsidP="00DE16D0">
            <w:pPr>
              <w:widowControl w:val="0"/>
              <w:rPr>
                <w:b/>
                <w:color w:val="000000"/>
                <w:sz w:val="22"/>
                <w:szCs w:val="22"/>
                <w:lang w:val="pt-BR"/>
              </w:rPr>
            </w:pPr>
            <w:r w:rsidRPr="00F93FFA">
              <w:rPr>
                <w:b/>
                <w:color w:val="000000"/>
                <w:sz w:val="22"/>
                <w:szCs w:val="22"/>
              </w:rPr>
              <w:t>Ελλάδα</w:t>
            </w:r>
          </w:p>
          <w:p w14:paraId="7EAFADCD"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(Hellas) A.E.B.E.</w:t>
            </w:r>
          </w:p>
          <w:p w14:paraId="34AB9100" w14:textId="77777777" w:rsidR="003646A0" w:rsidRPr="00F93FFA" w:rsidRDefault="003646A0" w:rsidP="00DE16D0">
            <w:pPr>
              <w:widowControl w:val="0"/>
              <w:rPr>
                <w:color w:val="000000"/>
                <w:sz w:val="22"/>
                <w:szCs w:val="22"/>
                <w:lang w:val="pt-BR"/>
              </w:rPr>
            </w:pPr>
            <w:r w:rsidRPr="00F93FFA">
              <w:rPr>
                <w:color w:val="000000"/>
                <w:sz w:val="22"/>
                <w:szCs w:val="22"/>
              </w:rPr>
              <w:t>Τηλ</w:t>
            </w:r>
            <w:r w:rsidRPr="00F93FFA">
              <w:rPr>
                <w:color w:val="000000"/>
                <w:sz w:val="22"/>
                <w:szCs w:val="22"/>
                <w:lang w:val="pt-BR"/>
              </w:rPr>
              <w:t>: +30 210 281 17 12</w:t>
            </w:r>
          </w:p>
          <w:p w14:paraId="34E68CD6" w14:textId="77777777" w:rsidR="003646A0" w:rsidRPr="00F93FFA" w:rsidRDefault="003646A0" w:rsidP="00DE16D0">
            <w:pPr>
              <w:widowControl w:val="0"/>
              <w:rPr>
                <w:b/>
                <w:color w:val="000000"/>
                <w:sz w:val="22"/>
                <w:szCs w:val="22"/>
                <w:lang w:val="pt-BR"/>
              </w:rPr>
            </w:pPr>
          </w:p>
        </w:tc>
        <w:tc>
          <w:tcPr>
            <w:tcW w:w="4650" w:type="dxa"/>
          </w:tcPr>
          <w:p w14:paraId="0BB5AD6F"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Österreich</w:t>
            </w:r>
          </w:p>
          <w:p w14:paraId="53CB3DEF"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Pharma GmbH</w:t>
            </w:r>
          </w:p>
          <w:p w14:paraId="3713E606" w14:textId="77777777" w:rsidR="003646A0" w:rsidRPr="00F93FFA" w:rsidRDefault="003646A0" w:rsidP="00DE16D0">
            <w:pPr>
              <w:widowControl w:val="0"/>
              <w:rPr>
                <w:color w:val="000000"/>
                <w:sz w:val="22"/>
                <w:szCs w:val="22"/>
                <w:lang w:val="de-CH"/>
              </w:rPr>
            </w:pPr>
            <w:r w:rsidRPr="00F93FFA">
              <w:rPr>
                <w:color w:val="000000"/>
                <w:sz w:val="22"/>
                <w:szCs w:val="22"/>
                <w:lang w:val="de-CH"/>
              </w:rPr>
              <w:t>Tel: +43 1 86 6570</w:t>
            </w:r>
          </w:p>
        </w:tc>
      </w:tr>
      <w:tr w:rsidR="003646A0" w:rsidRPr="00F93FFA" w14:paraId="2AA96970" w14:textId="77777777" w:rsidTr="008D67C4">
        <w:trPr>
          <w:cantSplit/>
        </w:trPr>
        <w:tc>
          <w:tcPr>
            <w:tcW w:w="4650" w:type="dxa"/>
          </w:tcPr>
          <w:p w14:paraId="7EE3968F" w14:textId="77777777" w:rsidR="003646A0" w:rsidRPr="00F53012" w:rsidRDefault="003646A0" w:rsidP="00DE16D0">
            <w:pPr>
              <w:widowControl w:val="0"/>
              <w:rPr>
                <w:b/>
                <w:color w:val="000000"/>
                <w:sz w:val="22"/>
                <w:szCs w:val="22"/>
                <w:lang w:val="es-ES_tradnl"/>
              </w:rPr>
            </w:pPr>
            <w:r w:rsidRPr="00F53012">
              <w:rPr>
                <w:b/>
                <w:color w:val="000000"/>
                <w:sz w:val="22"/>
                <w:szCs w:val="22"/>
                <w:lang w:val="es-ES_tradnl"/>
              </w:rPr>
              <w:t>España</w:t>
            </w:r>
          </w:p>
          <w:p w14:paraId="7C13EF98" w14:textId="77777777" w:rsidR="003646A0" w:rsidRPr="00F53012" w:rsidRDefault="003646A0" w:rsidP="00DE16D0">
            <w:pPr>
              <w:widowControl w:val="0"/>
              <w:rPr>
                <w:color w:val="000000"/>
                <w:sz w:val="22"/>
                <w:szCs w:val="22"/>
                <w:lang w:val="es-ES_tradnl"/>
              </w:rPr>
            </w:pPr>
            <w:r w:rsidRPr="00F53012">
              <w:rPr>
                <w:color w:val="000000"/>
                <w:sz w:val="22"/>
                <w:szCs w:val="22"/>
                <w:lang w:val="es-ES_tradnl"/>
              </w:rPr>
              <w:t>Novartis Farmacéutica, S.A.</w:t>
            </w:r>
          </w:p>
          <w:p w14:paraId="23DB9FF8" w14:textId="77777777" w:rsidR="003646A0" w:rsidRPr="00F93FFA" w:rsidRDefault="003646A0" w:rsidP="00DE16D0">
            <w:pPr>
              <w:widowControl w:val="0"/>
              <w:rPr>
                <w:color w:val="000000"/>
                <w:sz w:val="22"/>
                <w:szCs w:val="22"/>
              </w:rPr>
            </w:pPr>
            <w:r w:rsidRPr="00F93FFA">
              <w:rPr>
                <w:color w:val="000000"/>
                <w:sz w:val="22"/>
                <w:szCs w:val="22"/>
              </w:rPr>
              <w:t>Tel: +34 93 306 42 00</w:t>
            </w:r>
          </w:p>
          <w:p w14:paraId="3B94A969" w14:textId="77777777" w:rsidR="003646A0" w:rsidRPr="00F93FFA" w:rsidRDefault="003646A0" w:rsidP="00DE16D0">
            <w:pPr>
              <w:widowControl w:val="0"/>
              <w:rPr>
                <w:b/>
                <w:color w:val="000000"/>
                <w:sz w:val="22"/>
                <w:szCs w:val="22"/>
              </w:rPr>
            </w:pPr>
          </w:p>
        </w:tc>
        <w:tc>
          <w:tcPr>
            <w:tcW w:w="4650" w:type="dxa"/>
          </w:tcPr>
          <w:p w14:paraId="51340373" w14:textId="77777777" w:rsidR="003646A0" w:rsidRPr="00F53012" w:rsidRDefault="003646A0" w:rsidP="00DE16D0">
            <w:pPr>
              <w:widowControl w:val="0"/>
              <w:rPr>
                <w:b/>
                <w:color w:val="000000"/>
                <w:sz w:val="22"/>
                <w:szCs w:val="22"/>
                <w:lang w:val="pl-PL"/>
              </w:rPr>
            </w:pPr>
            <w:r w:rsidRPr="00F53012">
              <w:rPr>
                <w:b/>
                <w:color w:val="000000"/>
                <w:sz w:val="22"/>
                <w:szCs w:val="22"/>
                <w:lang w:val="pl-PL"/>
              </w:rPr>
              <w:t>Polska</w:t>
            </w:r>
          </w:p>
          <w:p w14:paraId="5375389B" w14:textId="77777777" w:rsidR="003646A0" w:rsidRPr="00F53012" w:rsidRDefault="003646A0" w:rsidP="00DE16D0">
            <w:pPr>
              <w:widowControl w:val="0"/>
              <w:rPr>
                <w:color w:val="000000"/>
                <w:sz w:val="22"/>
                <w:szCs w:val="22"/>
                <w:lang w:val="pl-PL"/>
              </w:rPr>
            </w:pPr>
            <w:r w:rsidRPr="00F53012">
              <w:rPr>
                <w:color w:val="000000"/>
                <w:sz w:val="22"/>
                <w:szCs w:val="22"/>
                <w:lang w:val="pl-PL"/>
              </w:rPr>
              <w:t>Novartis Poland Sp. z o.o.</w:t>
            </w:r>
          </w:p>
          <w:p w14:paraId="53096661" w14:textId="77777777" w:rsidR="003646A0" w:rsidRPr="00F93FFA" w:rsidRDefault="003646A0" w:rsidP="00DE16D0">
            <w:pPr>
              <w:widowControl w:val="0"/>
              <w:rPr>
                <w:color w:val="000000"/>
                <w:sz w:val="22"/>
                <w:szCs w:val="22"/>
                <w:lang w:val="pt-BR"/>
              </w:rPr>
            </w:pPr>
            <w:r w:rsidRPr="00F93FFA">
              <w:rPr>
                <w:color w:val="000000"/>
                <w:sz w:val="22"/>
                <w:szCs w:val="22"/>
                <w:lang w:val="pt-BR"/>
              </w:rPr>
              <w:t xml:space="preserve">Tel.: +48 22 </w:t>
            </w:r>
            <w:r w:rsidRPr="00F93FFA">
              <w:rPr>
                <w:sz w:val="22"/>
                <w:szCs w:val="22"/>
              </w:rPr>
              <w:t>375 4888</w:t>
            </w:r>
          </w:p>
        </w:tc>
      </w:tr>
      <w:tr w:rsidR="003646A0" w:rsidRPr="00F93FFA" w14:paraId="40F432A0" w14:textId="77777777" w:rsidTr="008D67C4">
        <w:trPr>
          <w:cantSplit/>
        </w:trPr>
        <w:tc>
          <w:tcPr>
            <w:tcW w:w="4650" w:type="dxa"/>
          </w:tcPr>
          <w:p w14:paraId="403EAB21"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France</w:t>
            </w:r>
          </w:p>
          <w:p w14:paraId="3F37E8BB"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S.A.S.</w:t>
            </w:r>
          </w:p>
          <w:p w14:paraId="5EE81C4F" w14:textId="77777777" w:rsidR="003646A0" w:rsidRPr="00F93FFA" w:rsidRDefault="003646A0" w:rsidP="00DE16D0">
            <w:pPr>
              <w:widowControl w:val="0"/>
              <w:rPr>
                <w:color w:val="000000"/>
                <w:sz w:val="22"/>
                <w:szCs w:val="22"/>
                <w:lang w:val="fr-FR"/>
              </w:rPr>
            </w:pPr>
            <w:r w:rsidRPr="00F93FFA">
              <w:rPr>
                <w:color w:val="000000"/>
                <w:sz w:val="22"/>
                <w:szCs w:val="22"/>
                <w:lang w:val="fr-FR"/>
              </w:rPr>
              <w:t>Tél: +33 1 55 47 66 00</w:t>
            </w:r>
          </w:p>
          <w:p w14:paraId="0992DC64" w14:textId="77777777" w:rsidR="003646A0" w:rsidRPr="00F93FFA" w:rsidRDefault="003646A0" w:rsidP="00DE16D0">
            <w:pPr>
              <w:widowControl w:val="0"/>
              <w:rPr>
                <w:b/>
                <w:color w:val="000000"/>
                <w:sz w:val="22"/>
                <w:szCs w:val="22"/>
                <w:lang w:val="fr-FR"/>
              </w:rPr>
            </w:pPr>
          </w:p>
        </w:tc>
        <w:tc>
          <w:tcPr>
            <w:tcW w:w="4650" w:type="dxa"/>
          </w:tcPr>
          <w:p w14:paraId="621DAC10"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Portugal</w:t>
            </w:r>
          </w:p>
          <w:p w14:paraId="275EC372"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Farma - Produtos Farmacêuticos, S.A.</w:t>
            </w:r>
          </w:p>
          <w:p w14:paraId="797CB9E3" w14:textId="77777777" w:rsidR="003646A0" w:rsidRPr="00F93FFA" w:rsidRDefault="003646A0" w:rsidP="00DE16D0">
            <w:pPr>
              <w:widowControl w:val="0"/>
              <w:rPr>
                <w:color w:val="000000"/>
                <w:sz w:val="22"/>
                <w:szCs w:val="22"/>
              </w:rPr>
            </w:pPr>
            <w:r w:rsidRPr="00F93FFA">
              <w:rPr>
                <w:color w:val="000000"/>
                <w:sz w:val="22"/>
                <w:szCs w:val="22"/>
              </w:rPr>
              <w:t>Tel: +351 21 000 8600</w:t>
            </w:r>
          </w:p>
        </w:tc>
      </w:tr>
      <w:tr w:rsidR="003646A0" w:rsidRPr="00F93FFA" w14:paraId="72B19CE4" w14:textId="77777777" w:rsidTr="008D67C4">
        <w:trPr>
          <w:cantSplit/>
        </w:trPr>
        <w:tc>
          <w:tcPr>
            <w:tcW w:w="4650" w:type="dxa"/>
          </w:tcPr>
          <w:p w14:paraId="7346F306" w14:textId="77777777" w:rsidR="003646A0" w:rsidRPr="00F93FFA" w:rsidRDefault="003646A0" w:rsidP="00DE16D0">
            <w:pPr>
              <w:widowControl w:val="0"/>
              <w:rPr>
                <w:rFonts w:eastAsia="PMingLiU"/>
                <w:b/>
                <w:sz w:val="22"/>
                <w:szCs w:val="22"/>
              </w:rPr>
            </w:pPr>
            <w:r w:rsidRPr="00F93FFA">
              <w:rPr>
                <w:rFonts w:eastAsia="PMingLiU"/>
                <w:b/>
                <w:sz w:val="22"/>
                <w:szCs w:val="22"/>
              </w:rPr>
              <w:t>Hrvatska</w:t>
            </w:r>
          </w:p>
          <w:p w14:paraId="03E6114A" w14:textId="77777777" w:rsidR="003646A0" w:rsidRPr="00F93FFA" w:rsidRDefault="003646A0" w:rsidP="00DE16D0">
            <w:pPr>
              <w:widowControl w:val="0"/>
              <w:rPr>
                <w:sz w:val="22"/>
                <w:szCs w:val="22"/>
              </w:rPr>
            </w:pPr>
            <w:r w:rsidRPr="00F93FFA">
              <w:rPr>
                <w:sz w:val="22"/>
                <w:szCs w:val="22"/>
              </w:rPr>
              <w:t>Novartis Hrvatska d.o.o.</w:t>
            </w:r>
          </w:p>
          <w:p w14:paraId="2C31EAC6" w14:textId="77777777" w:rsidR="003646A0" w:rsidRPr="00F93FFA" w:rsidRDefault="003646A0" w:rsidP="00DE16D0">
            <w:pPr>
              <w:widowControl w:val="0"/>
              <w:rPr>
                <w:sz w:val="22"/>
                <w:szCs w:val="22"/>
              </w:rPr>
            </w:pPr>
            <w:r w:rsidRPr="00F93FFA">
              <w:rPr>
                <w:sz w:val="22"/>
                <w:szCs w:val="22"/>
              </w:rPr>
              <w:t>Tel. +385 1 6274 220</w:t>
            </w:r>
          </w:p>
          <w:p w14:paraId="12086BD3" w14:textId="77777777" w:rsidR="003646A0" w:rsidRPr="00F93FFA" w:rsidRDefault="003646A0" w:rsidP="00DE16D0">
            <w:pPr>
              <w:widowControl w:val="0"/>
              <w:rPr>
                <w:b/>
                <w:color w:val="000000"/>
                <w:sz w:val="22"/>
                <w:szCs w:val="22"/>
                <w:lang w:val="fr-FR"/>
              </w:rPr>
            </w:pPr>
          </w:p>
        </w:tc>
        <w:tc>
          <w:tcPr>
            <w:tcW w:w="4650" w:type="dxa"/>
          </w:tcPr>
          <w:p w14:paraId="681D327A" w14:textId="77777777" w:rsidR="003646A0" w:rsidRPr="00F93FFA" w:rsidRDefault="003646A0" w:rsidP="00DE16D0">
            <w:pPr>
              <w:widowControl w:val="0"/>
              <w:rPr>
                <w:b/>
                <w:noProof/>
                <w:color w:val="000000"/>
                <w:sz w:val="22"/>
                <w:szCs w:val="22"/>
                <w:lang w:val="it-IT"/>
              </w:rPr>
            </w:pPr>
            <w:r w:rsidRPr="00F93FFA">
              <w:rPr>
                <w:b/>
                <w:noProof/>
                <w:color w:val="000000"/>
                <w:sz w:val="22"/>
                <w:szCs w:val="22"/>
                <w:lang w:val="it-IT"/>
              </w:rPr>
              <w:t>România</w:t>
            </w:r>
          </w:p>
          <w:p w14:paraId="43264E55" w14:textId="77777777" w:rsidR="003646A0" w:rsidRPr="00F93FFA" w:rsidRDefault="003646A0" w:rsidP="00DE16D0">
            <w:pPr>
              <w:widowControl w:val="0"/>
              <w:rPr>
                <w:noProof/>
                <w:color w:val="000000"/>
                <w:sz w:val="22"/>
                <w:szCs w:val="22"/>
                <w:lang w:val="it-IT"/>
              </w:rPr>
            </w:pPr>
            <w:r w:rsidRPr="00F93FFA">
              <w:rPr>
                <w:noProof/>
                <w:color w:val="000000"/>
                <w:sz w:val="22"/>
                <w:szCs w:val="22"/>
                <w:lang w:val="it-IT"/>
              </w:rPr>
              <w:t xml:space="preserve">Novartis Pharma Services </w:t>
            </w:r>
            <w:r w:rsidRPr="00F93FFA">
              <w:rPr>
                <w:color w:val="2F2F2F"/>
                <w:sz w:val="22"/>
                <w:szCs w:val="22"/>
              </w:rPr>
              <w:t>Romania SRL</w:t>
            </w:r>
          </w:p>
          <w:p w14:paraId="2F97EED1" w14:textId="77777777" w:rsidR="003646A0" w:rsidRPr="00F93FFA" w:rsidRDefault="003646A0" w:rsidP="00DE16D0">
            <w:pPr>
              <w:widowControl w:val="0"/>
              <w:rPr>
                <w:color w:val="000000"/>
                <w:sz w:val="22"/>
                <w:szCs w:val="22"/>
              </w:rPr>
            </w:pPr>
            <w:r w:rsidRPr="00F93FFA">
              <w:rPr>
                <w:noProof/>
                <w:color w:val="000000"/>
                <w:sz w:val="22"/>
                <w:szCs w:val="22"/>
                <w:lang w:val="it-IT"/>
              </w:rPr>
              <w:t>Tel: +40 21 31299 01</w:t>
            </w:r>
          </w:p>
        </w:tc>
      </w:tr>
      <w:tr w:rsidR="003646A0" w:rsidRPr="00F93FFA" w14:paraId="116E1BC5" w14:textId="77777777" w:rsidTr="008D67C4">
        <w:trPr>
          <w:cantSplit/>
        </w:trPr>
        <w:tc>
          <w:tcPr>
            <w:tcW w:w="4650" w:type="dxa"/>
          </w:tcPr>
          <w:p w14:paraId="22DCD649" w14:textId="77777777" w:rsidR="003646A0" w:rsidRPr="00F93FFA" w:rsidRDefault="003646A0" w:rsidP="00DE16D0">
            <w:pPr>
              <w:widowControl w:val="0"/>
              <w:rPr>
                <w:b/>
                <w:color w:val="000000"/>
                <w:sz w:val="22"/>
                <w:szCs w:val="22"/>
                <w:lang w:val="en-US"/>
              </w:rPr>
            </w:pPr>
            <w:r w:rsidRPr="00F93FFA">
              <w:rPr>
                <w:b/>
                <w:color w:val="000000"/>
                <w:sz w:val="22"/>
                <w:szCs w:val="22"/>
                <w:lang w:val="en-US"/>
              </w:rPr>
              <w:t>Ireland</w:t>
            </w:r>
          </w:p>
          <w:p w14:paraId="0D1560F3" w14:textId="77777777" w:rsidR="003646A0" w:rsidRPr="00F93FFA" w:rsidRDefault="003646A0" w:rsidP="00DE16D0">
            <w:pPr>
              <w:widowControl w:val="0"/>
              <w:rPr>
                <w:color w:val="000000"/>
                <w:sz w:val="22"/>
                <w:szCs w:val="22"/>
                <w:lang w:val="en-US"/>
              </w:rPr>
            </w:pPr>
            <w:r w:rsidRPr="00F93FFA">
              <w:rPr>
                <w:color w:val="000000"/>
                <w:sz w:val="22"/>
                <w:szCs w:val="22"/>
                <w:lang w:val="en-US"/>
              </w:rPr>
              <w:t>Novartis Ireland Limited</w:t>
            </w:r>
          </w:p>
          <w:p w14:paraId="0835071F" w14:textId="77777777" w:rsidR="003646A0" w:rsidRPr="00F93FFA" w:rsidRDefault="003646A0" w:rsidP="00DE16D0">
            <w:pPr>
              <w:widowControl w:val="0"/>
              <w:rPr>
                <w:color w:val="000000"/>
                <w:sz w:val="22"/>
                <w:szCs w:val="22"/>
                <w:lang w:val="en-US"/>
              </w:rPr>
            </w:pPr>
            <w:r w:rsidRPr="00F93FFA">
              <w:rPr>
                <w:color w:val="000000"/>
                <w:sz w:val="22"/>
                <w:szCs w:val="22"/>
                <w:lang w:val="en-US"/>
              </w:rPr>
              <w:t>Tel: +353 1 260 12 55</w:t>
            </w:r>
          </w:p>
          <w:p w14:paraId="755EF69E" w14:textId="77777777" w:rsidR="003646A0" w:rsidRPr="00F93FFA" w:rsidRDefault="003646A0" w:rsidP="00DE16D0">
            <w:pPr>
              <w:widowControl w:val="0"/>
              <w:rPr>
                <w:b/>
                <w:color w:val="000000"/>
                <w:sz w:val="22"/>
                <w:szCs w:val="22"/>
                <w:lang w:val="en-US"/>
              </w:rPr>
            </w:pPr>
          </w:p>
        </w:tc>
        <w:tc>
          <w:tcPr>
            <w:tcW w:w="4650" w:type="dxa"/>
          </w:tcPr>
          <w:p w14:paraId="5727FABE" w14:textId="77777777" w:rsidR="003646A0" w:rsidRPr="00F93FFA" w:rsidRDefault="003646A0" w:rsidP="00DE16D0">
            <w:pPr>
              <w:widowControl w:val="0"/>
              <w:rPr>
                <w:b/>
                <w:color w:val="000000"/>
                <w:sz w:val="22"/>
                <w:szCs w:val="22"/>
                <w:lang w:val="fr-FR"/>
              </w:rPr>
            </w:pPr>
            <w:r w:rsidRPr="00F93FFA">
              <w:rPr>
                <w:b/>
                <w:color w:val="000000"/>
                <w:sz w:val="22"/>
                <w:szCs w:val="22"/>
                <w:lang w:val="fr-FR"/>
              </w:rPr>
              <w:t>Slovenija</w:t>
            </w:r>
          </w:p>
          <w:p w14:paraId="33CB21DE" w14:textId="77777777" w:rsidR="003646A0" w:rsidRPr="00F93FFA" w:rsidRDefault="003646A0" w:rsidP="00DE16D0">
            <w:pPr>
              <w:widowControl w:val="0"/>
              <w:rPr>
                <w:color w:val="000000"/>
                <w:sz w:val="22"/>
                <w:szCs w:val="22"/>
                <w:lang w:val="fr-FR"/>
              </w:rPr>
            </w:pPr>
            <w:r w:rsidRPr="00F93FFA">
              <w:rPr>
                <w:color w:val="000000"/>
                <w:sz w:val="22"/>
                <w:szCs w:val="22"/>
                <w:lang w:val="fr-FR"/>
              </w:rPr>
              <w:t>Novartis Pharma Services Inc.</w:t>
            </w:r>
          </w:p>
          <w:p w14:paraId="12DF0922" w14:textId="77777777" w:rsidR="003646A0" w:rsidRPr="00F93FFA" w:rsidRDefault="003646A0" w:rsidP="00DE16D0">
            <w:pPr>
              <w:widowControl w:val="0"/>
              <w:rPr>
                <w:color w:val="000000"/>
                <w:sz w:val="22"/>
                <w:szCs w:val="22"/>
                <w:lang w:val="fr-FR"/>
              </w:rPr>
            </w:pPr>
            <w:r w:rsidRPr="00F93FFA">
              <w:rPr>
                <w:color w:val="000000"/>
                <w:sz w:val="22"/>
                <w:szCs w:val="22"/>
                <w:lang w:val="fr-FR"/>
              </w:rPr>
              <w:t>Tel: +386 1 300 75 50</w:t>
            </w:r>
          </w:p>
        </w:tc>
      </w:tr>
      <w:tr w:rsidR="003646A0" w:rsidRPr="00F93FFA" w14:paraId="0A5109AE" w14:textId="77777777" w:rsidTr="008D67C4">
        <w:trPr>
          <w:cantSplit/>
        </w:trPr>
        <w:tc>
          <w:tcPr>
            <w:tcW w:w="4650" w:type="dxa"/>
          </w:tcPr>
          <w:p w14:paraId="482C13CE" w14:textId="77777777" w:rsidR="003646A0" w:rsidRPr="00F93FFA" w:rsidRDefault="003646A0" w:rsidP="00DE16D0">
            <w:pPr>
              <w:widowControl w:val="0"/>
              <w:rPr>
                <w:b/>
                <w:color w:val="000000"/>
                <w:sz w:val="22"/>
                <w:szCs w:val="22"/>
              </w:rPr>
            </w:pPr>
            <w:r w:rsidRPr="00F93FFA">
              <w:rPr>
                <w:b/>
                <w:color w:val="000000"/>
                <w:sz w:val="22"/>
                <w:szCs w:val="22"/>
              </w:rPr>
              <w:t>Ísland</w:t>
            </w:r>
          </w:p>
          <w:p w14:paraId="5E00AB5D" w14:textId="77777777" w:rsidR="003646A0" w:rsidRPr="00F93FFA" w:rsidRDefault="003646A0" w:rsidP="00DE16D0">
            <w:pPr>
              <w:widowControl w:val="0"/>
              <w:rPr>
                <w:color w:val="000000"/>
                <w:sz w:val="22"/>
                <w:szCs w:val="22"/>
              </w:rPr>
            </w:pPr>
            <w:r w:rsidRPr="00F93FFA">
              <w:rPr>
                <w:color w:val="000000"/>
                <w:sz w:val="22"/>
                <w:szCs w:val="22"/>
              </w:rPr>
              <w:t>Vistor hf.</w:t>
            </w:r>
          </w:p>
          <w:p w14:paraId="5ABAED58" w14:textId="77777777" w:rsidR="003646A0" w:rsidRPr="00F93FFA" w:rsidRDefault="003646A0" w:rsidP="00DE16D0">
            <w:pPr>
              <w:widowControl w:val="0"/>
              <w:rPr>
                <w:color w:val="000000"/>
                <w:sz w:val="22"/>
                <w:szCs w:val="22"/>
              </w:rPr>
            </w:pPr>
            <w:r w:rsidRPr="00F93FFA">
              <w:rPr>
                <w:noProof/>
                <w:color w:val="000000"/>
                <w:sz w:val="22"/>
                <w:szCs w:val="22"/>
                <w:lang w:val="it-IT"/>
              </w:rPr>
              <w:t>S</w:t>
            </w:r>
            <w:r w:rsidRPr="00F93FFA">
              <w:rPr>
                <w:noProof/>
                <w:color w:val="000000"/>
                <w:sz w:val="22"/>
                <w:szCs w:val="22"/>
                <w:lang w:val="cs-CZ"/>
              </w:rPr>
              <w:t>í</w:t>
            </w:r>
            <w:r w:rsidRPr="00F93FFA">
              <w:rPr>
                <w:noProof/>
                <w:color w:val="000000"/>
                <w:sz w:val="22"/>
                <w:szCs w:val="22"/>
                <w:lang w:val="it-IT"/>
              </w:rPr>
              <w:t>mi</w:t>
            </w:r>
            <w:r w:rsidRPr="00F93FFA">
              <w:rPr>
                <w:color w:val="000000"/>
                <w:sz w:val="22"/>
                <w:szCs w:val="22"/>
              </w:rPr>
              <w:t>: +354 535 7000</w:t>
            </w:r>
          </w:p>
          <w:p w14:paraId="50302BA6" w14:textId="77777777" w:rsidR="003646A0" w:rsidRPr="00F93FFA" w:rsidRDefault="003646A0" w:rsidP="00DE16D0">
            <w:pPr>
              <w:widowControl w:val="0"/>
              <w:rPr>
                <w:b/>
                <w:color w:val="000000"/>
                <w:sz w:val="22"/>
                <w:szCs w:val="22"/>
              </w:rPr>
            </w:pPr>
          </w:p>
        </w:tc>
        <w:tc>
          <w:tcPr>
            <w:tcW w:w="4650" w:type="dxa"/>
          </w:tcPr>
          <w:p w14:paraId="6307619C" w14:textId="77777777" w:rsidR="003646A0" w:rsidRPr="00F53012" w:rsidRDefault="003646A0" w:rsidP="00DE16D0">
            <w:pPr>
              <w:widowControl w:val="0"/>
              <w:rPr>
                <w:b/>
                <w:color w:val="000000"/>
                <w:sz w:val="22"/>
                <w:szCs w:val="22"/>
              </w:rPr>
            </w:pPr>
            <w:r w:rsidRPr="00F53012">
              <w:rPr>
                <w:b/>
                <w:color w:val="000000"/>
                <w:sz w:val="22"/>
                <w:szCs w:val="22"/>
              </w:rPr>
              <w:t>Slovenská republika</w:t>
            </w:r>
          </w:p>
          <w:p w14:paraId="2D388380" w14:textId="77777777" w:rsidR="003646A0" w:rsidRPr="00F53012" w:rsidRDefault="003646A0" w:rsidP="00DE16D0">
            <w:pPr>
              <w:widowControl w:val="0"/>
              <w:rPr>
                <w:color w:val="000000"/>
                <w:sz w:val="22"/>
                <w:szCs w:val="22"/>
              </w:rPr>
            </w:pPr>
            <w:r w:rsidRPr="00F53012">
              <w:rPr>
                <w:color w:val="000000"/>
                <w:sz w:val="22"/>
                <w:szCs w:val="22"/>
              </w:rPr>
              <w:t>Novartis Slovakia s.r.o.</w:t>
            </w:r>
          </w:p>
          <w:p w14:paraId="6C199991" w14:textId="77777777" w:rsidR="003646A0" w:rsidRPr="00F93FFA" w:rsidRDefault="003646A0" w:rsidP="00DE16D0">
            <w:pPr>
              <w:widowControl w:val="0"/>
              <w:rPr>
                <w:color w:val="000000"/>
                <w:sz w:val="22"/>
                <w:szCs w:val="22"/>
              </w:rPr>
            </w:pPr>
            <w:r w:rsidRPr="00F93FFA">
              <w:rPr>
                <w:color w:val="000000"/>
                <w:sz w:val="22"/>
                <w:szCs w:val="22"/>
              </w:rPr>
              <w:t>Tel: +421 2 5542 5439</w:t>
            </w:r>
          </w:p>
          <w:p w14:paraId="2D25483D" w14:textId="77777777" w:rsidR="003646A0" w:rsidRPr="00F93FFA" w:rsidRDefault="003646A0" w:rsidP="00DE16D0">
            <w:pPr>
              <w:widowControl w:val="0"/>
              <w:rPr>
                <w:color w:val="000000"/>
                <w:sz w:val="22"/>
                <w:szCs w:val="22"/>
              </w:rPr>
            </w:pPr>
          </w:p>
        </w:tc>
      </w:tr>
      <w:tr w:rsidR="003646A0" w:rsidRPr="00F93FFA" w14:paraId="1FFB3AB8" w14:textId="77777777" w:rsidTr="008D67C4">
        <w:trPr>
          <w:cantSplit/>
        </w:trPr>
        <w:tc>
          <w:tcPr>
            <w:tcW w:w="4650" w:type="dxa"/>
          </w:tcPr>
          <w:p w14:paraId="61ED108E" w14:textId="77777777" w:rsidR="003646A0" w:rsidRPr="00F93FFA" w:rsidRDefault="003646A0" w:rsidP="00DE16D0">
            <w:pPr>
              <w:widowControl w:val="0"/>
              <w:rPr>
                <w:b/>
                <w:color w:val="000000"/>
                <w:sz w:val="22"/>
                <w:szCs w:val="22"/>
                <w:lang w:val="pt-BR"/>
              </w:rPr>
            </w:pPr>
            <w:r w:rsidRPr="00F93FFA">
              <w:rPr>
                <w:b/>
                <w:color w:val="000000"/>
                <w:sz w:val="22"/>
                <w:szCs w:val="22"/>
                <w:lang w:val="pt-BR"/>
              </w:rPr>
              <w:t>Italia</w:t>
            </w:r>
          </w:p>
          <w:p w14:paraId="5EA10834" w14:textId="77777777" w:rsidR="003646A0" w:rsidRPr="00F93FFA" w:rsidRDefault="003646A0" w:rsidP="00DE16D0">
            <w:pPr>
              <w:widowControl w:val="0"/>
              <w:rPr>
                <w:color w:val="000000"/>
                <w:sz w:val="22"/>
                <w:szCs w:val="22"/>
                <w:lang w:val="pt-BR"/>
              </w:rPr>
            </w:pPr>
            <w:r w:rsidRPr="00F93FFA">
              <w:rPr>
                <w:color w:val="000000"/>
                <w:sz w:val="22"/>
                <w:szCs w:val="22"/>
                <w:lang w:val="pt-BR"/>
              </w:rPr>
              <w:t>Novartis Farma S.p.A.</w:t>
            </w:r>
          </w:p>
          <w:p w14:paraId="62C48CF4" w14:textId="77777777" w:rsidR="003646A0" w:rsidRPr="00F93FFA" w:rsidRDefault="003646A0" w:rsidP="00DE16D0">
            <w:pPr>
              <w:widowControl w:val="0"/>
              <w:rPr>
                <w:b/>
                <w:color w:val="000000"/>
                <w:sz w:val="22"/>
                <w:szCs w:val="22"/>
              </w:rPr>
            </w:pPr>
            <w:r w:rsidRPr="00F93FFA">
              <w:rPr>
                <w:color w:val="000000"/>
                <w:sz w:val="22"/>
                <w:szCs w:val="22"/>
              </w:rPr>
              <w:t>Tel: +39 02 96 54 1</w:t>
            </w:r>
          </w:p>
        </w:tc>
        <w:tc>
          <w:tcPr>
            <w:tcW w:w="4650" w:type="dxa"/>
          </w:tcPr>
          <w:p w14:paraId="29605338" w14:textId="77777777" w:rsidR="003646A0" w:rsidRPr="00F53012" w:rsidRDefault="003646A0" w:rsidP="00DE16D0">
            <w:pPr>
              <w:widowControl w:val="0"/>
              <w:rPr>
                <w:b/>
                <w:color w:val="000000"/>
                <w:sz w:val="22"/>
                <w:szCs w:val="22"/>
                <w:lang w:val="sv-SE"/>
              </w:rPr>
            </w:pPr>
            <w:r w:rsidRPr="00F53012">
              <w:rPr>
                <w:b/>
                <w:color w:val="000000"/>
                <w:sz w:val="22"/>
                <w:szCs w:val="22"/>
                <w:lang w:val="sv-SE"/>
              </w:rPr>
              <w:t>Suomi/Finland</w:t>
            </w:r>
          </w:p>
          <w:p w14:paraId="6F65585E" w14:textId="77777777" w:rsidR="003646A0" w:rsidRPr="00F53012" w:rsidRDefault="003646A0" w:rsidP="00DE16D0">
            <w:pPr>
              <w:widowControl w:val="0"/>
              <w:rPr>
                <w:color w:val="000000"/>
                <w:sz w:val="22"/>
                <w:szCs w:val="22"/>
                <w:lang w:val="sv-SE"/>
              </w:rPr>
            </w:pPr>
            <w:r w:rsidRPr="00F53012">
              <w:rPr>
                <w:color w:val="000000"/>
                <w:sz w:val="22"/>
                <w:szCs w:val="22"/>
                <w:lang w:val="sv-SE"/>
              </w:rPr>
              <w:t>Novartis Finland Oy</w:t>
            </w:r>
          </w:p>
          <w:p w14:paraId="1DFC03DD" w14:textId="77777777" w:rsidR="003646A0" w:rsidRPr="00F53012" w:rsidRDefault="003646A0" w:rsidP="00DE16D0">
            <w:pPr>
              <w:widowControl w:val="0"/>
              <w:rPr>
                <w:color w:val="000000"/>
                <w:sz w:val="22"/>
                <w:szCs w:val="22"/>
                <w:lang w:val="sv-SE"/>
              </w:rPr>
            </w:pPr>
            <w:r w:rsidRPr="00F53012">
              <w:rPr>
                <w:color w:val="000000"/>
                <w:sz w:val="22"/>
                <w:szCs w:val="22"/>
                <w:lang w:val="sv-SE"/>
              </w:rPr>
              <w:t xml:space="preserve">Puh/Tel: </w:t>
            </w:r>
            <w:r w:rsidRPr="00F53012">
              <w:rPr>
                <w:color w:val="000000"/>
                <w:sz w:val="22"/>
                <w:szCs w:val="22"/>
                <w:lang w:val="sv-SE" w:bidi="he-IL"/>
              </w:rPr>
              <w:t>+358 (0)10 6133 200</w:t>
            </w:r>
          </w:p>
          <w:p w14:paraId="682CF68C" w14:textId="77777777" w:rsidR="003646A0" w:rsidRPr="00F53012" w:rsidRDefault="003646A0" w:rsidP="00DE16D0">
            <w:pPr>
              <w:widowControl w:val="0"/>
              <w:rPr>
                <w:color w:val="000000"/>
                <w:sz w:val="22"/>
                <w:szCs w:val="22"/>
                <w:lang w:val="sv-SE"/>
              </w:rPr>
            </w:pPr>
          </w:p>
        </w:tc>
      </w:tr>
      <w:tr w:rsidR="003646A0" w:rsidRPr="00F93FFA" w14:paraId="7DAFD4F2" w14:textId="77777777" w:rsidTr="008D67C4">
        <w:trPr>
          <w:cantSplit/>
        </w:trPr>
        <w:tc>
          <w:tcPr>
            <w:tcW w:w="4650" w:type="dxa"/>
          </w:tcPr>
          <w:p w14:paraId="040860DE" w14:textId="77777777" w:rsidR="003646A0" w:rsidRPr="00F93FFA" w:rsidRDefault="003646A0" w:rsidP="00DE16D0">
            <w:pPr>
              <w:widowControl w:val="0"/>
              <w:rPr>
                <w:b/>
                <w:color w:val="000000"/>
                <w:sz w:val="22"/>
                <w:szCs w:val="22"/>
                <w:lang w:val="fr-FR"/>
              </w:rPr>
            </w:pPr>
            <w:r w:rsidRPr="00F93FFA">
              <w:rPr>
                <w:b/>
                <w:color w:val="000000"/>
                <w:sz w:val="22"/>
                <w:szCs w:val="22"/>
              </w:rPr>
              <w:t>Κύπρος</w:t>
            </w:r>
          </w:p>
          <w:p w14:paraId="5078C4B8" w14:textId="77777777" w:rsidR="003646A0" w:rsidRPr="00F93FFA" w:rsidRDefault="003646A0" w:rsidP="00DE16D0">
            <w:pPr>
              <w:widowControl w:val="0"/>
              <w:rPr>
                <w:color w:val="000000"/>
                <w:sz w:val="22"/>
                <w:szCs w:val="22"/>
                <w:lang w:val="fr-FR"/>
              </w:rPr>
            </w:pPr>
            <w:r w:rsidRPr="00F93FFA">
              <w:rPr>
                <w:color w:val="000000"/>
                <w:sz w:val="22"/>
                <w:szCs w:val="22"/>
                <w:lang w:val="fr-FR" w:bidi="he-IL"/>
              </w:rPr>
              <w:t>Novartis Pharma Services Inc.</w:t>
            </w:r>
          </w:p>
          <w:p w14:paraId="441F96CB" w14:textId="77777777" w:rsidR="003646A0" w:rsidRPr="00F93FFA" w:rsidRDefault="003646A0" w:rsidP="00DE16D0">
            <w:pPr>
              <w:widowControl w:val="0"/>
              <w:rPr>
                <w:color w:val="000000"/>
                <w:sz w:val="22"/>
                <w:szCs w:val="22"/>
                <w:lang w:val="fr-FR"/>
              </w:rPr>
            </w:pPr>
            <w:r w:rsidRPr="00F93FFA">
              <w:rPr>
                <w:color w:val="000000"/>
                <w:sz w:val="22"/>
                <w:szCs w:val="22"/>
              </w:rPr>
              <w:t>Τηλ</w:t>
            </w:r>
            <w:r w:rsidRPr="00F93FFA">
              <w:rPr>
                <w:color w:val="000000"/>
                <w:sz w:val="22"/>
                <w:szCs w:val="22"/>
                <w:lang w:val="fr-FR"/>
              </w:rPr>
              <w:t>: +357 22 690 690</w:t>
            </w:r>
          </w:p>
          <w:p w14:paraId="0AE8BC52" w14:textId="77777777" w:rsidR="003646A0" w:rsidRPr="00F93FFA" w:rsidRDefault="003646A0" w:rsidP="00DE16D0">
            <w:pPr>
              <w:widowControl w:val="0"/>
              <w:rPr>
                <w:b/>
                <w:color w:val="000000"/>
                <w:sz w:val="22"/>
                <w:szCs w:val="22"/>
                <w:lang w:val="fr-FR"/>
              </w:rPr>
            </w:pPr>
          </w:p>
        </w:tc>
        <w:tc>
          <w:tcPr>
            <w:tcW w:w="4650" w:type="dxa"/>
          </w:tcPr>
          <w:p w14:paraId="1D8D4FB6" w14:textId="77777777" w:rsidR="003646A0" w:rsidRPr="00F93FFA" w:rsidRDefault="003646A0" w:rsidP="00DE16D0">
            <w:pPr>
              <w:widowControl w:val="0"/>
              <w:rPr>
                <w:b/>
                <w:color w:val="000000"/>
                <w:sz w:val="22"/>
                <w:szCs w:val="22"/>
                <w:lang w:val="de-CH"/>
              </w:rPr>
            </w:pPr>
            <w:r w:rsidRPr="00F93FFA">
              <w:rPr>
                <w:b/>
                <w:color w:val="000000"/>
                <w:sz w:val="22"/>
                <w:szCs w:val="22"/>
                <w:lang w:val="de-CH"/>
              </w:rPr>
              <w:t>Sverige</w:t>
            </w:r>
          </w:p>
          <w:p w14:paraId="5137BC41" w14:textId="77777777" w:rsidR="003646A0" w:rsidRPr="00F93FFA" w:rsidRDefault="003646A0" w:rsidP="00DE16D0">
            <w:pPr>
              <w:widowControl w:val="0"/>
              <w:rPr>
                <w:color w:val="000000"/>
                <w:sz w:val="22"/>
                <w:szCs w:val="22"/>
                <w:lang w:val="de-CH"/>
              </w:rPr>
            </w:pPr>
            <w:r w:rsidRPr="00F93FFA">
              <w:rPr>
                <w:color w:val="000000"/>
                <w:sz w:val="22"/>
                <w:szCs w:val="22"/>
                <w:lang w:val="de-CH"/>
              </w:rPr>
              <w:t>Novartis Sverige AB</w:t>
            </w:r>
          </w:p>
          <w:p w14:paraId="623DD9DC" w14:textId="77777777" w:rsidR="003646A0" w:rsidRPr="00F93FFA" w:rsidRDefault="003646A0" w:rsidP="00DE16D0">
            <w:pPr>
              <w:widowControl w:val="0"/>
              <w:rPr>
                <w:color w:val="000000"/>
                <w:sz w:val="22"/>
                <w:szCs w:val="22"/>
                <w:lang w:val="de-CH"/>
              </w:rPr>
            </w:pPr>
            <w:r w:rsidRPr="00F93FFA">
              <w:rPr>
                <w:color w:val="000000"/>
                <w:sz w:val="22"/>
                <w:szCs w:val="22"/>
                <w:lang w:val="de-CH"/>
              </w:rPr>
              <w:t>Tel: +46 8 732 32 00</w:t>
            </w:r>
          </w:p>
          <w:p w14:paraId="79DBBB5D" w14:textId="77777777" w:rsidR="003646A0" w:rsidRPr="00F93FFA" w:rsidRDefault="003646A0" w:rsidP="00DE16D0">
            <w:pPr>
              <w:widowControl w:val="0"/>
              <w:rPr>
                <w:color w:val="000000"/>
                <w:sz w:val="22"/>
                <w:szCs w:val="22"/>
                <w:lang w:val="de-CH"/>
              </w:rPr>
            </w:pPr>
          </w:p>
        </w:tc>
      </w:tr>
      <w:tr w:rsidR="003646A0" w:rsidRPr="00F93FFA" w14:paraId="3F62F94D" w14:textId="77777777" w:rsidTr="008D67C4">
        <w:trPr>
          <w:cantSplit/>
        </w:trPr>
        <w:tc>
          <w:tcPr>
            <w:tcW w:w="4650" w:type="dxa"/>
          </w:tcPr>
          <w:p w14:paraId="5D8932FC" w14:textId="77777777" w:rsidR="003646A0" w:rsidRPr="00F93FFA" w:rsidRDefault="003646A0" w:rsidP="00DE16D0">
            <w:pPr>
              <w:widowControl w:val="0"/>
              <w:rPr>
                <w:b/>
                <w:color w:val="000000"/>
                <w:sz w:val="22"/>
                <w:szCs w:val="22"/>
                <w:lang w:val="it-IT"/>
              </w:rPr>
            </w:pPr>
            <w:r w:rsidRPr="00F93FFA">
              <w:rPr>
                <w:b/>
                <w:color w:val="000000"/>
                <w:sz w:val="22"/>
                <w:szCs w:val="22"/>
                <w:lang w:val="it-IT"/>
              </w:rPr>
              <w:t>Latvija</w:t>
            </w:r>
          </w:p>
          <w:p w14:paraId="7375DD1D" w14:textId="22407146" w:rsidR="003646A0" w:rsidRPr="00F93FFA" w:rsidRDefault="006703D1" w:rsidP="00DE16D0">
            <w:pPr>
              <w:widowControl w:val="0"/>
              <w:rPr>
                <w:color w:val="000000"/>
                <w:sz w:val="22"/>
                <w:szCs w:val="22"/>
                <w:lang w:val="it-IT"/>
              </w:rPr>
            </w:pPr>
            <w:r w:rsidRPr="00F93FFA">
              <w:rPr>
                <w:color w:val="000000"/>
                <w:sz w:val="22"/>
                <w:szCs w:val="22"/>
                <w:lang w:val="it-IT"/>
              </w:rPr>
              <w:t>SIA Novartis Baltics</w:t>
            </w:r>
          </w:p>
          <w:p w14:paraId="0BB08D23" w14:textId="77777777" w:rsidR="003646A0" w:rsidRPr="00F93FFA" w:rsidRDefault="003646A0" w:rsidP="00DE16D0">
            <w:pPr>
              <w:widowControl w:val="0"/>
              <w:rPr>
                <w:color w:val="000000"/>
                <w:sz w:val="22"/>
                <w:szCs w:val="22"/>
              </w:rPr>
            </w:pPr>
            <w:r w:rsidRPr="00F93FFA">
              <w:rPr>
                <w:color w:val="000000"/>
                <w:sz w:val="22"/>
                <w:szCs w:val="22"/>
              </w:rPr>
              <w:t>Tel: +371 67 887 070</w:t>
            </w:r>
          </w:p>
          <w:p w14:paraId="0F2324E6" w14:textId="77777777" w:rsidR="003646A0" w:rsidRPr="00F93FFA" w:rsidRDefault="003646A0" w:rsidP="00DE16D0">
            <w:pPr>
              <w:widowControl w:val="0"/>
              <w:rPr>
                <w:b/>
                <w:color w:val="000000"/>
                <w:sz w:val="22"/>
                <w:szCs w:val="22"/>
              </w:rPr>
            </w:pPr>
          </w:p>
        </w:tc>
        <w:tc>
          <w:tcPr>
            <w:tcW w:w="4650" w:type="dxa"/>
          </w:tcPr>
          <w:p w14:paraId="524B5356" w14:textId="77777777" w:rsidR="003646A0" w:rsidRPr="00F53012" w:rsidRDefault="003646A0" w:rsidP="00DE16D0">
            <w:pPr>
              <w:widowControl w:val="0"/>
              <w:rPr>
                <w:b/>
                <w:color w:val="000000"/>
                <w:sz w:val="22"/>
                <w:szCs w:val="22"/>
              </w:rPr>
            </w:pPr>
            <w:r w:rsidRPr="00F53012">
              <w:rPr>
                <w:b/>
                <w:color w:val="000000"/>
                <w:sz w:val="22"/>
                <w:szCs w:val="22"/>
              </w:rPr>
              <w:t>United Kingdom</w:t>
            </w:r>
          </w:p>
          <w:p w14:paraId="2EC8E488" w14:textId="77777777" w:rsidR="003646A0" w:rsidRPr="00F53012" w:rsidRDefault="003646A0" w:rsidP="00DE16D0">
            <w:pPr>
              <w:widowControl w:val="0"/>
              <w:rPr>
                <w:color w:val="000000"/>
                <w:sz w:val="22"/>
                <w:szCs w:val="22"/>
              </w:rPr>
            </w:pPr>
            <w:r w:rsidRPr="00F53012">
              <w:rPr>
                <w:color w:val="000000"/>
                <w:sz w:val="22"/>
                <w:szCs w:val="22"/>
              </w:rPr>
              <w:t>Novartis Pharmaceuticals UK Ltd.</w:t>
            </w:r>
          </w:p>
          <w:p w14:paraId="6BF40A86" w14:textId="77777777" w:rsidR="003646A0" w:rsidRPr="00F93FFA" w:rsidRDefault="003646A0" w:rsidP="00DE16D0">
            <w:pPr>
              <w:widowControl w:val="0"/>
              <w:rPr>
                <w:color w:val="000000"/>
                <w:sz w:val="22"/>
                <w:szCs w:val="22"/>
              </w:rPr>
            </w:pPr>
            <w:r w:rsidRPr="00F93FFA">
              <w:rPr>
                <w:color w:val="000000"/>
                <w:sz w:val="22"/>
                <w:szCs w:val="22"/>
              </w:rPr>
              <w:t>Tel: +44 1276 698370</w:t>
            </w:r>
          </w:p>
          <w:p w14:paraId="0C449DB6" w14:textId="77777777" w:rsidR="003646A0" w:rsidRPr="00F93FFA" w:rsidRDefault="003646A0" w:rsidP="00DE16D0">
            <w:pPr>
              <w:widowControl w:val="0"/>
              <w:rPr>
                <w:color w:val="000000"/>
                <w:sz w:val="22"/>
                <w:szCs w:val="22"/>
              </w:rPr>
            </w:pPr>
          </w:p>
        </w:tc>
      </w:tr>
    </w:tbl>
    <w:p w14:paraId="5302E2ED" w14:textId="77777777" w:rsidR="003646A0" w:rsidRPr="00F93FFA" w:rsidRDefault="003646A0" w:rsidP="00DE16D0">
      <w:pPr>
        <w:widowControl w:val="0"/>
        <w:ind w:right="-449"/>
        <w:rPr>
          <w:color w:val="000000"/>
          <w:sz w:val="22"/>
          <w:szCs w:val="22"/>
        </w:rPr>
      </w:pPr>
    </w:p>
    <w:p w14:paraId="30C883C7" w14:textId="77777777" w:rsidR="003646A0" w:rsidRPr="00F93FFA" w:rsidRDefault="003646A0" w:rsidP="00DE16D0">
      <w:pPr>
        <w:widowControl w:val="0"/>
        <w:ind w:left="567" w:hanging="567"/>
        <w:rPr>
          <w:b/>
          <w:color w:val="000000"/>
          <w:sz w:val="22"/>
          <w:szCs w:val="22"/>
        </w:rPr>
      </w:pPr>
      <w:r w:rsidRPr="00F93FFA">
        <w:rPr>
          <w:b/>
          <w:color w:val="000000"/>
          <w:sz w:val="22"/>
          <w:szCs w:val="22"/>
        </w:rPr>
        <w:t>Šis pakuotės lapelis paskutinį kartą peržiūrėtas</w:t>
      </w:r>
    </w:p>
    <w:p w14:paraId="17742F6E" w14:textId="77777777" w:rsidR="003646A0" w:rsidRPr="00F93FFA" w:rsidRDefault="003646A0" w:rsidP="00DE16D0">
      <w:pPr>
        <w:widowControl w:val="0"/>
        <w:ind w:left="567" w:hanging="567"/>
        <w:rPr>
          <w:bCs/>
          <w:color w:val="000000"/>
          <w:sz w:val="22"/>
          <w:szCs w:val="22"/>
        </w:rPr>
      </w:pPr>
    </w:p>
    <w:p w14:paraId="5F4C4309" w14:textId="77777777" w:rsidR="003646A0" w:rsidRPr="00F93FFA" w:rsidRDefault="003646A0" w:rsidP="009A4400">
      <w:pPr>
        <w:keepNext/>
        <w:widowControl w:val="0"/>
        <w:ind w:left="567" w:hanging="567"/>
        <w:rPr>
          <w:b/>
          <w:bCs/>
          <w:color w:val="000000"/>
          <w:sz w:val="22"/>
          <w:szCs w:val="22"/>
        </w:rPr>
      </w:pPr>
      <w:r w:rsidRPr="00F93FFA">
        <w:rPr>
          <w:b/>
          <w:bCs/>
          <w:color w:val="000000"/>
          <w:sz w:val="22"/>
          <w:szCs w:val="22"/>
        </w:rPr>
        <w:t>Kiti informacijos šaltiniai</w:t>
      </w:r>
    </w:p>
    <w:p w14:paraId="0BB49354" w14:textId="77777777" w:rsidR="003646A0" w:rsidRPr="00F93FFA" w:rsidRDefault="003646A0" w:rsidP="009A4400">
      <w:pPr>
        <w:keepLines/>
        <w:widowControl w:val="0"/>
        <w:rPr>
          <w:color w:val="000000"/>
          <w:sz w:val="22"/>
          <w:szCs w:val="22"/>
        </w:rPr>
      </w:pPr>
      <w:r w:rsidRPr="00F93FFA">
        <w:rPr>
          <w:iCs/>
          <w:sz w:val="22"/>
          <w:szCs w:val="22"/>
        </w:rPr>
        <w:t xml:space="preserve">Išsami informacija apie šį </w:t>
      </w:r>
      <w:r w:rsidRPr="00F93FFA">
        <w:rPr>
          <w:sz w:val="22"/>
          <w:szCs w:val="22"/>
        </w:rPr>
        <w:t>vaistą</w:t>
      </w:r>
      <w:r w:rsidRPr="00F93FFA">
        <w:rPr>
          <w:iCs/>
          <w:sz w:val="22"/>
          <w:szCs w:val="22"/>
        </w:rPr>
        <w:t xml:space="preserve"> pateikiama Europos vaistų agentūros tinklalapyje </w:t>
      </w:r>
      <w:r w:rsidRPr="00F93FFA">
        <w:rPr>
          <w:sz w:val="22"/>
          <w:szCs w:val="22"/>
        </w:rPr>
        <w:t>http://www.ema.europa.eu</w:t>
      </w:r>
      <w:r w:rsidR="00510466" w:rsidRPr="00F93FFA">
        <w:rPr>
          <w:sz w:val="22"/>
          <w:szCs w:val="22"/>
        </w:rPr>
        <w:t>/</w:t>
      </w:r>
    </w:p>
    <w:p w14:paraId="15323941" w14:textId="77777777" w:rsidR="003646A0" w:rsidRPr="00961BF9" w:rsidRDefault="003646A0" w:rsidP="00DE16D0">
      <w:pPr>
        <w:widowControl w:val="0"/>
        <w:rPr>
          <w:color w:val="000000"/>
          <w:sz w:val="22"/>
          <w:szCs w:val="22"/>
        </w:rPr>
      </w:pPr>
    </w:p>
    <w:sectPr w:rsidR="003646A0" w:rsidRPr="00961BF9">
      <w:headerReference w:type="even" r:id="rId17"/>
      <w:headerReference w:type="default" r:id="rId18"/>
      <w:footerReference w:type="even" r:id="rId19"/>
      <w:footerReference w:type="default" r:id="rId20"/>
      <w:headerReference w:type="first" r:id="rId21"/>
      <w:footerReference w:type="first" r:id="rId22"/>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42F8B" w14:textId="77777777" w:rsidR="00481ECF" w:rsidRDefault="00481ECF">
      <w:r>
        <w:separator/>
      </w:r>
    </w:p>
  </w:endnote>
  <w:endnote w:type="continuationSeparator" w:id="0">
    <w:p w14:paraId="2B9694C3" w14:textId="77777777" w:rsidR="00481ECF" w:rsidRDefault="0048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
    <w:altName w:val="Times New Roman"/>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NewRoman">
    <w:altName w:val="Yu Gothic UI"/>
    <w:panose1 w:val="00000000000000000000"/>
    <w:charset w:val="00"/>
    <w:family w:val="roman"/>
    <w:notTrueType/>
    <w:pitch w:val="default"/>
    <w:sig w:usb0="00000083" w:usb1="08070000" w:usb2="00000010" w:usb3="00000000" w:csb0="00020009"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B5BD0" w14:textId="77777777" w:rsidR="00481ECF" w:rsidRDefault="00481E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AE397D" w14:textId="77777777" w:rsidR="00481ECF" w:rsidRDefault="00481E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81C5E" w14:textId="37BAB875" w:rsidR="00481ECF" w:rsidRDefault="00481ECF">
    <w:pPr>
      <w:pStyle w:val="Footer"/>
      <w:ind w:right="360"/>
      <w:jc w:val="center"/>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8F0B4D">
      <w:rPr>
        <w:rStyle w:val="PageNumber"/>
        <w:rFonts w:ascii="Arial" w:hAnsi="Arial" w:cs="Arial"/>
        <w:noProof/>
      </w:rPr>
      <w:t>100</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6BEE7" w14:textId="77777777" w:rsidR="00481ECF" w:rsidRDefault="0048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A4D27" w14:textId="77777777" w:rsidR="00481ECF" w:rsidRDefault="00481ECF">
      <w:r>
        <w:separator/>
      </w:r>
    </w:p>
  </w:footnote>
  <w:footnote w:type="continuationSeparator" w:id="0">
    <w:p w14:paraId="78B286DA" w14:textId="77777777" w:rsidR="00481ECF" w:rsidRDefault="0048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58C9D" w14:textId="77777777" w:rsidR="00481ECF" w:rsidRDefault="00481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96A22" w14:textId="77777777" w:rsidR="00481ECF" w:rsidRDefault="00481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153AD" w14:textId="77777777" w:rsidR="00481ECF" w:rsidRDefault="00481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4C7950"/>
    <w:multiLevelType w:val="hybridMultilevel"/>
    <w:tmpl w:val="9F60AF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551DD8"/>
    <w:multiLevelType w:val="hybridMultilevel"/>
    <w:tmpl w:val="5D4ED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5B45FD"/>
    <w:multiLevelType w:val="multilevel"/>
    <w:tmpl w:val="3B300EC8"/>
    <w:lvl w:ilvl="0">
      <w:start w:val="4"/>
      <w:numFmt w:val="bullet"/>
      <w:lvlText w:val="-"/>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01394"/>
    <w:multiLevelType w:val="hybridMultilevel"/>
    <w:tmpl w:val="B158303C"/>
    <w:lvl w:ilvl="0" w:tplc="93D60A2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3657D"/>
    <w:multiLevelType w:val="hybridMultilevel"/>
    <w:tmpl w:val="3B300EC8"/>
    <w:lvl w:ilvl="0" w:tplc="857EA38A">
      <w:start w:val="4"/>
      <w:numFmt w:val="bullet"/>
      <w:lvlText w:val="-"/>
      <w:lvlJc w:val="left"/>
      <w:pPr>
        <w:tabs>
          <w:tab w:val="num" w:pos="360"/>
        </w:tabs>
        <w:ind w:left="360" w:hanging="360"/>
      </w:pPr>
      <w:rPr>
        <w:rFonts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85E6A"/>
    <w:multiLevelType w:val="hybridMultilevel"/>
    <w:tmpl w:val="C1B24C64"/>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B19C4"/>
    <w:multiLevelType w:val="hybridMultilevel"/>
    <w:tmpl w:val="4BDC8BF2"/>
    <w:lvl w:ilvl="0" w:tplc="857EA38A">
      <w:start w:val="4"/>
      <w:numFmt w:val="bullet"/>
      <w:lvlText w:val="-"/>
      <w:lvlJc w:val="left"/>
      <w:pPr>
        <w:tabs>
          <w:tab w:val="num" w:pos="360"/>
        </w:tabs>
        <w:ind w:left="360" w:hanging="360"/>
      </w:pPr>
      <w:rPr>
        <w:rFonts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7D4898"/>
    <w:multiLevelType w:val="hybridMultilevel"/>
    <w:tmpl w:val="308A7A82"/>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4C332C"/>
    <w:multiLevelType w:val="hybridMultilevel"/>
    <w:tmpl w:val="BFDE3332"/>
    <w:lvl w:ilvl="0" w:tplc="73AAB316">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441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D16CDD"/>
    <w:multiLevelType w:val="hybridMultilevel"/>
    <w:tmpl w:val="0622A246"/>
    <w:lvl w:ilvl="0" w:tplc="D8B63C8A">
      <w:numFmt w:val="bullet"/>
      <w:lvlText w:val="-"/>
      <w:lvlJc w:val="left"/>
      <w:pPr>
        <w:tabs>
          <w:tab w:val="num" w:pos="1107"/>
        </w:tabs>
        <w:ind w:left="1107" w:hanging="567"/>
      </w:pPr>
      <w:rPr>
        <w:rFonts w:ascii="Times New Roman" w:hAnsi="TimesLT" w:hint="default"/>
      </w:rPr>
    </w:lvl>
    <w:lvl w:ilvl="1" w:tplc="857EA38A">
      <w:start w:val="4"/>
      <w:numFmt w:val="bullet"/>
      <w:lvlText w:val="-"/>
      <w:lvlJc w:val="left"/>
      <w:pPr>
        <w:tabs>
          <w:tab w:val="num" w:pos="1980"/>
        </w:tabs>
        <w:ind w:left="1980" w:hanging="360"/>
      </w:pPr>
      <w:rPr>
        <w:rFont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2D514561"/>
    <w:multiLevelType w:val="hybridMultilevel"/>
    <w:tmpl w:val="B376630E"/>
    <w:lvl w:ilvl="0" w:tplc="0AF26A9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384023"/>
    <w:multiLevelType w:val="hybridMultilevel"/>
    <w:tmpl w:val="695C565A"/>
    <w:lvl w:ilvl="0" w:tplc="0AF26A9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E65512"/>
    <w:multiLevelType w:val="hybridMultilevel"/>
    <w:tmpl w:val="688E6850"/>
    <w:lvl w:ilvl="0" w:tplc="EA6CEA2C">
      <w:start w:val="2"/>
      <w:numFmt w:val="bullet"/>
      <w:lvlText w:val=""/>
      <w:lvlJc w:val="left"/>
      <w:pPr>
        <w:tabs>
          <w:tab w:val="num" w:pos="360"/>
        </w:tabs>
        <w:ind w:left="360" w:hanging="360"/>
      </w:pPr>
      <w:rPr>
        <w:rFonts w:ascii="Symbol" w:hAnsi="Symbol" w:hint="default"/>
        <w:color w:val="auto"/>
        <w:u w:val="none" w:color="000000"/>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F5052A"/>
    <w:multiLevelType w:val="hybridMultilevel"/>
    <w:tmpl w:val="887C6C46"/>
    <w:lvl w:ilvl="0" w:tplc="93D60A2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E5B4C"/>
    <w:multiLevelType w:val="hybridMultilevel"/>
    <w:tmpl w:val="8DE069A2"/>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B75137"/>
    <w:multiLevelType w:val="hybridMultilevel"/>
    <w:tmpl w:val="FF226ECE"/>
    <w:lvl w:ilvl="0" w:tplc="953E10CA">
      <w:start w:val="1"/>
      <w:numFmt w:val="bullet"/>
      <w:lvlText w:val=""/>
      <w:legacy w:legacy="1" w:legacySpace="0" w:legacyIndent="360"/>
      <w:lvlJc w:val="left"/>
      <w:pPr>
        <w:ind w:left="360" w:hanging="360"/>
      </w:pPr>
      <w:rPr>
        <w:rFonts w:ascii="Symbol" w:hAnsi="Symbol" w:hint="default"/>
      </w:rPr>
    </w:lvl>
    <w:lvl w:ilvl="1" w:tplc="66183906" w:tentative="1">
      <w:start w:val="1"/>
      <w:numFmt w:val="bullet"/>
      <w:lvlText w:val="o"/>
      <w:lvlJc w:val="left"/>
      <w:pPr>
        <w:tabs>
          <w:tab w:val="num" w:pos="1440"/>
        </w:tabs>
        <w:ind w:left="1440" w:hanging="360"/>
      </w:pPr>
      <w:rPr>
        <w:rFonts w:ascii="Courier New" w:hAnsi="Courier New" w:hint="default"/>
      </w:rPr>
    </w:lvl>
    <w:lvl w:ilvl="2" w:tplc="E830FE3A" w:tentative="1">
      <w:start w:val="1"/>
      <w:numFmt w:val="bullet"/>
      <w:lvlText w:val=""/>
      <w:lvlJc w:val="left"/>
      <w:pPr>
        <w:tabs>
          <w:tab w:val="num" w:pos="2160"/>
        </w:tabs>
        <w:ind w:left="2160" w:hanging="360"/>
      </w:pPr>
      <w:rPr>
        <w:rFonts w:ascii="Wingdings" w:hAnsi="Wingdings" w:hint="default"/>
      </w:rPr>
    </w:lvl>
    <w:lvl w:ilvl="3" w:tplc="9E489D60" w:tentative="1">
      <w:start w:val="1"/>
      <w:numFmt w:val="bullet"/>
      <w:lvlText w:val=""/>
      <w:lvlJc w:val="left"/>
      <w:pPr>
        <w:tabs>
          <w:tab w:val="num" w:pos="2880"/>
        </w:tabs>
        <w:ind w:left="2880" w:hanging="360"/>
      </w:pPr>
      <w:rPr>
        <w:rFonts w:ascii="Symbol" w:hAnsi="Symbol" w:hint="default"/>
      </w:rPr>
    </w:lvl>
    <w:lvl w:ilvl="4" w:tplc="0E60EA9C" w:tentative="1">
      <w:start w:val="1"/>
      <w:numFmt w:val="bullet"/>
      <w:lvlText w:val="o"/>
      <w:lvlJc w:val="left"/>
      <w:pPr>
        <w:tabs>
          <w:tab w:val="num" w:pos="3600"/>
        </w:tabs>
        <w:ind w:left="3600" w:hanging="360"/>
      </w:pPr>
      <w:rPr>
        <w:rFonts w:ascii="Courier New" w:hAnsi="Courier New" w:hint="default"/>
      </w:rPr>
    </w:lvl>
    <w:lvl w:ilvl="5" w:tplc="F5B243AE" w:tentative="1">
      <w:start w:val="1"/>
      <w:numFmt w:val="bullet"/>
      <w:lvlText w:val=""/>
      <w:lvlJc w:val="left"/>
      <w:pPr>
        <w:tabs>
          <w:tab w:val="num" w:pos="4320"/>
        </w:tabs>
        <w:ind w:left="4320" w:hanging="360"/>
      </w:pPr>
      <w:rPr>
        <w:rFonts w:ascii="Wingdings" w:hAnsi="Wingdings" w:hint="default"/>
      </w:rPr>
    </w:lvl>
    <w:lvl w:ilvl="6" w:tplc="BA8AC14E" w:tentative="1">
      <w:start w:val="1"/>
      <w:numFmt w:val="bullet"/>
      <w:lvlText w:val=""/>
      <w:lvlJc w:val="left"/>
      <w:pPr>
        <w:tabs>
          <w:tab w:val="num" w:pos="5040"/>
        </w:tabs>
        <w:ind w:left="5040" w:hanging="360"/>
      </w:pPr>
      <w:rPr>
        <w:rFonts w:ascii="Symbol" w:hAnsi="Symbol" w:hint="default"/>
      </w:rPr>
    </w:lvl>
    <w:lvl w:ilvl="7" w:tplc="63EEFC3E" w:tentative="1">
      <w:start w:val="1"/>
      <w:numFmt w:val="bullet"/>
      <w:lvlText w:val="o"/>
      <w:lvlJc w:val="left"/>
      <w:pPr>
        <w:tabs>
          <w:tab w:val="num" w:pos="5760"/>
        </w:tabs>
        <w:ind w:left="5760" w:hanging="360"/>
      </w:pPr>
      <w:rPr>
        <w:rFonts w:ascii="Courier New" w:hAnsi="Courier New" w:hint="default"/>
      </w:rPr>
    </w:lvl>
    <w:lvl w:ilvl="8" w:tplc="6E04FF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CA6B4C"/>
    <w:multiLevelType w:val="hybridMultilevel"/>
    <w:tmpl w:val="3EC8F9AE"/>
    <w:lvl w:ilvl="0" w:tplc="A670CA3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DC0C4A"/>
    <w:multiLevelType w:val="hybridMultilevel"/>
    <w:tmpl w:val="633E9E26"/>
    <w:lvl w:ilvl="0" w:tplc="E6088000">
      <w:start w:val="4"/>
      <w:numFmt w:val="bullet"/>
      <w:lvlText w:val=""/>
      <w:lvlJc w:val="left"/>
      <w:pPr>
        <w:tabs>
          <w:tab w:val="num" w:pos="927"/>
        </w:tabs>
        <w:ind w:left="927" w:hanging="567"/>
      </w:pPr>
      <w:rPr>
        <w:rFonts w:ascii="Symbol" w:hAnsi="Symbol" w:hint="default"/>
        <w:sz w:val="16"/>
      </w:rPr>
    </w:lvl>
    <w:lvl w:ilvl="1" w:tplc="E3C23346" w:tentative="1">
      <w:start w:val="1"/>
      <w:numFmt w:val="bullet"/>
      <w:lvlText w:val="o"/>
      <w:lvlJc w:val="left"/>
      <w:pPr>
        <w:tabs>
          <w:tab w:val="num" w:pos="1440"/>
        </w:tabs>
        <w:ind w:left="1440" w:hanging="360"/>
      </w:pPr>
      <w:rPr>
        <w:rFonts w:ascii="Courier New" w:hAnsi="Courier New" w:hint="default"/>
      </w:rPr>
    </w:lvl>
    <w:lvl w:ilvl="2" w:tplc="8A96195A" w:tentative="1">
      <w:start w:val="1"/>
      <w:numFmt w:val="bullet"/>
      <w:lvlText w:val=""/>
      <w:lvlJc w:val="left"/>
      <w:pPr>
        <w:tabs>
          <w:tab w:val="num" w:pos="2160"/>
        </w:tabs>
        <w:ind w:left="2160" w:hanging="360"/>
      </w:pPr>
      <w:rPr>
        <w:rFonts w:ascii="Wingdings" w:hAnsi="Wingdings" w:hint="default"/>
      </w:rPr>
    </w:lvl>
    <w:lvl w:ilvl="3" w:tplc="DAC07868" w:tentative="1">
      <w:start w:val="1"/>
      <w:numFmt w:val="bullet"/>
      <w:lvlText w:val=""/>
      <w:lvlJc w:val="left"/>
      <w:pPr>
        <w:tabs>
          <w:tab w:val="num" w:pos="2880"/>
        </w:tabs>
        <w:ind w:left="2880" w:hanging="360"/>
      </w:pPr>
      <w:rPr>
        <w:rFonts w:ascii="Symbol" w:hAnsi="Symbol" w:hint="default"/>
      </w:rPr>
    </w:lvl>
    <w:lvl w:ilvl="4" w:tplc="AA8ADDDA" w:tentative="1">
      <w:start w:val="1"/>
      <w:numFmt w:val="bullet"/>
      <w:lvlText w:val="o"/>
      <w:lvlJc w:val="left"/>
      <w:pPr>
        <w:tabs>
          <w:tab w:val="num" w:pos="3600"/>
        </w:tabs>
        <w:ind w:left="3600" w:hanging="360"/>
      </w:pPr>
      <w:rPr>
        <w:rFonts w:ascii="Courier New" w:hAnsi="Courier New" w:hint="default"/>
      </w:rPr>
    </w:lvl>
    <w:lvl w:ilvl="5" w:tplc="9A4CF3DC" w:tentative="1">
      <w:start w:val="1"/>
      <w:numFmt w:val="bullet"/>
      <w:lvlText w:val=""/>
      <w:lvlJc w:val="left"/>
      <w:pPr>
        <w:tabs>
          <w:tab w:val="num" w:pos="4320"/>
        </w:tabs>
        <w:ind w:left="4320" w:hanging="360"/>
      </w:pPr>
      <w:rPr>
        <w:rFonts w:ascii="Wingdings" w:hAnsi="Wingdings" w:hint="default"/>
      </w:rPr>
    </w:lvl>
    <w:lvl w:ilvl="6" w:tplc="CD585C4C" w:tentative="1">
      <w:start w:val="1"/>
      <w:numFmt w:val="bullet"/>
      <w:lvlText w:val=""/>
      <w:lvlJc w:val="left"/>
      <w:pPr>
        <w:tabs>
          <w:tab w:val="num" w:pos="5040"/>
        </w:tabs>
        <w:ind w:left="5040" w:hanging="360"/>
      </w:pPr>
      <w:rPr>
        <w:rFonts w:ascii="Symbol" w:hAnsi="Symbol" w:hint="default"/>
      </w:rPr>
    </w:lvl>
    <w:lvl w:ilvl="7" w:tplc="68F4FA3E" w:tentative="1">
      <w:start w:val="1"/>
      <w:numFmt w:val="bullet"/>
      <w:lvlText w:val="o"/>
      <w:lvlJc w:val="left"/>
      <w:pPr>
        <w:tabs>
          <w:tab w:val="num" w:pos="5760"/>
        </w:tabs>
        <w:ind w:left="5760" w:hanging="360"/>
      </w:pPr>
      <w:rPr>
        <w:rFonts w:ascii="Courier New" w:hAnsi="Courier New" w:hint="default"/>
      </w:rPr>
    </w:lvl>
    <w:lvl w:ilvl="8" w:tplc="C5C6C5A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9337D0"/>
    <w:multiLevelType w:val="hybridMultilevel"/>
    <w:tmpl w:val="3C2484AE"/>
    <w:lvl w:ilvl="0" w:tplc="93D60A2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3D02AA"/>
    <w:multiLevelType w:val="hybridMultilevel"/>
    <w:tmpl w:val="BA88AA38"/>
    <w:lvl w:ilvl="0" w:tplc="93D60A2C">
      <w:start w:val="2"/>
      <w:numFmt w:val="bullet"/>
      <w:lvlText w:val="-"/>
      <w:lvlJc w:val="left"/>
      <w:pPr>
        <w:tabs>
          <w:tab w:val="num" w:pos="573"/>
        </w:tabs>
        <w:ind w:left="573" w:hanging="57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C77669"/>
    <w:multiLevelType w:val="hybridMultilevel"/>
    <w:tmpl w:val="BADACE8C"/>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3"/>
  </w:num>
  <w:num w:numId="4">
    <w:abstractNumId w:val="19"/>
  </w:num>
  <w:num w:numId="5">
    <w:abstractNumId w:val="14"/>
  </w:num>
  <w:num w:numId="6">
    <w:abstractNumId w:val="15"/>
  </w:num>
  <w:num w:numId="7">
    <w:abstractNumId w:val="22"/>
  </w:num>
  <w:num w:numId="8">
    <w:abstractNumId w:val="11"/>
  </w:num>
  <w:num w:numId="9">
    <w:abstractNumId w:val="2"/>
  </w:num>
  <w:num w:numId="10">
    <w:abstractNumId w:val="13"/>
  </w:num>
  <w:num w:numId="11">
    <w:abstractNumId w:val="10"/>
  </w:num>
  <w:num w:numId="12">
    <w:abstractNumId w:val="0"/>
  </w:num>
  <w:num w:numId="13">
    <w:abstractNumId w:val="1"/>
  </w:num>
  <w:num w:numId="14">
    <w:abstractNumId w:val="6"/>
  </w:num>
  <w:num w:numId="15">
    <w:abstractNumId w:val="9"/>
  </w:num>
  <w:num w:numId="16">
    <w:abstractNumId w:val="20"/>
  </w:num>
  <w:num w:numId="17">
    <w:abstractNumId w:val="7"/>
  </w:num>
  <w:num w:numId="18">
    <w:abstractNumId w:val="21"/>
  </w:num>
  <w:num w:numId="19">
    <w:abstractNumId w:val="26"/>
  </w:num>
  <w:num w:numId="20">
    <w:abstractNumId w:val="18"/>
  </w:num>
  <w:num w:numId="21">
    <w:abstractNumId w:val="4"/>
  </w:num>
  <w:num w:numId="22">
    <w:abstractNumId w:val="16"/>
  </w:num>
  <w:num w:numId="23">
    <w:abstractNumId w:val="24"/>
  </w:num>
  <w:num w:numId="24">
    <w:abstractNumId w:val="24"/>
  </w:num>
  <w:num w:numId="25">
    <w:abstractNumId w:val="3"/>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1"/>
  <w:activeWritingStyle w:appName="MSWord" w:lang="es-ES" w:vendorID="64" w:dllVersion="6" w:nlCheck="1" w:checkStyle="0"/>
  <w:activeWritingStyle w:appName="MSWord" w:lang="en-GB" w:vendorID="64" w:dllVersion="6" w:nlCheck="1" w:checkStyle="1"/>
  <w:activeWritingStyle w:appName="MSWord" w:lang="fr-FR" w:vendorID="64" w:dllVersion="6" w:nlCheck="1" w:checkStyle="0"/>
  <w:activeWritingStyle w:appName="MSWord" w:lang="de-CH" w:vendorID="64" w:dllVersion="6" w:nlCheck="1" w:checkStyle="0"/>
  <w:activeWritingStyle w:appName="MSWord" w:lang="fr-CH" w:vendorID="64" w:dllVersion="6" w:nlCheck="1" w:checkStyle="0"/>
  <w:activeWritingStyle w:appName="MSWord" w:lang="pt-BR" w:vendorID="64" w:dllVersion="6" w:nlCheck="1" w:checkStyle="0"/>
  <w:activeWritingStyle w:appName="MSWord" w:lang="lt-LT" w:vendorID="71" w:dllVersion="512" w:checkStyle="1"/>
  <w:activeWritingStyle w:appName="MSWord" w:lang="fr-FR" w:vendorID="9" w:dllVersion="512" w:checkStyle="1"/>
  <w:activeWritingStyle w:appName="MSWord" w:lang="cs-CZ" w:vendorID="7" w:dllVersion="514" w:checkStyle="1"/>
  <w:activeWritingStyle w:appName="MSWord" w:lang="it-IT" w:vendorID="3" w:dllVersion="517"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E603F3"/>
    <w:rsid w:val="00001997"/>
    <w:rsid w:val="00007509"/>
    <w:rsid w:val="00007D40"/>
    <w:rsid w:val="00013A4F"/>
    <w:rsid w:val="00013C8F"/>
    <w:rsid w:val="00017B02"/>
    <w:rsid w:val="0003209B"/>
    <w:rsid w:val="00035D82"/>
    <w:rsid w:val="0004181C"/>
    <w:rsid w:val="00060C93"/>
    <w:rsid w:val="00063D2B"/>
    <w:rsid w:val="00065185"/>
    <w:rsid w:val="00073EF6"/>
    <w:rsid w:val="00084C08"/>
    <w:rsid w:val="000850D9"/>
    <w:rsid w:val="0008715F"/>
    <w:rsid w:val="00087739"/>
    <w:rsid w:val="000B10EE"/>
    <w:rsid w:val="000B5C81"/>
    <w:rsid w:val="000C2824"/>
    <w:rsid w:val="000C6A90"/>
    <w:rsid w:val="000D65C3"/>
    <w:rsid w:val="000D77AA"/>
    <w:rsid w:val="000E0421"/>
    <w:rsid w:val="000E39AE"/>
    <w:rsid w:val="0010126A"/>
    <w:rsid w:val="001021B4"/>
    <w:rsid w:val="001026A5"/>
    <w:rsid w:val="00102E53"/>
    <w:rsid w:val="00112871"/>
    <w:rsid w:val="001217E1"/>
    <w:rsid w:val="001225E8"/>
    <w:rsid w:val="001351CF"/>
    <w:rsid w:val="00143B37"/>
    <w:rsid w:val="00150A2A"/>
    <w:rsid w:val="00154273"/>
    <w:rsid w:val="00157E9E"/>
    <w:rsid w:val="001608BA"/>
    <w:rsid w:val="00166600"/>
    <w:rsid w:val="00167953"/>
    <w:rsid w:val="0019123D"/>
    <w:rsid w:val="00194A59"/>
    <w:rsid w:val="001A0E98"/>
    <w:rsid w:val="001A1E1F"/>
    <w:rsid w:val="001A7349"/>
    <w:rsid w:val="001C0042"/>
    <w:rsid w:val="001C31F4"/>
    <w:rsid w:val="001D29C4"/>
    <w:rsid w:val="001D5BCD"/>
    <w:rsid w:val="001E6883"/>
    <w:rsid w:val="001F7DD4"/>
    <w:rsid w:val="001F7EF1"/>
    <w:rsid w:val="00200F8F"/>
    <w:rsid w:val="00206E32"/>
    <w:rsid w:val="00212BE4"/>
    <w:rsid w:val="00213980"/>
    <w:rsid w:val="00215DCE"/>
    <w:rsid w:val="00217190"/>
    <w:rsid w:val="00227CEF"/>
    <w:rsid w:val="00230E00"/>
    <w:rsid w:val="00232682"/>
    <w:rsid w:val="00233304"/>
    <w:rsid w:val="0023424D"/>
    <w:rsid w:val="00247ABA"/>
    <w:rsid w:val="002629E7"/>
    <w:rsid w:val="0027611D"/>
    <w:rsid w:val="00283284"/>
    <w:rsid w:val="002871F6"/>
    <w:rsid w:val="002A0856"/>
    <w:rsid w:val="002A12C3"/>
    <w:rsid w:val="002A1B7D"/>
    <w:rsid w:val="002A2A84"/>
    <w:rsid w:val="002A3209"/>
    <w:rsid w:val="002A6D9B"/>
    <w:rsid w:val="002C261F"/>
    <w:rsid w:val="002C39BF"/>
    <w:rsid w:val="002C3C11"/>
    <w:rsid w:val="002C5EB1"/>
    <w:rsid w:val="002D4F20"/>
    <w:rsid w:val="002D6D55"/>
    <w:rsid w:val="002E1833"/>
    <w:rsid w:val="002F02E0"/>
    <w:rsid w:val="00314B70"/>
    <w:rsid w:val="0032055A"/>
    <w:rsid w:val="003215B6"/>
    <w:rsid w:val="003258F0"/>
    <w:rsid w:val="003314A5"/>
    <w:rsid w:val="00335718"/>
    <w:rsid w:val="00341997"/>
    <w:rsid w:val="003429B0"/>
    <w:rsid w:val="00354B3F"/>
    <w:rsid w:val="00355662"/>
    <w:rsid w:val="00356E03"/>
    <w:rsid w:val="003646A0"/>
    <w:rsid w:val="00366610"/>
    <w:rsid w:val="00376D16"/>
    <w:rsid w:val="0038165F"/>
    <w:rsid w:val="003A700A"/>
    <w:rsid w:val="003D1DC0"/>
    <w:rsid w:val="003D446A"/>
    <w:rsid w:val="003D63AF"/>
    <w:rsid w:val="003D659E"/>
    <w:rsid w:val="003F020D"/>
    <w:rsid w:val="003F1265"/>
    <w:rsid w:val="0041086C"/>
    <w:rsid w:val="00421865"/>
    <w:rsid w:val="00422AFE"/>
    <w:rsid w:val="00445546"/>
    <w:rsid w:val="0044576E"/>
    <w:rsid w:val="00447EBD"/>
    <w:rsid w:val="0045025D"/>
    <w:rsid w:val="00450535"/>
    <w:rsid w:val="004521D1"/>
    <w:rsid w:val="00457A05"/>
    <w:rsid w:val="004664F5"/>
    <w:rsid w:val="00466784"/>
    <w:rsid w:val="004815F2"/>
    <w:rsid w:val="00481ECF"/>
    <w:rsid w:val="00482D39"/>
    <w:rsid w:val="0049284F"/>
    <w:rsid w:val="00494F6C"/>
    <w:rsid w:val="004A4FB0"/>
    <w:rsid w:val="004A5125"/>
    <w:rsid w:val="004A75B3"/>
    <w:rsid w:val="004A7CD0"/>
    <w:rsid w:val="004B65D7"/>
    <w:rsid w:val="004C641D"/>
    <w:rsid w:val="004C7E9C"/>
    <w:rsid w:val="004D1074"/>
    <w:rsid w:val="004D43B8"/>
    <w:rsid w:val="004D7FEF"/>
    <w:rsid w:val="004E0C02"/>
    <w:rsid w:val="00510466"/>
    <w:rsid w:val="0051747C"/>
    <w:rsid w:val="005205BF"/>
    <w:rsid w:val="00521800"/>
    <w:rsid w:val="0052239B"/>
    <w:rsid w:val="00523230"/>
    <w:rsid w:val="005248F1"/>
    <w:rsid w:val="0052607B"/>
    <w:rsid w:val="005342CB"/>
    <w:rsid w:val="0054081E"/>
    <w:rsid w:val="005415DD"/>
    <w:rsid w:val="0054650F"/>
    <w:rsid w:val="005469C9"/>
    <w:rsid w:val="00551935"/>
    <w:rsid w:val="00552E8A"/>
    <w:rsid w:val="00554A58"/>
    <w:rsid w:val="005571AF"/>
    <w:rsid w:val="0056017F"/>
    <w:rsid w:val="00561344"/>
    <w:rsid w:val="00565F91"/>
    <w:rsid w:val="00576B7B"/>
    <w:rsid w:val="00580118"/>
    <w:rsid w:val="005874CF"/>
    <w:rsid w:val="005A2790"/>
    <w:rsid w:val="005B09C8"/>
    <w:rsid w:val="005D03AF"/>
    <w:rsid w:val="005D095D"/>
    <w:rsid w:val="005E2408"/>
    <w:rsid w:val="005E7329"/>
    <w:rsid w:val="005F3324"/>
    <w:rsid w:val="005F438A"/>
    <w:rsid w:val="00604FB5"/>
    <w:rsid w:val="00610811"/>
    <w:rsid w:val="00620092"/>
    <w:rsid w:val="00622F4A"/>
    <w:rsid w:val="006246F5"/>
    <w:rsid w:val="00624914"/>
    <w:rsid w:val="00626033"/>
    <w:rsid w:val="006262D8"/>
    <w:rsid w:val="00630557"/>
    <w:rsid w:val="00631111"/>
    <w:rsid w:val="0064421D"/>
    <w:rsid w:val="00646295"/>
    <w:rsid w:val="00664BDC"/>
    <w:rsid w:val="006703D1"/>
    <w:rsid w:val="0067213F"/>
    <w:rsid w:val="00681300"/>
    <w:rsid w:val="00682ECC"/>
    <w:rsid w:val="006846B3"/>
    <w:rsid w:val="00686F05"/>
    <w:rsid w:val="006906B4"/>
    <w:rsid w:val="00696C3E"/>
    <w:rsid w:val="006A77E6"/>
    <w:rsid w:val="006C33F9"/>
    <w:rsid w:val="006C3BE8"/>
    <w:rsid w:val="006C716F"/>
    <w:rsid w:val="006D33A7"/>
    <w:rsid w:val="006D4A30"/>
    <w:rsid w:val="007012A8"/>
    <w:rsid w:val="007101A8"/>
    <w:rsid w:val="00710E56"/>
    <w:rsid w:val="0071207D"/>
    <w:rsid w:val="00715A59"/>
    <w:rsid w:val="007202C8"/>
    <w:rsid w:val="00721934"/>
    <w:rsid w:val="007320EF"/>
    <w:rsid w:val="0073546C"/>
    <w:rsid w:val="0073583E"/>
    <w:rsid w:val="00746EEC"/>
    <w:rsid w:val="00770DD2"/>
    <w:rsid w:val="00773425"/>
    <w:rsid w:val="007738D8"/>
    <w:rsid w:val="00776292"/>
    <w:rsid w:val="00780E2F"/>
    <w:rsid w:val="00781125"/>
    <w:rsid w:val="007848A0"/>
    <w:rsid w:val="0079178F"/>
    <w:rsid w:val="0079438A"/>
    <w:rsid w:val="00797C0E"/>
    <w:rsid w:val="007A4FF7"/>
    <w:rsid w:val="007B14A0"/>
    <w:rsid w:val="007B48C2"/>
    <w:rsid w:val="007C33BD"/>
    <w:rsid w:val="007D4981"/>
    <w:rsid w:val="007D7B1F"/>
    <w:rsid w:val="007E0278"/>
    <w:rsid w:val="007F1F0A"/>
    <w:rsid w:val="00801D45"/>
    <w:rsid w:val="00801D7B"/>
    <w:rsid w:val="00802840"/>
    <w:rsid w:val="008036B6"/>
    <w:rsid w:val="008043E8"/>
    <w:rsid w:val="0081284B"/>
    <w:rsid w:val="00812F8D"/>
    <w:rsid w:val="00821BBA"/>
    <w:rsid w:val="00827C17"/>
    <w:rsid w:val="00834171"/>
    <w:rsid w:val="008360C6"/>
    <w:rsid w:val="0084656D"/>
    <w:rsid w:val="008476B8"/>
    <w:rsid w:val="008537AC"/>
    <w:rsid w:val="008559A5"/>
    <w:rsid w:val="0086027D"/>
    <w:rsid w:val="00870ACF"/>
    <w:rsid w:val="00871C72"/>
    <w:rsid w:val="008759DF"/>
    <w:rsid w:val="00876590"/>
    <w:rsid w:val="00880A2D"/>
    <w:rsid w:val="008952B6"/>
    <w:rsid w:val="00897244"/>
    <w:rsid w:val="008A4B3F"/>
    <w:rsid w:val="008B45F8"/>
    <w:rsid w:val="008B56F2"/>
    <w:rsid w:val="008D0389"/>
    <w:rsid w:val="008D06A7"/>
    <w:rsid w:val="008D42AF"/>
    <w:rsid w:val="008D67C4"/>
    <w:rsid w:val="008E3A7C"/>
    <w:rsid w:val="008E5C19"/>
    <w:rsid w:val="008F0B4D"/>
    <w:rsid w:val="008F249D"/>
    <w:rsid w:val="008F29F9"/>
    <w:rsid w:val="008F3FA6"/>
    <w:rsid w:val="008F570A"/>
    <w:rsid w:val="008F5C1A"/>
    <w:rsid w:val="00902334"/>
    <w:rsid w:val="009532AD"/>
    <w:rsid w:val="009573B6"/>
    <w:rsid w:val="00957B98"/>
    <w:rsid w:val="00960689"/>
    <w:rsid w:val="00961BF9"/>
    <w:rsid w:val="009640B6"/>
    <w:rsid w:val="00965B45"/>
    <w:rsid w:val="009712BB"/>
    <w:rsid w:val="00975D5C"/>
    <w:rsid w:val="0097761D"/>
    <w:rsid w:val="009800D0"/>
    <w:rsid w:val="009835EA"/>
    <w:rsid w:val="009A4400"/>
    <w:rsid w:val="009B71C0"/>
    <w:rsid w:val="009C0C90"/>
    <w:rsid w:val="009C3380"/>
    <w:rsid w:val="009D26B7"/>
    <w:rsid w:val="009D4947"/>
    <w:rsid w:val="009E2F5D"/>
    <w:rsid w:val="009E50E3"/>
    <w:rsid w:val="009E5132"/>
    <w:rsid w:val="009E634F"/>
    <w:rsid w:val="00A01420"/>
    <w:rsid w:val="00A100DF"/>
    <w:rsid w:val="00A211D1"/>
    <w:rsid w:val="00A227E7"/>
    <w:rsid w:val="00A24D24"/>
    <w:rsid w:val="00A27A58"/>
    <w:rsid w:val="00A42D00"/>
    <w:rsid w:val="00A61375"/>
    <w:rsid w:val="00A63FAB"/>
    <w:rsid w:val="00A70D12"/>
    <w:rsid w:val="00A74343"/>
    <w:rsid w:val="00A82CE2"/>
    <w:rsid w:val="00A82D78"/>
    <w:rsid w:val="00A95684"/>
    <w:rsid w:val="00AB054A"/>
    <w:rsid w:val="00AB729C"/>
    <w:rsid w:val="00AC2E3D"/>
    <w:rsid w:val="00AC3443"/>
    <w:rsid w:val="00AD2068"/>
    <w:rsid w:val="00AD6FDF"/>
    <w:rsid w:val="00AD788F"/>
    <w:rsid w:val="00AE7200"/>
    <w:rsid w:val="00AF5EBA"/>
    <w:rsid w:val="00B006ED"/>
    <w:rsid w:val="00B10DFC"/>
    <w:rsid w:val="00B116DA"/>
    <w:rsid w:val="00B17DEF"/>
    <w:rsid w:val="00B23D47"/>
    <w:rsid w:val="00B25B65"/>
    <w:rsid w:val="00B331A5"/>
    <w:rsid w:val="00B33625"/>
    <w:rsid w:val="00B3522A"/>
    <w:rsid w:val="00B35335"/>
    <w:rsid w:val="00B37342"/>
    <w:rsid w:val="00B37845"/>
    <w:rsid w:val="00B44A21"/>
    <w:rsid w:val="00B44EBA"/>
    <w:rsid w:val="00B55EA2"/>
    <w:rsid w:val="00B57EAC"/>
    <w:rsid w:val="00B75E0A"/>
    <w:rsid w:val="00B762C6"/>
    <w:rsid w:val="00B80194"/>
    <w:rsid w:val="00B82691"/>
    <w:rsid w:val="00B83A74"/>
    <w:rsid w:val="00B85522"/>
    <w:rsid w:val="00B85874"/>
    <w:rsid w:val="00B8755F"/>
    <w:rsid w:val="00B93D49"/>
    <w:rsid w:val="00BB2310"/>
    <w:rsid w:val="00BB3EC0"/>
    <w:rsid w:val="00BB5232"/>
    <w:rsid w:val="00BB6B48"/>
    <w:rsid w:val="00BC035E"/>
    <w:rsid w:val="00BD028D"/>
    <w:rsid w:val="00BD4B97"/>
    <w:rsid w:val="00BD4C35"/>
    <w:rsid w:val="00BD72EA"/>
    <w:rsid w:val="00BE0AA3"/>
    <w:rsid w:val="00BE4094"/>
    <w:rsid w:val="00BF0DEC"/>
    <w:rsid w:val="00BF42B1"/>
    <w:rsid w:val="00BF5CCC"/>
    <w:rsid w:val="00BF6B59"/>
    <w:rsid w:val="00BF7A94"/>
    <w:rsid w:val="00BF7B5C"/>
    <w:rsid w:val="00C02151"/>
    <w:rsid w:val="00C03013"/>
    <w:rsid w:val="00C07D6D"/>
    <w:rsid w:val="00C1534A"/>
    <w:rsid w:val="00C17AD5"/>
    <w:rsid w:val="00C2321B"/>
    <w:rsid w:val="00C2588A"/>
    <w:rsid w:val="00C3077F"/>
    <w:rsid w:val="00C33374"/>
    <w:rsid w:val="00C33F24"/>
    <w:rsid w:val="00C34846"/>
    <w:rsid w:val="00C42121"/>
    <w:rsid w:val="00C511A2"/>
    <w:rsid w:val="00C522F4"/>
    <w:rsid w:val="00C5338D"/>
    <w:rsid w:val="00C6063D"/>
    <w:rsid w:val="00C61695"/>
    <w:rsid w:val="00C669BB"/>
    <w:rsid w:val="00C71B57"/>
    <w:rsid w:val="00C7776B"/>
    <w:rsid w:val="00C80989"/>
    <w:rsid w:val="00C80D34"/>
    <w:rsid w:val="00C92C30"/>
    <w:rsid w:val="00C94049"/>
    <w:rsid w:val="00C94C5B"/>
    <w:rsid w:val="00CA1624"/>
    <w:rsid w:val="00CB045F"/>
    <w:rsid w:val="00CC0595"/>
    <w:rsid w:val="00CC302C"/>
    <w:rsid w:val="00CC3C10"/>
    <w:rsid w:val="00CC3FAA"/>
    <w:rsid w:val="00CD2955"/>
    <w:rsid w:val="00CD552F"/>
    <w:rsid w:val="00CF17FF"/>
    <w:rsid w:val="00CF5050"/>
    <w:rsid w:val="00CF6A2E"/>
    <w:rsid w:val="00D02559"/>
    <w:rsid w:val="00D0358B"/>
    <w:rsid w:val="00D108D8"/>
    <w:rsid w:val="00D12F8B"/>
    <w:rsid w:val="00D14C19"/>
    <w:rsid w:val="00D20DD9"/>
    <w:rsid w:val="00D250DF"/>
    <w:rsid w:val="00D25A6C"/>
    <w:rsid w:val="00D31890"/>
    <w:rsid w:val="00D4067F"/>
    <w:rsid w:val="00D41CF7"/>
    <w:rsid w:val="00D437D5"/>
    <w:rsid w:val="00D5443A"/>
    <w:rsid w:val="00D5746D"/>
    <w:rsid w:val="00D62405"/>
    <w:rsid w:val="00D704D5"/>
    <w:rsid w:val="00D779F2"/>
    <w:rsid w:val="00D8109E"/>
    <w:rsid w:val="00D82342"/>
    <w:rsid w:val="00D906CC"/>
    <w:rsid w:val="00D91852"/>
    <w:rsid w:val="00D9339F"/>
    <w:rsid w:val="00DA08B3"/>
    <w:rsid w:val="00DA0CB5"/>
    <w:rsid w:val="00DA4789"/>
    <w:rsid w:val="00DA5E3A"/>
    <w:rsid w:val="00DD0A16"/>
    <w:rsid w:val="00DE093F"/>
    <w:rsid w:val="00DE16D0"/>
    <w:rsid w:val="00DE44E4"/>
    <w:rsid w:val="00DF3C8B"/>
    <w:rsid w:val="00DF4453"/>
    <w:rsid w:val="00E029D0"/>
    <w:rsid w:val="00E03A0A"/>
    <w:rsid w:val="00E05249"/>
    <w:rsid w:val="00E2201C"/>
    <w:rsid w:val="00E319FE"/>
    <w:rsid w:val="00E33F51"/>
    <w:rsid w:val="00E34C8E"/>
    <w:rsid w:val="00E45943"/>
    <w:rsid w:val="00E51AF2"/>
    <w:rsid w:val="00E544B9"/>
    <w:rsid w:val="00E603F3"/>
    <w:rsid w:val="00E63FCA"/>
    <w:rsid w:val="00E650E4"/>
    <w:rsid w:val="00E70DFE"/>
    <w:rsid w:val="00E71B9A"/>
    <w:rsid w:val="00E7678C"/>
    <w:rsid w:val="00E76D95"/>
    <w:rsid w:val="00E80ADB"/>
    <w:rsid w:val="00E834BC"/>
    <w:rsid w:val="00E837C3"/>
    <w:rsid w:val="00E86869"/>
    <w:rsid w:val="00E902F9"/>
    <w:rsid w:val="00E93FF8"/>
    <w:rsid w:val="00EA2AE1"/>
    <w:rsid w:val="00EA2FF4"/>
    <w:rsid w:val="00EA3C4E"/>
    <w:rsid w:val="00EA6928"/>
    <w:rsid w:val="00EB2867"/>
    <w:rsid w:val="00EB56A9"/>
    <w:rsid w:val="00EB7620"/>
    <w:rsid w:val="00EC1D48"/>
    <w:rsid w:val="00EC518A"/>
    <w:rsid w:val="00ED384E"/>
    <w:rsid w:val="00ED55E7"/>
    <w:rsid w:val="00EE25B9"/>
    <w:rsid w:val="00EE5D6B"/>
    <w:rsid w:val="00EF01BE"/>
    <w:rsid w:val="00EF38FA"/>
    <w:rsid w:val="00EF4C8A"/>
    <w:rsid w:val="00F03DA8"/>
    <w:rsid w:val="00F056D8"/>
    <w:rsid w:val="00F23DDE"/>
    <w:rsid w:val="00F31E5A"/>
    <w:rsid w:val="00F35959"/>
    <w:rsid w:val="00F50991"/>
    <w:rsid w:val="00F53012"/>
    <w:rsid w:val="00F547F9"/>
    <w:rsid w:val="00F57D59"/>
    <w:rsid w:val="00F62CB0"/>
    <w:rsid w:val="00F64558"/>
    <w:rsid w:val="00F64FDC"/>
    <w:rsid w:val="00F66E61"/>
    <w:rsid w:val="00F66FFF"/>
    <w:rsid w:val="00F75D2C"/>
    <w:rsid w:val="00F814EC"/>
    <w:rsid w:val="00F92570"/>
    <w:rsid w:val="00F93FFA"/>
    <w:rsid w:val="00F954EC"/>
    <w:rsid w:val="00FA4259"/>
    <w:rsid w:val="00FB6576"/>
    <w:rsid w:val="00FB70EF"/>
    <w:rsid w:val="00FC1790"/>
    <w:rsid w:val="00FD1AF5"/>
    <w:rsid w:val="00FD5D2B"/>
    <w:rsid w:val="00FE0463"/>
    <w:rsid w:val="00FF3407"/>
    <w:rsid w:val="00FF585E"/>
    <w:rsid w:val="00FF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6307D375"/>
  <w15:chartTrackingRefBased/>
  <w15:docId w15:val="{FDC9FB21-35D7-41C7-ABD5-472198B0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lt-LT"/>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lang w:val="en-US"/>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cs-CZ"/>
    </w:rPr>
  </w:style>
  <w:style w:type="paragraph" w:styleId="Heading3">
    <w:name w:val="heading 3"/>
    <w:basedOn w:val="Normal"/>
    <w:next w:val="Normal"/>
    <w:qFormat/>
    <w:pPr>
      <w:keepNext/>
      <w:keepLines/>
      <w:tabs>
        <w:tab w:val="left" w:pos="567"/>
      </w:tabs>
      <w:spacing w:before="120" w:after="80" w:line="260" w:lineRule="exact"/>
      <w:outlineLvl w:val="2"/>
    </w:pPr>
    <w:rPr>
      <w:b/>
      <w:kern w:val="28"/>
      <w:szCs w:val="20"/>
      <w:lang w:val="en-US"/>
    </w:rPr>
  </w:style>
  <w:style w:type="paragraph" w:styleId="Heading4">
    <w:name w:val="heading 4"/>
    <w:basedOn w:val="Normal"/>
    <w:next w:val="Normal"/>
    <w:link w:val="Heading4Char"/>
    <w:qFormat/>
    <w:pPr>
      <w:keepNext/>
      <w:tabs>
        <w:tab w:val="left" w:pos="567"/>
      </w:tabs>
      <w:spacing w:line="260" w:lineRule="exact"/>
      <w:jc w:val="both"/>
      <w:outlineLvl w:val="3"/>
    </w:pPr>
    <w:rPr>
      <w:b/>
      <w:noProof/>
      <w:sz w:val="22"/>
      <w:szCs w:val="20"/>
      <w:lang w:val="cs-CZ" w:eastAsia="x-none"/>
    </w:rPr>
  </w:style>
  <w:style w:type="paragraph" w:styleId="Heading5">
    <w:name w:val="heading 5"/>
    <w:basedOn w:val="Normal"/>
    <w:next w:val="Normal"/>
    <w:qFormat/>
    <w:pPr>
      <w:keepNext/>
      <w:tabs>
        <w:tab w:val="left" w:pos="567"/>
      </w:tabs>
      <w:spacing w:line="260" w:lineRule="exact"/>
      <w:jc w:val="both"/>
      <w:outlineLvl w:val="4"/>
    </w:pPr>
    <w:rPr>
      <w:noProof/>
      <w:sz w:val="22"/>
      <w:szCs w:val="20"/>
      <w:lang w:val="cs-CZ"/>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cs-CZ"/>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szCs w:val="20"/>
      <w:lang w:val="cs-CZ"/>
    </w:rPr>
  </w:style>
  <w:style w:type="paragraph" w:styleId="Heading8">
    <w:name w:val="heading 8"/>
    <w:basedOn w:val="Normal"/>
    <w:next w:val="Normal"/>
    <w:qFormat/>
    <w:pPr>
      <w:keepNext/>
      <w:tabs>
        <w:tab w:val="left" w:pos="567"/>
      </w:tabs>
      <w:spacing w:line="260" w:lineRule="exact"/>
      <w:ind w:left="567" w:hanging="567"/>
      <w:jc w:val="both"/>
      <w:outlineLvl w:val="7"/>
    </w:pPr>
    <w:rPr>
      <w:b/>
      <w:i/>
      <w:sz w:val="22"/>
      <w:szCs w:val="20"/>
      <w:lang w:val="cs-CZ"/>
    </w:rPr>
  </w:style>
  <w:style w:type="paragraph" w:styleId="Heading9">
    <w:name w:val="heading 9"/>
    <w:basedOn w:val="Normal"/>
    <w:next w:val="Normal"/>
    <w:qFormat/>
    <w:pPr>
      <w:keepNext/>
      <w:tabs>
        <w:tab w:val="left" w:pos="567"/>
      </w:tabs>
      <w:spacing w:line="260" w:lineRule="exact"/>
      <w:jc w:val="both"/>
      <w:outlineLvl w:val="8"/>
    </w:pPr>
    <w:rPr>
      <w:b/>
      <w:i/>
      <w:sz w:val="22"/>
      <w:szCs w:val="20"/>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567" w:hanging="567"/>
    </w:pPr>
    <w:rPr>
      <w:b/>
      <w:color w:val="808080"/>
      <w:sz w:val="22"/>
      <w:szCs w:val="20"/>
      <w:lang w:val="cs-CZ"/>
    </w:rPr>
  </w:style>
  <w:style w:type="paragraph" w:styleId="BodyText">
    <w:name w:val="Body Text"/>
    <w:basedOn w:val="Normal"/>
    <w:pPr>
      <w:tabs>
        <w:tab w:val="left" w:pos="567"/>
      </w:tabs>
      <w:spacing w:line="260" w:lineRule="exact"/>
    </w:pPr>
    <w:rPr>
      <w:b/>
      <w:i/>
      <w:sz w:val="22"/>
      <w:szCs w:val="20"/>
      <w:lang w:val="cs-CZ"/>
    </w:rPr>
  </w:style>
  <w:style w:type="paragraph" w:styleId="BodyTextIndent2">
    <w:name w:val="Body Text Indent 2"/>
    <w:basedOn w:val="Normal"/>
    <w:pPr>
      <w:tabs>
        <w:tab w:val="left" w:pos="567"/>
      </w:tabs>
      <w:spacing w:line="260" w:lineRule="exact"/>
      <w:ind w:left="567" w:hanging="567"/>
      <w:jc w:val="both"/>
    </w:pPr>
    <w:rPr>
      <w:b/>
      <w:sz w:val="22"/>
      <w:szCs w:val="20"/>
      <w:lang w:val="cs-CZ"/>
    </w:rPr>
  </w:style>
  <w:style w:type="paragraph" w:styleId="BodyTextIndent3">
    <w:name w:val="Body Text Indent 3"/>
    <w:basedOn w:val="Normal"/>
    <w:pPr>
      <w:tabs>
        <w:tab w:val="left" w:pos="567"/>
      </w:tabs>
      <w:spacing w:line="260" w:lineRule="exact"/>
      <w:ind w:left="567" w:hanging="567"/>
    </w:pPr>
    <w:rPr>
      <w:i/>
      <w:color w:val="008000"/>
      <w:sz w:val="22"/>
      <w:szCs w:val="20"/>
      <w:lang w:val="cs-CZ"/>
    </w:rPr>
  </w:style>
  <w:style w:type="paragraph" w:styleId="Footer">
    <w:name w:val="footer"/>
    <w:basedOn w:val="Normal"/>
    <w:pPr>
      <w:tabs>
        <w:tab w:val="left" w:pos="567"/>
        <w:tab w:val="center" w:pos="4536"/>
        <w:tab w:val="center" w:pos="8930"/>
      </w:tabs>
    </w:pPr>
    <w:rPr>
      <w:rFonts w:ascii="Helvetica" w:hAnsi="Helvetica"/>
      <w:sz w:val="16"/>
      <w:szCs w:val="20"/>
      <w:lang w:val="cs-CZ"/>
    </w:rPr>
  </w:style>
  <w:style w:type="character" w:styleId="PageNumber">
    <w:name w:val="page number"/>
    <w:basedOn w:val="DefaultParagraphFont"/>
  </w:style>
  <w:style w:type="paragraph" w:styleId="Header">
    <w:name w:val="header"/>
    <w:basedOn w:val="Normal"/>
    <w:pPr>
      <w:tabs>
        <w:tab w:val="left" w:pos="567"/>
        <w:tab w:val="center" w:pos="4153"/>
        <w:tab w:val="right" w:pos="8306"/>
      </w:tabs>
    </w:pPr>
    <w:rPr>
      <w:rFonts w:ascii="Helvetica" w:hAnsi="Helvetica"/>
      <w:sz w:val="20"/>
      <w:szCs w:val="20"/>
      <w:lang w:val="cs-CZ"/>
    </w:rPr>
  </w:style>
  <w:style w:type="paragraph" w:styleId="BlockText">
    <w:name w:val="Block Text"/>
    <w:basedOn w:val="Normal"/>
    <w:pPr>
      <w:tabs>
        <w:tab w:val="left" w:pos="2657"/>
      </w:tabs>
      <w:spacing w:before="120"/>
      <w:ind w:left="-37" w:right="-28"/>
    </w:pPr>
    <w:rPr>
      <w:sz w:val="22"/>
      <w:szCs w:val="20"/>
      <w:lang w:val="cs-CZ"/>
    </w:rPr>
  </w:style>
  <w:style w:type="paragraph" w:styleId="BodyText2">
    <w:name w:val="Body Text 2"/>
    <w:basedOn w:val="Normal"/>
    <w:pPr>
      <w:ind w:left="567" w:hanging="567"/>
    </w:pPr>
    <w:rPr>
      <w:b/>
      <w:sz w:val="22"/>
      <w:szCs w:val="20"/>
      <w:lang w:val="cs-CZ"/>
    </w:rPr>
  </w:style>
  <w:style w:type="paragraph" w:styleId="BodyText3">
    <w:name w:val="Body Text 3"/>
    <w:basedOn w:val="Normal"/>
    <w:pPr>
      <w:tabs>
        <w:tab w:val="left" w:pos="567"/>
      </w:tabs>
      <w:spacing w:line="260" w:lineRule="exact"/>
      <w:jc w:val="both"/>
    </w:pPr>
    <w:rPr>
      <w:b/>
      <w:i/>
      <w:sz w:val="22"/>
      <w:szCs w:val="20"/>
      <w:lang w:val="cs-CZ"/>
    </w:rPr>
  </w:style>
  <w:style w:type="character" w:styleId="CommentReference">
    <w:name w:val="annotation reference"/>
    <w:semiHidden/>
    <w:rPr>
      <w:sz w:val="16"/>
    </w:rPr>
  </w:style>
  <w:style w:type="paragraph" w:styleId="CommentText">
    <w:name w:val="annotation text"/>
    <w:aliases w:val="Comment Text Char1 Char,Comment Text Char Char Char,Comment Text Char1"/>
    <w:basedOn w:val="Normal"/>
    <w:link w:val="CommentTextChar"/>
    <w:pPr>
      <w:tabs>
        <w:tab w:val="left" w:pos="567"/>
      </w:tabs>
      <w:spacing w:line="260" w:lineRule="exact"/>
    </w:pPr>
    <w:rPr>
      <w:sz w:val="20"/>
      <w:szCs w:val="20"/>
      <w:lang w:val="cs-CZ"/>
    </w:rPr>
  </w:style>
  <w:style w:type="paragraph" w:styleId="DocumentMap">
    <w:name w:val="Document Map"/>
    <w:basedOn w:val="Normal"/>
    <w:semiHidden/>
    <w:pPr>
      <w:shd w:val="clear" w:color="auto" w:fill="000080"/>
      <w:tabs>
        <w:tab w:val="left" w:pos="567"/>
      </w:tabs>
      <w:spacing w:line="260" w:lineRule="exact"/>
    </w:pPr>
    <w:rPr>
      <w:rFonts w:ascii="Tahoma" w:hAnsi="Tahoma"/>
      <w:sz w:val="22"/>
      <w:szCs w:val="20"/>
      <w:lang w:val="cs-CZ"/>
    </w:rPr>
  </w:style>
  <w:style w:type="character" w:styleId="EndnoteReference">
    <w:name w:val="endnote reference"/>
    <w:semiHidden/>
    <w:rPr>
      <w:vertAlign w:val="superscript"/>
    </w:rPr>
  </w:style>
  <w:style w:type="paragraph" w:styleId="EndnoteText">
    <w:name w:val="endnote text"/>
    <w:basedOn w:val="Normal"/>
    <w:next w:val="Normal"/>
    <w:link w:val="EndnoteTextChar"/>
    <w:semiHidden/>
    <w:pPr>
      <w:tabs>
        <w:tab w:val="left" w:pos="567"/>
      </w:tabs>
    </w:pPr>
    <w:rPr>
      <w:sz w:val="22"/>
      <w:szCs w:val="20"/>
      <w:lang w:val="cs-CZ"/>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pPr>
      <w:tabs>
        <w:tab w:val="left" w:pos="567"/>
      </w:tabs>
      <w:spacing w:line="260" w:lineRule="exact"/>
    </w:pPr>
    <w:rPr>
      <w:sz w:val="20"/>
      <w:szCs w:val="20"/>
      <w:lang w:val="cs-CZ"/>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customStyle="1" w:styleId="Table">
    <w:name w:val="Table"/>
    <w:basedOn w:val="Normal"/>
    <w:pPr>
      <w:keepNext/>
      <w:keepLines/>
      <w:tabs>
        <w:tab w:val="left" w:pos="284"/>
      </w:tabs>
      <w:spacing w:before="40" w:after="20"/>
    </w:pPr>
    <w:rPr>
      <w:rFonts w:ascii="Arial" w:hAnsi="Arial"/>
      <w:sz w:val="20"/>
      <w:szCs w:val="20"/>
      <w:lang w:val="en-US"/>
    </w:rPr>
  </w:style>
  <w:style w:type="paragraph" w:customStyle="1" w:styleId="Text">
    <w:name w:val="Text"/>
    <w:basedOn w:val="Normal"/>
    <w:pPr>
      <w:spacing w:before="120"/>
      <w:jc w:val="both"/>
    </w:pPr>
    <w:rPr>
      <w:szCs w:val="20"/>
      <w:lang w:val="en-US"/>
    </w:rPr>
  </w:style>
  <w:style w:type="paragraph" w:styleId="CommentSubject">
    <w:name w:val="annotation subject"/>
    <w:basedOn w:val="CommentText"/>
    <w:next w:val="CommentText"/>
    <w:semiHidden/>
    <w:pPr>
      <w:tabs>
        <w:tab w:val="clear" w:pos="567"/>
      </w:tabs>
      <w:spacing w:line="240" w:lineRule="auto"/>
    </w:pPr>
    <w:rPr>
      <w:b/>
      <w:bCs/>
      <w:lang w:val="lt-LT"/>
    </w:rPr>
  </w:style>
  <w:style w:type="character" w:customStyle="1" w:styleId="TextChar">
    <w:name w:val="Text Char"/>
    <w:rPr>
      <w:sz w:val="24"/>
      <w:lang w:val="en-US" w:eastAsia="en-US" w:bidi="ar-SA"/>
    </w:rPr>
  </w:style>
  <w:style w:type="character" w:styleId="Strong">
    <w:name w:val="Strong"/>
    <w:qFormat/>
    <w:rPr>
      <w:b/>
      <w:bCs/>
    </w:rPr>
  </w:style>
  <w:style w:type="character" w:customStyle="1" w:styleId="TableChar">
    <w:name w:val="Table Char"/>
    <w:rPr>
      <w:rFonts w:ascii="Arial" w:hAnsi="Arial"/>
      <w:lang w:val="en-US" w:eastAsia="en-US" w:bidi="ar-SA"/>
    </w:rPr>
  </w:style>
  <w:style w:type="paragraph" w:customStyle="1" w:styleId="Nottoc-headings">
    <w:name w:val="Not toc-headings"/>
    <w:basedOn w:val="Normal"/>
    <w:next w:val="Text"/>
    <w:pPr>
      <w:keepNext/>
      <w:keepLines/>
      <w:spacing w:before="240" w:after="60"/>
      <w:ind w:left="1701" w:hanging="1701"/>
    </w:pPr>
    <w:rPr>
      <w:rFonts w:ascii="Arial" w:hAnsi="Arial"/>
      <w:b/>
      <w:lang w:val="en-US"/>
    </w:rPr>
  </w:style>
  <w:style w:type="character" w:customStyle="1" w:styleId="Nottoc-headingsChar">
    <w:name w:val="Not toc-headings Char"/>
    <w:rPr>
      <w:rFonts w:ascii="Arial" w:hAnsi="Arial"/>
      <w:b/>
      <w:sz w:val="24"/>
      <w:szCs w:val="24"/>
      <w:lang w:val="en-US" w:eastAsia="en-US" w:bidi="ar-SA"/>
    </w:rPr>
  </w:style>
  <w:style w:type="paragraph" w:customStyle="1" w:styleId="Listlevel1">
    <w:name w:val="List level 1"/>
    <w:basedOn w:val="Normal"/>
    <w:pPr>
      <w:spacing w:before="40" w:after="20"/>
      <w:ind w:left="425" w:hanging="425"/>
    </w:pPr>
    <w:rPr>
      <w:szCs w:val="20"/>
      <w:lang w:val="en-US"/>
    </w:rPr>
  </w:style>
  <w:style w:type="paragraph" w:customStyle="1" w:styleId="Listlevel2">
    <w:name w:val="List level 2"/>
    <w:basedOn w:val="Normal"/>
    <w:pPr>
      <w:spacing w:before="40" w:after="20"/>
      <w:ind w:left="850" w:hanging="425"/>
    </w:pPr>
    <w:rPr>
      <w:szCs w:val="20"/>
      <w:lang w:val="en-US"/>
    </w:rPr>
  </w:style>
  <w:style w:type="character" w:customStyle="1" w:styleId="Char">
    <w:name w:val="Char"/>
    <w:rPr>
      <w:sz w:val="22"/>
      <w:lang w:val="cs-CZ" w:eastAsia="en-US" w:bidi="ar-SA"/>
    </w:rPr>
  </w:style>
  <w:style w:type="character" w:customStyle="1" w:styleId="Char0">
    <w:name w:val="Char"/>
    <w:rPr>
      <w:rFonts w:ascii="Times New Roman" w:hAnsi="Times New Roman" w:cs="Times New Roman"/>
      <w:snapToGrid w:val="0"/>
      <w:sz w:val="24"/>
      <w:szCs w:val="24"/>
      <w:lang w:val="en-GB" w:bidi="ar-SA"/>
    </w:rPr>
  </w:style>
  <w:style w:type="table" w:styleId="TableGrid">
    <w:name w:val="Table Grid"/>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link w:val="EndnoteText"/>
    <w:rPr>
      <w:sz w:val="22"/>
      <w:lang w:val="cs-CZ" w:eastAsia="en-US" w:bidi="ar-SA"/>
    </w:rPr>
  </w:style>
  <w:style w:type="paragraph" w:customStyle="1" w:styleId="CharChar1CharCharCharCharCharCharCharCharCharCharCharCharCharCharCharCharCharCharCharDiagramaCharCharCharCharCharChar">
    <w:name w:val="Char Char1 Char Char Char Char Char Char Char Char Char Char Char Char Char Char Char Char Char Char Char Diagrama Char Char Char Char Char Char"/>
    <w:basedOn w:val="Normal"/>
    <w:pPr>
      <w:spacing w:after="160" w:line="240" w:lineRule="exact"/>
    </w:pPr>
    <w:rPr>
      <w:rFonts w:ascii="Verdana" w:hAnsi="Verdana" w:cs="Verdana"/>
      <w:sz w:val="20"/>
      <w:szCs w:val="20"/>
      <w:lang w:val="en-GB"/>
    </w:rPr>
  </w:style>
  <w:style w:type="paragraph" w:customStyle="1" w:styleId="CharCharCharCharCharCharCharCharCharCharCharCharChar">
    <w:name w:val="Char Char Char Char Char Char Char Char Char Char Char Char Char"/>
    <w:basedOn w:val="Normal"/>
    <w:pPr>
      <w:spacing w:after="160" w:line="240" w:lineRule="exact"/>
    </w:pPr>
    <w:rPr>
      <w:rFonts w:ascii="Verdana" w:hAnsi="Verdana" w:cs="Verdana"/>
      <w:sz w:val="20"/>
      <w:szCs w:val="20"/>
      <w:lang w:val="en-GB"/>
    </w:rPr>
  </w:style>
  <w:style w:type="paragraph" w:customStyle="1" w:styleId="CharChar1CharCharCharCharCharCharChar">
    <w:name w:val="Char Char1 Char Char Char Char Char Char Char"/>
    <w:basedOn w:val="Normal"/>
    <w:pPr>
      <w:spacing w:after="160" w:line="240" w:lineRule="exact"/>
    </w:pPr>
    <w:rPr>
      <w:rFonts w:ascii="Verdana" w:hAnsi="Verdana" w:cs="Verdana"/>
      <w:sz w:val="20"/>
      <w:szCs w:val="20"/>
      <w:lang w:val="en-GB"/>
    </w:rPr>
  </w:style>
  <w:style w:type="paragraph" w:customStyle="1" w:styleId="CharChar1CharCharCharCharCharCharCharCharCharCharCharChar">
    <w:name w:val="Char Char1 Char Char Char Char Char Char Char Char Char Char Char Char"/>
    <w:basedOn w:val="Normal"/>
    <w:pPr>
      <w:spacing w:after="160" w:line="240" w:lineRule="exact"/>
    </w:pPr>
    <w:rPr>
      <w:rFonts w:ascii="Verdana" w:hAnsi="Verdana" w:cs="Verdana"/>
      <w:sz w:val="20"/>
      <w:szCs w:val="20"/>
      <w:lang w:val="en-GB"/>
    </w:rPr>
  </w:style>
  <w:style w:type="character" w:customStyle="1" w:styleId="Heading4Char">
    <w:name w:val="Heading 4 Char"/>
    <w:link w:val="Heading4"/>
    <w:rPr>
      <w:b/>
      <w:noProof/>
      <w:sz w:val="22"/>
      <w:lang w:val="cs-CZ"/>
    </w:rPr>
  </w:style>
  <w:style w:type="paragraph" w:styleId="Revision">
    <w:name w:val="Revision"/>
    <w:hidden/>
    <w:uiPriority w:val="99"/>
    <w:semiHidden/>
    <w:rPr>
      <w:sz w:val="24"/>
      <w:szCs w:val="24"/>
      <w:lang w:val="lt-LT"/>
    </w:rPr>
  </w:style>
  <w:style w:type="character" w:customStyle="1" w:styleId="CharChar2">
    <w:name w:val="Char Char2"/>
    <w:rPr>
      <w:sz w:val="22"/>
      <w:lang w:val="en-GB" w:eastAsia="en-US" w:bidi="ar-SA"/>
    </w:rPr>
  </w:style>
  <w:style w:type="character" w:customStyle="1" w:styleId="CommentTextChar">
    <w:name w:val="Comment Text Char"/>
    <w:aliases w:val="Comment Text Char1 Char Char,Comment Text Char Char Char Char,Comment Text Char1 Char1"/>
    <w:link w:val="CommentText"/>
    <w:uiPriority w:val="99"/>
    <w:rPr>
      <w:lang w:val="cs-CZ"/>
    </w:rPr>
  </w:style>
  <w:style w:type="character" w:customStyle="1" w:styleId="NormalAgencyChar">
    <w:name w:val="Normal (Agency) Char"/>
    <w:link w:val="NormalAgency"/>
    <w:locked/>
    <w:rPr>
      <w:rFonts w:ascii="Verdana" w:hAnsi="Verdana"/>
    </w:rPr>
  </w:style>
  <w:style w:type="paragraph" w:customStyle="1" w:styleId="NormalAgency">
    <w:name w:val="Normal (Agency)"/>
    <w:basedOn w:val="Normal"/>
    <w:link w:val="NormalAgencyChar"/>
    <w:rPr>
      <w:rFonts w:ascii="Verdana" w:hAnsi="Verdana"/>
      <w:sz w:val="20"/>
      <w:szCs w:val="20"/>
      <w:lang w:val="en-US"/>
    </w:rPr>
  </w:style>
  <w:style w:type="character" w:customStyle="1" w:styleId="hps">
    <w:name w:val="hps"/>
  </w:style>
  <w:style w:type="character" w:customStyle="1" w:styleId="longtext">
    <w:name w:val="long_text"/>
    <w:rsid w:val="00C80D34"/>
  </w:style>
  <w:style w:type="paragraph" w:customStyle="1" w:styleId="BodytextAgency">
    <w:name w:val="Body text (Agency)"/>
    <w:basedOn w:val="Normal"/>
    <w:link w:val="BodytextAgencyChar"/>
    <w:qFormat/>
    <w:rsid w:val="00EB56A9"/>
    <w:pPr>
      <w:spacing w:after="140" w:line="280" w:lineRule="atLeast"/>
    </w:pPr>
    <w:rPr>
      <w:rFonts w:ascii="Verdana" w:eastAsia="Verdana" w:hAnsi="Verdana"/>
      <w:sz w:val="18"/>
      <w:szCs w:val="18"/>
      <w:lang w:eastAsia="lt-LT" w:bidi="lt-LT"/>
    </w:rPr>
  </w:style>
  <w:style w:type="paragraph" w:customStyle="1" w:styleId="DraftingNotesAgency">
    <w:name w:val="Drafting Notes (Agency)"/>
    <w:basedOn w:val="Normal"/>
    <w:next w:val="BodytextAgency"/>
    <w:link w:val="DraftingNotesAgencyChar"/>
    <w:rsid w:val="00EB56A9"/>
    <w:pPr>
      <w:spacing w:after="140" w:line="280" w:lineRule="atLeast"/>
    </w:pPr>
    <w:rPr>
      <w:rFonts w:ascii="Courier New" w:eastAsia="Verdana" w:hAnsi="Courier New"/>
      <w:i/>
      <w:color w:val="339966"/>
      <w:sz w:val="22"/>
      <w:szCs w:val="18"/>
      <w:lang w:eastAsia="lt-LT" w:bidi="lt-LT"/>
    </w:rPr>
  </w:style>
  <w:style w:type="paragraph" w:customStyle="1" w:styleId="No-numheading3Agency">
    <w:name w:val="No-num heading 3 (Agency)"/>
    <w:basedOn w:val="Normal"/>
    <w:next w:val="BodytextAgency"/>
    <w:link w:val="No-numheading3AgencyChar"/>
    <w:rsid w:val="00EB56A9"/>
    <w:pPr>
      <w:keepNext/>
      <w:spacing w:before="280" w:after="220"/>
      <w:outlineLvl w:val="2"/>
    </w:pPr>
    <w:rPr>
      <w:rFonts w:ascii="Verdana" w:eastAsia="Verdana" w:hAnsi="Verdana"/>
      <w:b/>
      <w:bCs/>
      <w:kern w:val="32"/>
      <w:sz w:val="22"/>
      <w:szCs w:val="22"/>
      <w:lang w:eastAsia="lt-LT" w:bidi="lt-LT"/>
    </w:rPr>
  </w:style>
  <w:style w:type="character" w:customStyle="1" w:styleId="DraftingNotesAgencyChar">
    <w:name w:val="Drafting Notes (Agency) Char"/>
    <w:link w:val="DraftingNotesAgency"/>
    <w:rsid w:val="00EB56A9"/>
    <w:rPr>
      <w:rFonts w:ascii="Courier New" w:eastAsia="Verdana" w:hAnsi="Courier New"/>
      <w:i/>
      <w:color w:val="339966"/>
      <w:sz w:val="22"/>
      <w:szCs w:val="18"/>
      <w:lang w:bidi="lt-LT"/>
    </w:rPr>
  </w:style>
  <w:style w:type="character" w:customStyle="1" w:styleId="BodytextAgencyChar">
    <w:name w:val="Body text (Agency) Char"/>
    <w:link w:val="BodytextAgency"/>
    <w:qFormat/>
    <w:rsid w:val="00EB56A9"/>
    <w:rPr>
      <w:rFonts w:ascii="Verdana" w:eastAsia="Verdana" w:hAnsi="Verdana"/>
      <w:sz w:val="18"/>
      <w:szCs w:val="18"/>
      <w:lang w:bidi="lt-LT"/>
    </w:rPr>
  </w:style>
  <w:style w:type="character" w:customStyle="1" w:styleId="No-numheading3AgencyChar">
    <w:name w:val="No-num heading 3 (Agency) Char"/>
    <w:link w:val="No-numheading3Agency"/>
    <w:rsid w:val="00EB56A9"/>
    <w:rPr>
      <w:rFonts w:ascii="Verdana" w:eastAsia="Verdana" w:hAnsi="Verdana"/>
      <w:b/>
      <w:bCs/>
      <w:kern w:val="32"/>
      <w:sz w:val="22"/>
      <w:szCs w:val="22"/>
      <w:lang w:bidi="lt-LT"/>
    </w:rPr>
  </w:style>
  <w:style w:type="paragraph" w:styleId="ListParagraph">
    <w:name w:val="List Paragraph"/>
    <w:basedOn w:val="Normal"/>
    <w:uiPriority w:val="34"/>
    <w:qFormat/>
    <w:rsid w:val="0055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78BC5-0958-48CA-B49C-010B9357512D}">
  <ds:schemaRefs>
    <ds:schemaRef ds:uri="http://schemas.microsoft.com/office/2006/metadata/properties"/>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ab5ce509-5354-448f-9777-5bc1d8e232f6"/>
  </ds:schemaRefs>
</ds:datastoreItem>
</file>

<file path=customXml/itemProps2.xml><?xml version="1.0" encoding="utf-8"?>
<ds:datastoreItem xmlns:ds="http://schemas.openxmlformats.org/officeDocument/2006/customXml" ds:itemID="{5AC6E919-C8B7-4F55-BB0E-BE33E087B079}">
  <ds:schemaRefs>
    <ds:schemaRef ds:uri="http://schemas.microsoft.com/sharepoint/v3/contenttype/forms"/>
  </ds:schemaRefs>
</ds:datastoreItem>
</file>

<file path=customXml/itemProps3.xml><?xml version="1.0" encoding="utf-8"?>
<ds:datastoreItem xmlns:ds="http://schemas.openxmlformats.org/officeDocument/2006/customXml" ds:itemID="{FA1FAC0F-B54C-4DE0-B982-FF2BFE3660F5}"/>
</file>

<file path=docProps/app.xml><?xml version="1.0" encoding="utf-8"?>
<Properties xmlns="http://schemas.openxmlformats.org/officeDocument/2006/extended-properties" xmlns:vt="http://schemas.openxmlformats.org/officeDocument/2006/docPropsVTypes">
  <Template>Normal</Template>
  <TotalTime>0</TotalTime>
  <Pages>100</Pages>
  <Words>40866</Words>
  <Characters>232942</Characters>
  <Application>Microsoft Office Word</Application>
  <DocSecurity>0</DocSecurity>
  <Lines>1941</Lines>
  <Paragraphs>546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Glivec, INN-imatinib</vt:lpstr>
      <vt:lpstr>Glivec, INN-imatinib</vt:lpstr>
    </vt:vector>
  </TitlesOfParts>
  <Company>Novartis</Company>
  <LinksUpToDate>false</LinksUpToDate>
  <CharactersWithSpaces>273262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9</cp:revision>
  <cp:lastPrinted>2015-02-06T11:09:00Z</cp:lastPrinted>
  <dcterms:created xsi:type="dcterms:W3CDTF">2021-02-07T21:00:00Z</dcterms:created>
  <dcterms:modified xsi:type="dcterms:W3CDTF">2021-05-21T16:08:00Z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2019-01-27T21:47:01.9770464Z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2021-05-21T16:08:48Z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38d70119-065f-46e6-85a8-7f2a06c9c072</vt:lpwstr>
  </property>
  <property fmtid="{D5CDD505-2E9C-101B-9397-08002B2CF9AE}" pid="15" name="MSIP_Label_0eea11ca-d417-4147-80ed-01a58412c458_ContentBits">
    <vt:lpwstr>2</vt:lpwstr>
  </property>
</Properties>
</file>